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E1F" w14:textId="754749DF" w:rsidR="00AC274B" w:rsidRDefault="00F448B4" w:rsidP="00AC274B">
      <w:pPr>
        <w:pStyle w:val="Title"/>
      </w:pPr>
      <w:r>
        <w:rPr>
          <w:sz w:val="28"/>
          <w:szCs w:val="28"/>
        </w:rPr>
        <w:t>Chlorine</w:t>
      </w:r>
    </w:p>
    <w:p w14:paraId="52F596A5" w14:textId="1263AD9F" w:rsidR="00813D40" w:rsidRPr="00BD0B77" w:rsidRDefault="00813D40" w:rsidP="00813D40">
      <w:pPr>
        <w:rPr>
          <w:szCs w:val="18"/>
        </w:rPr>
      </w:pPr>
    </w:p>
    <w:p w14:paraId="38333B46" w14:textId="351A5B4B" w:rsidR="00F129D4" w:rsidRPr="00486826" w:rsidRDefault="00F129D4" w:rsidP="00486826">
      <w:pPr>
        <w:rPr>
          <w:szCs w:val="18"/>
        </w:rPr>
      </w:pPr>
    </w:p>
    <w:p w14:paraId="59DAF7CA" w14:textId="0E940016" w:rsidR="00486826" w:rsidRDefault="00486826" w:rsidP="00486826">
      <w:pPr>
        <w:rPr>
          <w:szCs w:val="18"/>
        </w:rPr>
      </w:pPr>
      <w:r w:rsidRPr="00486826">
        <w:rPr>
          <w:szCs w:val="18"/>
        </w:rPr>
        <w:t>CAS number: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434E56">
        <w:rPr>
          <w:szCs w:val="18"/>
        </w:rPr>
        <w:t>7782-50-5</w:t>
      </w:r>
    </w:p>
    <w:p w14:paraId="618633C3" w14:textId="77777777" w:rsidR="00F129D4" w:rsidRDefault="00F129D4" w:rsidP="00486826">
      <w:pPr>
        <w:rPr>
          <w:szCs w:val="18"/>
        </w:rPr>
      </w:pPr>
    </w:p>
    <w:p w14:paraId="04B91F5D" w14:textId="77777777" w:rsidR="00F129D4" w:rsidRDefault="00F129D4" w:rsidP="00486826">
      <w:pPr>
        <w:rPr>
          <w:szCs w:val="18"/>
        </w:rPr>
      </w:pPr>
    </w:p>
    <w:p w14:paraId="44CB71AD" w14:textId="1251B2BD" w:rsidR="00DF1277" w:rsidRDefault="00486826" w:rsidP="00486826">
      <w:r>
        <w:t>OSHA PEL:</w:t>
      </w:r>
      <w:r>
        <w:tab/>
      </w:r>
      <w:r>
        <w:tab/>
      </w:r>
      <w:r>
        <w:tab/>
      </w:r>
      <w:r w:rsidR="00534581">
        <w:t>1</w:t>
      </w:r>
      <w:r>
        <w:t xml:space="preserve"> ppm (</w:t>
      </w:r>
      <w:r w:rsidR="00974B6C">
        <w:t xml:space="preserve">3 </w:t>
      </w:r>
      <w:r>
        <w:t>mg/m</w:t>
      </w:r>
      <w:r w:rsidRPr="27A6E695">
        <w:rPr>
          <w:vertAlign w:val="superscript"/>
        </w:rPr>
        <w:t>3</w:t>
      </w:r>
      <w:r>
        <w:t xml:space="preserve">) </w:t>
      </w:r>
      <w:r w:rsidR="0034524E">
        <w:t>Ceiling, General Industry</w:t>
      </w:r>
    </w:p>
    <w:p w14:paraId="42D8BD00" w14:textId="2E1048D7" w:rsidR="00775B82" w:rsidRDefault="00775B82" w:rsidP="00486826">
      <w:r>
        <w:tab/>
      </w:r>
      <w:r>
        <w:tab/>
      </w:r>
      <w:r>
        <w:tab/>
      </w:r>
      <w:r>
        <w:tab/>
        <w:t xml:space="preserve">1 ppm </w:t>
      </w:r>
      <w:r w:rsidR="00FA7DAF" w:rsidRPr="00FA7DAF">
        <w:t>(</w:t>
      </w:r>
      <w:r w:rsidR="000176F4" w:rsidRPr="000176F4">
        <w:t>3 mg/m</w:t>
      </w:r>
      <w:r w:rsidR="000176F4" w:rsidRPr="000176F4">
        <w:rPr>
          <w:vertAlign w:val="superscript"/>
        </w:rPr>
        <w:t>3</w:t>
      </w:r>
      <w:r w:rsidR="00FA7DAF" w:rsidRPr="00FA7DAF">
        <w:t>)</w:t>
      </w:r>
      <w:r w:rsidR="00FA7DAF">
        <w:t xml:space="preserve"> </w:t>
      </w:r>
      <w:r w:rsidR="0034524E">
        <w:t>8-Hour TWA, Construction, Shipyard</w:t>
      </w:r>
    </w:p>
    <w:p w14:paraId="308B8153" w14:textId="77777777" w:rsidR="00E16C90" w:rsidRPr="00486826" w:rsidRDefault="00E16C90" w:rsidP="00486826"/>
    <w:p w14:paraId="0409AFDF" w14:textId="23E639A6" w:rsidR="00A942AC" w:rsidRPr="00486826" w:rsidRDefault="00A942AC" w:rsidP="00A942AC">
      <w:pPr>
        <w:rPr>
          <w:szCs w:val="18"/>
        </w:rPr>
      </w:pPr>
      <w:r w:rsidRPr="00486826">
        <w:rPr>
          <w:szCs w:val="18"/>
        </w:rPr>
        <w:t>IDLH: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10</w:t>
      </w:r>
      <w:r w:rsidRPr="00486826">
        <w:rPr>
          <w:szCs w:val="18"/>
        </w:rPr>
        <w:t xml:space="preserve"> ppm (</w:t>
      </w:r>
      <w:r w:rsidR="00FA7DAF">
        <w:rPr>
          <w:szCs w:val="18"/>
        </w:rPr>
        <w:t>30</w:t>
      </w:r>
      <w:r>
        <w:rPr>
          <w:szCs w:val="18"/>
        </w:rPr>
        <w:t xml:space="preserve"> </w:t>
      </w:r>
      <w:r w:rsidRPr="00486826">
        <w:rPr>
          <w:szCs w:val="18"/>
        </w:rPr>
        <w:t>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</w:t>
      </w:r>
    </w:p>
    <w:p w14:paraId="15F21B30" w14:textId="77777777" w:rsidR="00A942AC" w:rsidRDefault="00A942AC" w:rsidP="008B20DF">
      <w:pPr>
        <w:rPr>
          <w:szCs w:val="18"/>
        </w:rPr>
      </w:pPr>
    </w:p>
    <w:p w14:paraId="69E1EDA1" w14:textId="77777777" w:rsidR="00F129D4" w:rsidRDefault="00F129D4" w:rsidP="008B20DF">
      <w:pPr>
        <w:rPr>
          <w:szCs w:val="18"/>
        </w:rPr>
      </w:pPr>
    </w:p>
    <w:p w14:paraId="71FDEF64" w14:textId="52B6D507" w:rsidR="00FB28BB" w:rsidRDefault="00FB28BB" w:rsidP="000D69A9">
      <w:pPr>
        <w:ind w:left="2880" w:hanging="2880"/>
        <w:rPr>
          <w:szCs w:val="18"/>
        </w:rPr>
      </w:pPr>
      <w:r w:rsidRPr="00FB28BB">
        <w:rPr>
          <w:szCs w:val="18"/>
        </w:rPr>
        <w:t>Procedure:</w:t>
      </w:r>
      <w:r w:rsidRPr="00FB28BB">
        <w:rPr>
          <w:szCs w:val="18"/>
        </w:rPr>
        <w:tab/>
        <w:t xml:space="preserve">Expose a personal </w:t>
      </w:r>
      <w:r w:rsidR="00DF0BD4">
        <w:rPr>
          <w:szCs w:val="18"/>
        </w:rPr>
        <w:t>gas</w:t>
      </w:r>
      <w:r w:rsidR="002172A2">
        <w:rPr>
          <w:szCs w:val="18"/>
        </w:rPr>
        <w:t xml:space="preserve"> </w:t>
      </w:r>
      <w:r w:rsidRPr="00FB28BB">
        <w:rPr>
          <w:szCs w:val="18"/>
        </w:rPr>
        <w:t xml:space="preserve">monitor using a </w:t>
      </w:r>
      <w:r w:rsidR="002A624D">
        <w:rPr>
          <w:szCs w:val="18"/>
        </w:rPr>
        <w:t>chlorine</w:t>
      </w:r>
      <w:r w:rsidR="00D14BCA">
        <w:rPr>
          <w:szCs w:val="18"/>
        </w:rPr>
        <w:t xml:space="preserve"> (</w:t>
      </w:r>
      <w:r w:rsidR="002A624D">
        <w:rPr>
          <w:szCs w:val="18"/>
        </w:rPr>
        <w:t>Cl</w:t>
      </w:r>
      <w:r w:rsidR="002A624D" w:rsidRPr="002A624D">
        <w:rPr>
          <w:szCs w:val="18"/>
          <w:vertAlign w:val="subscript"/>
        </w:rPr>
        <w:t>2</w:t>
      </w:r>
      <w:r w:rsidR="00D14BCA">
        <w:rPr>
          <w:szCs w:val="18"/>
        </w:rPr>
        <w:t>)</w:t>
      </w:r>
      <w:r w:rsidRPr="00FB28BB">
        <w:rPr>
          <w:szCs w:val="18"/>
        </w:rPr>
        <w:t xml:space="preserve"> electrochemical sensor to workplace air.</w:t>
      </w:r>
    </w:p>
    <w:p w14:paraId="674DBEE0" w14:textId="77777777" w:rsidR="00983DED" w:rsidRPr="00FB28BB" w:rsidRDefault="00983DED" w:rsidP="000D69A9">
      <w:pPr>
        <w:ind w:left="2880" w:hanging="2880"/>
        <w:rPr>
          <w:szCs w:val="18"/>
        </w:rPr>
      </w:pPr>
    </w:p>
    <w:p w14:paraId="050FA361" w14:textId="69FF8C47" w:rsidR="002C5136" w:rsidRDefault="002C5136" w:rsidP="008B20DF">
      <w:pPr>
        <w:rPr>
          <w:szCs w:val="18"/>
        </w:rPr>
      </w:pPr>
    </w:p>
    <w:p w14:paraId="5BF7611F" w14:textId="6B4ED7B8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>Recommended sampling time:</w:t>
      </w:r>
      <w:r w:rsidRPr="00FB28BB">
        <w:rPr>
          <w:szCs w:val="18"/>
        </w:rPr>
        <w:tab/>
      </w:r>
      <w:r w:rsidR="002062D1">
        <w:rPr>
          <w:szCs w:val="18"/>
        </w:rPr>
        <w:t xml:space="preserve">Full shift </w:t>
      </w:r>
      <w:r w:rsidR="00ED1695">
        <w:rPr>
          <w:szCs w:val="18"/>
        </w:rPr>
        <w:t>(</w:t>
      </w:r>
      <w:r w:rsidR="00BA7149">
        <w:rPr>
          <w:szCs w:val="18"/>
        </w:rPr>
        <w:t xml:space="preserve">up to </w:t>
      </w:r>
      <w:r w:rsidR="00D31EA3">
        <w:rPr>
          <w:szCs w:val="18"/>
        </w:rPr>
        <w:t>16</w:t>
      </w:r>
      <w:r w:rsidR="00BA3F7C">
        <w:rPr>
          <w:szCs w:val="18"/>
        </w:rPr>
        <w:t xml:space="preserve"> hours</w:t>
      </w:r>
      <w:r w:rsidR="006D357F">
        <w:rPr>
          <w:szCs w:val="18"/>
        </w:rPr>
        <w:t xml:space="preserve"> </w:t>
      </w:r>
      <w:r w:rsidR="00D31EA3">
        <w:rPr>
          <w:szCs w:val="18"/>
        </w:rPr>
        <w:t xml:space="preserve">due to </w:t>
      </w:r>
      <w:r w:rsidR="00D67506">
        <w:rPr>
          <w:szCs w:val="18"/>
        </w:rPr>
        <w:t>monitor datalogger capacity</w:t>
      </w:r>
      <w:r w:rsidR="00ED1695">
        <w:rPr>
          <w:szCs w:val="18"/>
        </w:rPr>
        <w:t>)</w:t>
      </w:r>
    </w:p>
    <w:p w14:paraId="3771395D" w14:textId="0DB27B8E" w:rsidR="002C5136" w:rsidRDefault="002C5136" w:rsidP="008B20DF">
      <w:pPr>
        <w:rPr>
          <w:szCs w:val="18"/>
        </w:rPr>
      </w:pPr>
    </w:p>
    <w:p w14:paraId="133AB71A" w14:textId="4E8F22FB" w:rsidR="002C5136" w:rsidRDefault="002C5136" w:rsidP="008B20DF">
      <w:pPr>
        <w:rPr>
          <w:szCs w:val="18"/>
        </w:rPr>
      </w:pPr>
    </w:p>
    <w:p w14:paraId="1FBDFE81" w14:textId="08306815" w:rsidR="008070FF" w:rsidRDefault="00035FC9" w:rsidP="00FB28BB">
      <w:pPr>
        <w:rPr>
          <w:szCs w:val="18"/>
        </w:rPr>
      </w:pPr>
      <w:r>
        <w:rPr>
          <w:szCs w:val="18"/>
        </w:rPr>
        <w:t>R</w:t>
      </w:r>
      <w:r w:rsidR="00D61D6A">
        <w:rPr>
          <w:szCs w:val="18"/>
        </w:rPr>
        <w:t>eporting</w:t>
      </w:r>
      <w:r>
        <w:rPr>
          <w:szCs w:val="18"/>
        </w:rPr>
        <w:t xml:space="preserve"> </w:t>
      </w:r>
      <w:r w:rsidR="009D2C31">
        <w:rPr>
          <w:szCs w:val="18"/>
        </w:rPr>
        <w:t>l</w:t>
      </w:r>
      <w:r>
        <w:rPr>
          <w:szCs w:val="18"/>
        </w:rPr>
        <w:t>imit</w:t>
      </w:r>
      <w:proofErr w:type="gramStart"/>
      <w:r w:rsidR="00FB28BB" w:rsidRPr="00FB28BB">
        <w:rPr>
          <w:szCs w:val="18"/>
        </w:rPr>
        <w:t>:</w:t>
      </w:r>
      <w:r>
        <w:rPr>
          <w:szCs w:val="18"/>
        </w:rPr>
        <w:tab/>
      </w:r>
      <w:r w:rsidR="00FB28BB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514954">
        <w:rPr>
          <w:szCs w:val="18"/>
        </w:rPr>
        <w:t>0.</w:t>
      </w:r>
      <w:r w:rsidR="001C78DF">
        <w:rPr>
          <w:szCs w:val="18"/>
        </w:rPr>
        <w:t>2</w:t>
      </w:r>
      <w:proofErr w:type="gramEnd"/>
      <w:r w:rsidR="001C78DF" w:rsidRPr="00FB28BB">
        <w:rPr>
          <w:szCs w:val="18"/>
        </w:rPr>
        <w:t xml:space="preserve"> </w:t>
      </w:r>
      <w:r w:rsidR="00FB28BB" w:rsidRPr="00FB28BB">
        <w:rPr>
          <w:szCs w:val="18"/>
        </w:rPr>
        <w:t>ppm</w:t>
      </w:r>
    </w:p>
    <w:p w14:paraId="6E259D28" w14:textId="77777777" w:rsidR="008070FF" w:rsidRDefault="008070FF" w:rsidP="00FB28BB">
      <w:pPr>
        <w:rPr>
          <w:szCs w:val="18"/>
        </w:rPr>
      </w:pPr>
    </w:p>
    <w:p w14:paraId="7A4A4451" w14:textId="7DBBB615" w:rsidR="00E64967" w:rsidRDefault="00E64967" w:rsidP="00FB28BB">
      <w:pPr>
        <w:rPr>
          <w:szCs w:val="18"/>
        </w:rPr>
      </w:pPr>
    </w:p>
    <w:p w14:paraId="151336DE" w14:textId="4415950B" w:rsidR="00FB28BB" w:rsidRPr="00FB28BB" w:rsidRDefault="008070FF" w:rsidP="00FB28BB">
      <w:pPr>
        <w:rPr>
          <w:szCs w:val="18"/>
        </w:rPr>
      </w:pPr>
      <w:r>
        <w:rPr>
          <w:szCs w:val="18"/>
        </w:rPr>
        <w:t>Working range: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514954">
        <w:rPr>
          <w:szCs w:val="18"/>
        </w:rPr>
        <w:t>0.</w:t>
      </w:r>
      <w:r w:rsidR="001C78DF">
        <w:rPr>
          <w:szCs w:val="18"/>
        </w:rPr>
        <w:t>2</w:t>
      </w:r>
      <w:r w:rsidR="00E721A4">
        <w:rPr>
          <w:szCs w:val="18"/>
        </w:rPr>
        <w:t>-</w:t>
      </w:r>
      <w:r w:rsidR="009265D7">
        <w:rPr>
          <w:szCs w:val="18"/>
        </w:rPr>
        <w:t>2</w:t>
      </w:r>
      <w:r w:rsidR="00514954">
        <w:rPr>
          <w:szCs w:val="18"/>
        </w:rPr>
        <w:t>0</w:t>
      </w:r>
      <w:r w:rsidR="00E64967">
        <w:rPr>
          <w:szCs w:val="18"/>
        </w:rPr>
        <w:t xml:space="preserve"> ppm</w:t>
      </w:r>
      <w:r w:rsidR="00FB28BB" w:rsidRPr="00FB28BB">
        <w:rPr>
          <w:szCs w:val="18"/>
        </w:rPr>
        <w:t xml:space="preserve"> </w:t>
      </w:r>
    </w:p>
    <w:p w14:paraId="22E9DFC6" w14:textId="77777777" w:rsidR="00F129D4" w:rsidRDefault="00F129D4" w:rsidP="00FB28BB">
      <w:pPr>
        <w:rPr>
          <w:szCs w:val="18"/>
        </w:rPr>
      </w:pPr>
    </w:p>
    <w:p w14:paraId="1D6D8346" w14:textId="77777777" w:rsidR="00DF1277" w:rsidRPr="00FB28BB" w:rsidRDefault="00DF1277" w:rsidP="00FB28BB">
      <w:pPr>
        <w:rPr>
          <w:szCs w:val="18"/>
        </w:rPr>
      </w:pPr>
    </w:p>
    <w:p w14:paraId="0C3EE46C" w14:textId="2881C069" w:rsidR="00FB28BB" w:rsidRDefault="00FB28BB" w:rsidP="00FB28BB">
      <w:pPr>
        <w:rPr>
          <w:szCs w:val="18"/>
        </w:rPr>
      </w:pPr>
      <w:r w:rsidRPr="00FB28BB">
        <w:rPr>
          <w:szCs w:val="18"/>
        </w:rPr>
        <w:t xml:space="preserve">Uncertainty </w:t>
      </w:r>
      <w:r w:rsidR="00A01BC5" w:rsidRPr="004113C2">
        <w:t>(</w:t>
      </w:r>
      <m:oMath>
        <m:r>
          <w:rPr>
            <w:rFonts w:ascii="Cambria Math" w:hAnsi="Cambria Math"/>
          </w:rPr>
          <m:t>u</m:t>
        </m:r>
      </m:oMath>
      <w:r w:rsidR="00A01BC5" w:rsidRPr="004113C2">
        <w:rPr>
          <w:rFonts w:eastAsiaTheme="minorEastAsia"/>
        </w:rPr>
        <w:t>)</w:t>
      </w:r>
      <w:r w:rsidRPr="00FB28BB">
        <w:rPr>
          <w:szCs w:val="18"/>
        </w:rPr>
        <w:t>:</w:t>
      </w:r>
      <w:r w:rsidRPr="00FB28BB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DC5607">
        <w:rPr>
          <w:szCs w:val="18"/>
        </w:rPr>
        <w:t>31</w:t>
      </w:r>
      <w:proofErr w:type="gramStart"/>
      <w:r w:rsidRPr="00FB28BB">
        <w:rPr>
          <w:szCs w:val="18"/>
        </w:rPr>
        <w:t>%</w:t>
      </w:r>
      <w:r w:rsidR="0037237B">
        <w:rPr>
          <w:szCs w:val="18"/>
        </w:rPr>
        <w:t xml:space="preserve"> </w:t>
      </w:r>
      <w:r w:rsidR="00675009">
        <w:rPr>
          <w:szCs w:val="18"/>
        </w:rPr>
        <w:t xml:space="preserve"> </w:t>
      </w:r>
      <w:r w:rsidR="0037237B" w:rsidRPr="00FB28BB">
        <w:rPr>
          <w:szCs w:val="18"/>
        </w:rPr>
        <w:t>(</w:t>
      </w:r>
      <w:proofErr w:type="gramEnd"/>
      <w:r w:rsidR="0037237B" w:rsidRPr="00FB28BB">
        <w:rPr>
          <w:szCs w:val="18"/>
        </w:rPr>
        <w:t>8-Hour TWA</w:t>
      </w:r>
      <w:r w:rsidR="006815C6">
        <w:rPr>
          <w:szCs w:val="18"/>
        </w:rPr>
        <w:t>)</w:t>
      </w:r>
    </w:p>
    <w:p w14:paraId="67F77BAA" w14:textId="2D0415AB" w:rsidR="00B564AE" w:rsidRPr="00FB28BB" w:rsidRDefault="00B564AE" w:rsidP="00FB28B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8178BB">
        <w:rPr>
          <w:szCs w:val="18"/>
        </w:rPr>
        <w:t>1</w:t>
      </w:r>
      <w:r w:rsidR="00DC5607">
        <w:rPr>
          <w:szCs w:val="18"/>
        </w:rPr>
        <w:t>0</w:t>
      </w:r>
      <w:proofErr w:type="gramStart"/>
      <w:r w:rsidR="008178BB">
        <w:rPr>
          <w:szCs w:val="18"/>
        </w:rPr>
        <w:t>%  (</w:t>
      </w:r>
      <w:proofErr w:type="gramEnd"/>
      <w:r w:rsidR="008178BB">
        <w:rPr>
          <w:szCs w:val="18"/>
        </w:rPr>
        <w:t>Ceiling)</w:t>
      </w:r>
    </w:p>
    <w:p w14:paraId="0B1FE402" w14:textId="5AEEE44A" w:rsidR="00B9090C" w:rsidRPr="00BD0B77" w:rsidRDefault="00621E05" w:rsidP="000F1277">
      <w:pPr>
        <w:rPr>
          <w:szCs w:val="18"/>
        </w:rPr>
      </w:pPr>
      <w:r>
        <w:rPr>
          <w:szCs w:val="18"/>
        </w:rPr>
        <w:t xml:space="preserve">             </w:t>
      </w:r>
      <w:r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E03063">
        <w:rPr>
          <w:szCs w:val="18"/>
        </w:rPr>
        <w:t>9.</w:t>
      </w:r>
      <w:r w:rsidR="005038D9">
        <w:rPr>
          <w:szCs w:val="18"/>
        </w:rPr>
        <w:t>4</w:t>
      </w:r>
      <w:r w:rsidR="00250F54">
        <w:rPr>
          <w:szCs w:val="18"/>
        </w:rPr>
        <w:t>% (IDLH)</w:t>
      </w:r>
    </w:p>
    <w:p w14:paraId="53B53384" w14:textId="1461A8EC" w:rsidR="00FB5E4B" w:rsidRDefault="00FB5E4B" w:rsidP="008B20DF">
      <w:pPr>
        <w:rPr>
          <w:szCs w:val="18"/>
        </w:rPr>
      </w:pPr>
    </w:p>
    <w:p w14:paraId="647D63A4" w14:textId="77777777" w:rsidR="00DE3FCD" w:rsidRPr="00BD0B77" w:rsidRDefault="00DE3FCD" w:rsidP="008B20DF">
      <w:pPr>
        <w:rPr>
          <w:szCs w:val="18"/>
        </w:rPr>
      </w:pPr>
    </w:p>
    <w:p w14:paraId="568A1B22" w14:textId="0AB9087C" w:rsidR="000D69A9" w:rsidRPr="000D69A9" w:rsidRDefault="000D69A9" w:rsidP="00105E8A">
      <w:pPr>
        <w:ind w:left="2880" w:hanging="2880"/>
        <w:rPr>
          <w:szCs w:val="18"/>
        </w:rPr>
      </w:pPr>
      <w:r w:rsidRPr="000D69A9">
        <w:rPr>
          <w:szCs w:val="18"/>
        </w:rPr>
        <w:t>Special requirements:</w:t>
      </w:r>
      <w:r w:rsidRPr="000D69A9">
        <w:rPr>
          <w:szCs w:val="18"/>
        </w:rPr>
        <w:tab/>
      </w:r>
      <w:r w:rsidR="00AE1136">
        <w:rPr>
          <w:szCs w:val="18"/>
        </w:rPr>
        <w:t xml:space="preserve">Do not use this method when </w:t>
      </w:r>
      <w:r w:rsidR="001364DA">
        <w:rPr>
          <w:szCs w:val="18"/>
        </w:rPr>
        <w:t xml:space="preserve">bromine, fluorine, </w:t>
      </w:r>
      <w:r w:rsidR="00422599">
        <w:rPr>
          <w:szCs w:val="18"/>
        </w:rPr>
        <w:t xml:space="preserve">chlorine dioxide </w:t>
      </w:r>
      <w:r w:rsidR="00A57FA6">
        <w:rPr>
          <w:szCs w:val="18"/>
        </w:rPr>
        <w:t xml:space="preserve">or </w:t>
      </w:r>
      <w:r w:rsidR="001364DA">
        <w:rPr>
          <w:szCs w:val="18"/>
        </w:rPr>
        <w:t>hydrogen sulfide are present</w:t>
      </w:r>
      <w:r w:rsidR="00614480">
        <w:rPr>
          <w:szCs w:val="18"/>
        </w:rPr>
        <w:t>.</w:t>
      </w:r>
    </w:p>
    <w:p w14:paraId="019A16BE" w14:textId="77777777" w:rsidR="001B41F5" w:rsidRPr="00BD0B77" w:rsidRDefault="001B41F5" w:rsidP="00C16836">
      <w:pPr>
        <w:rPr>
          <w:szCs w:val="18"/>
        </w:rPr>
      </w:pPr>
    </w:p>
    <w:p w14:paraId="391A1339" w14:textId="77777777" w:rsidR="00162903" w:rsidRDefault="00162903" w:rsidP="00F129D4">
      <w:pPr>
        <w:ind w:left="2880" w:hanging="2880"/>
        <w:rPr>
          <w:szCs w:val="18"/>
        </w:rPr>
      </w:pPr>
    </w:p>
    <w:p w14:paraId="5EDCD71E" w14:textId="6381F8F2" w:rsidR="00FB5E4B" w:rsidRDefault="00C16836" w:rsidP="00C16836">
      <w:pPr>
        <w:rPr>
          <w:szCs w:val="18"/>
        </w:rPr>
      </w:pPr>
      <w:r>
        <w:rPr>
          <w:szCs w:val="18"/>
        </w:rPr>
        <w:t>Author: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Yalun Cui</w:t>
      </w:r>
      <w:r w:rsidR="00FB7A4D" w:rsidRPr="00FB7A4D">
        <w:t xml:space="preserve"> </w:t>
      </w:r>
      <w:r w:rsidR="00FB7A4D">
        <w:t xml:space="preserve">&amp; </w:t>
      </w:r>
      <w:r w:rsidR="00FB7A4D" w:rsidRPr="00FB7A4D">
        <w:rPr>
          <w:szCs w:val="18"/>
        </w:rPr>
        <w:t>Michael Simmons</w:t>
      </w:r>
    </w:p>
    <w:p w14:paraId="2272C958" w14:textId="77777777" w:rsidR="005C0A4F" w:rsidRDefault="005C0A4F" w:rsidP="00C16836">
      <w:pPr>
        <w:rPr>
          <w:szCs w:val="18"/>
        </w:rPr>
      </w:pPr>
    </w:p>
    <w:p w14:paraId="334461D9" w14:textId="77777777" w:rsidR="00C16836" w:rsidRDefault="00C16836" w:rsidP="00C16836">
      <w:pPr>
        <w:rPr>
          <w:szCs w:val="18"/>
        </w:rPr>
      </w:pPr>
    </w:p>
    <w:p w14:paraId="66156CF3" w14:textId="77777777" w:rsidR="00C16836" w:rsidRDefault="00C16836" w:rsidP="00C16836">
      <w:pPr>
        <w:rPr>
          <w:szCs w:val="18"/>
        </w:rPr>
      </w:pPr>
    </w:p>
    <w:p w14:paraId="61B0D2A3" w14:textId="77777777" w:rsidR="00A8179D" w:rsidRDefault="00A8179D" w:rsidP="00BD2B20">
      <w:pPr>
        <w:rPr>
          <w:szCs w:val="18"/>
        </w:rPr>
      </w:pPr>
    </w:p>
    <w:p w14:paraId="0DCD5197" w14:textId="77777777" w:rsidR="00FE5292" w:rsidRDefault="00FE5292" w:rsidP="00BD2B20">
      <w:pPr>
        <w:rPr>
          <w:szCs w:val="18"/>
        </w:rPr>
      </w:pPr>
    </w:p>
    <w:p w14:paraId="47562099" w14:textId="77777777" w:rsidR="002704CC" w:rsidRDefault="002704CC" w:rsidP="00BD2B20">
      <w:pPr>
        <w:rPr>
          <w:szCs w:val="18"/>
        </w:rPr>
      </w:pPr>
    </w:p>
    <w:p w14:paraId="105460F3" w14:textId="77777777" w:rsidR="00FE5292" w:rsidRDefault="00FE5292" w:rsidP="00BD2B20">
      <w:pPr>
        <w:rPr>
          <w:szCs w:val="18"/>
        </w:rPr>
      </w:pPr>
    </w:p>
    <w:p w14:paraId="04771AE4" w14:textId="77777777" w:rsidR="00FE5292" w:rsidRDefault="00FE5292" w:rsidP="00BD2B20">
      <w:pPr>
        <w:rPr>
          <w:szCs w:val="18"/>
        </w:rPr>
      </w:pPr>
    </w:p>
    <w:p w14:paraId="4663CB06" w14:textId="77777777" w:rsidR="00FE5292" w:rsidRDefault="00FE5292" w:rsidP="00BD2B20">
      <w:pPr>
        <w:rPr>
          <w:szCs w:val="18"/>
        </w:rPr>
      </w:pPr>
    </w:p>
    <w:p w14:paraId="60D9A812" w14:textId="77777777" w:rsidR="00FE5292" w:rsidRDefault="00FE5292" w:rsidP="00BD2B20">
      <w:pPr>
        <w:rPr>
          <w:szCs w:val="18"/>
        </w:rPr>
      </w:pPr>
    </w:p>
    <w:p w14:paraId="6A5D857C" w14:textId="77777777" w:rsidR="00811319" w:rsidRDefault="00811319" w:rsidP="00BD2B20">
      <w:pPr>
        <w:rPr>
          <w:szCs w:val="18"/>
        </w:rPr>
      </w:pPr>
    </w:p>
    <w:p w14:paraId="3D6BFE4D" w14:textId="77777777" w:rsidR="009059A6" w:rsidRDefault="009059A6" w:rsidP="00BD2B20">
      <w:pPr>
        <w:rPr>
          <w:szCs w:val="18"/>
        </w:rPr>
      </w:pPr>
    </w:p>
    <w:p w14:paraId="615E7D80" w14:textId="77777777" w:rsidR="00FC2DF9" w:rsidRDefault="00FC2DF9" w:rsidP="00BD2B20">
      <w:pPr>
        <w:rPr>
          <w:szCs w:val="18"/>
        </w:rPr>
      </w:pPr>
    </w:p>
    <w:p w14:paraId="6EF90287" w14:textId="7DE43B87" w:rsidR="00B5645B" w:rsidRDefault="008C06E7" w:rsidP="003F1DC1">
      <w:pPr>
        <w:jc w:val="center"/>
        <w:rPr>
          <w:szCs w:val="18"/>
        </w:rPr>
      </w:pPr>
      <w:r>
        <w:rPr>
          <w:szCs w:val="18"/>
        </w:rPr>
        <w:t>Method Development</w:t>
      </w:r>
      <w:r w:rsidR="00D62861">
        <w:rPr>
          <w:szCs w:val="18"/>
        </w:rPr>
        <w:t xml:space="preserve"> Team</w:t>
      </w:r>
    </w:p>
    <w:p w14:paraId="10CA1F67" w14:textId="03305B32" w:rsidR="003F1DC1" w:rsidRPr="00BD0B77" w:rsidRDefault="003F1DC1" w:rsidP="003F1DC1">
      <w:pPr>
        <w:jc w:val="center"/>
        <w:rPr>
          <w:szCs w:val="18"/>
        </w:rPr>
      </w:pPr>
      <w:r w:rsidRPr="00BD0B77">
        <w:rPr>
          <w:szCs w:val="18"/>
        </w:rPr>
        <w:t>OSHA Technical Center</w:t>
      </w:r>
    </w:p>
    <w:p w14:paraId="64F7AF36" w14:textId="6A889EF1" w:rsidR="00873611" w:rsidRDefault="003F1DC1" w:rsidP="00C16836">
      <w:pPr>
        <w:jc w:val="center"/>
        <w:rPr>
          <w:szCs w:val="18"/>
        </w:rPr>
      </w:pPr>
      <w:r w:rsidRPr="00BD0B77">
        <w:rPr>
          <w:szCs w:val="18"/>
        </w:rPr>
        <w:t>Sandy UT 84070-6406</w:t>
      </w:r>
    </w:p>
    <w:p w14:paraId="1A13DE32" w14:textId="157B50E2" w:rsidR="00695F35" w:rsidRPr="00BD0B77" w:rsidRDefault="00877805" w:rsidP="00630B42">
      <w:pPr>
        <w:pStyle w:val="Heading1"/>
        <w:rPr>
          <w:szCs w:val="18"/>
        </w:rPr>
      </w:pPr>
      <w:r w:rsidRPr="00BD0B77">
        <w:rPr>
          <w:szCs w:val="18"/>
        </w:rPr>
        <w:lastRenderedPageBreak/>
        <w:t>I</w:t>
      </w:r>
      <w:r w:rsidR="006355D5" w:rsidRPr="00BD0B77">
        <w:rPr>
          <w:szCs w:val="18"/>
        </w:rPr>
        <w:t>ntroduction</w:t>
      </w:r>
    </w:p>
    <w:p w14:paraId="28435BE0" w14:textId="263FE080" w:rsidR="00AA0D56" w:rsidRPr="00BB4063" w:rsidRDefault="00193A32" w:rsidP="00AA0D56">
      <w:pPr>
        <w:rPr>
          <w:szCs w:val="18"/>
        </w:rPr>
      </w:pPr>
      <w:r>
        <w:rPr>
          <w:szCs w:val="18"/>
        </w:rPr>
        <w:t>T</w:t>
      </w:r>
      <w:r w:rsidR="00AA0D56" w:rsidRPr="00BD0B77">
        <w:rPr>
          <w:szCs w:val="18"/>
        </w:rPr>
        <w:t xml:space="preserve">his </w:t>
      </w:r>
      <w:r w:rsidR="006E641F" w:rsidRPr="00BD0B77">
        <w:rPr>
          <w:szCs w:val="18"/>
        </w:rPr>
        <w:t>method</w:t>
      </w:r>
      <w:r w:rsidR="00AA0D56" w:rsidRPr="00BD0B77">
        <w:rPr>
          <w:szCs w:val="18"/>
        </w:rPr>
        <w:t xml:space="preserve"> </w:t>
      </w:r>
      <w:r w:rsidR="00214314">
        <w:rPr>
          <w:szCs w:val="18"/>
        </w:rPr>
        <w:t>d</w:t>
      </w:r>
      <w:r w:rsidR="00814242">
        <w:rPr>
          <w:szCs w:val="18"/>
        </w:rPr>
        <w:t>escribe</w:t>
      </w:r>
      <w:r w:rsidR="00867A48">
        <w:rPr>
          <w:szCs w:val="18"/>
        </w:rPr>
        <w:t>s</w:t>
      </w:r>
      <w:r w:rsidR="00214314">
        <w:rPr>
          <w:szCs w:val="18"/>
        </w:rPr>
        <w:t xml:space="preserve"> alternative</w:t>
      </w:r>
      <w:r>
        <w:rPr>
          <w:szCs w:val="18"/>
        </w:rPr>
        <w:t xml:space="preserve"> metho</w:t>
      </w:r>
      <w:r w:rsidR="001B633E">
        <w:rPr>
          <w:szCs w:val="18"/>
        </w:rPr>
        <w:t>dolog</w:t>
      </w:r>
      <w:r w:rsidR="00867A48">
        <w:rPr>
          <w:szCs w:val="18"/>
        </w:rPr>
        <w:t>ies</w:t>
      </w:r>
      <w:r w:rsidR="001B633E">
        <w:rPr>
          <w:szCs w:val="18"/>
        </w:rPr>
        <w:t xml:space="preserve"> to </w:t>
      </w:r>
      <w:r w:rsidR="00AA0D56" w:rsidRPr="00BD0B77">
        <w:rPr>
          <w:szCs w:val="18"/>
        </w:rPr>
        <w:t xml:space="preserve">OSHA’s use of OSHA Method </w:t>
      </w:r>
      <w:r w:rsidR="00EB3AC9">
        <w:rPr>
          <w:szCs w:val="18"/>
        </w:rPr>
        <w:t>ID-1</w:t>
      </w:r>
      <w:r w:rsidR="0050289F">
        <w:rPr>
          <w:szCs w:val="18"/>
        </w:rPr>
        <w:t>01</w:t>
      </w:r>
      <w:r w:rsidR="00AA0D56" w:rsidRPr="00BD0B77">
        <w:rPr>
          <w:szCs w:val="18"/>
        </w:rPr>
        <w:t>.</w:t>
      </w:r>
      <w:bookmarkStart w:id="0" w:name="_Ref115956735"/>
      <w:r w:rsidR="00AB4658" w:rsidRPr="00BD0B77">
        <w:rPr>
          <w:rStyle w:val="EndnoteReference"/>
          <w:szCs w:val="18"/>
          <w:vertAlign w:val="superscript"/>
        </w:rPr>
        <w:endnoteReference w:id="2"/>
      </w:r>
      <w:bookmarkEnd w:id="0"/>
      <w:r w:rsidR="00AA0D56" w:rsidRPr="00BD0B77">
        <w:rPr>
          <w:szCs w:val="18"/>
          <w:vertAlign w:val="superscript"/>
        </w:rPr>
        <w:t xml:space="preserve"> </w:t>
      </w:r>
      <w:r w:rsidR="00AA0D56" w:rsidRPr="00BD0B77">
        <w:rPr>
          <w:szCs w:val="18"/>
        </w:rPr>
        <w:t xml:space="preserve">That method </w:t>
      </w:r>
      <w:r w:rsidR="009027E9">
        <w:rPr>
          <w:szCs w:val="18"/>
        </w:rPr>
        <w:t xml:space="preserve">requires </w:t>
      </w:r>
      <w:r w:rsidR="00AA0D56" w:rsidRPr="00BD0B77">
        <w:rPr>
          <w:szCs w:val="18"/>
        </w:rPr>
        <w:t xml:space="preserve">the </w:t>
      </w:r>
      <w:r w:rsidR="00726188">
        <w:rPr>
          <w:szCs w:val="18"/>
        </w:rPr>
        <w:t>collection</w:t>
      </w:r>
      <w:r w:rsidR="003600CC" w:rsidRPr="00BD0B77">
        <w:rPr>
          <w:szCs w:val="18"/>
        </w:rPr>
        <w:t xml:space="preserve"> of </w:t>
      </w:r>
      <w:r w:rsidR="00434274">
        <w:rPr>
          <w:szCs w:val="18"/>
        </w:rPr>
        <w:t>Cl</w:t>
      </w:r>
      <w:r w:rsidR="00434274" w:rsidRPr="00434274">
        <w:rPr>
          <w:szCs w:val="18"/>
          <w:vertAlign w:val="subscript"/>
        </w:rPr>
        <w:t>2</w:t>
      </w:r>
      <w:r w:rsidR="00CA1E90">
        <w:rPr>
          <w:szCs w:val="18"/>
        </w:rPr>
        <w:t xml:space="preserve"> </w:t>
      </w:r>
      <w:r w:rsidR="00BB0DD9" w:rsidRPr="00BD0B77">
        <w:rPr>
          <w:szCs w:val="18"/>
        </w:rPr>
        <w:t xml:space="preserve">using </w:t>
      </w:r>
      <w:r w:rsidR="00106E31">
        <w:rPr>
          <w:szCs w:val="18"/>
        </w:rPr>
        <w:t xml:space="preserve">a </w:t>
      </w:r>
      <w:r w:rsidR="00E97357">
        <w:rPr>
          <w:szCs w:val="18"/>
        </w:rPr>
        <w:t>midget fritted glass bubbler containing a 0.1% sulfamic acid solution</w:t>
      </w:r>
      <w:r w:rsidR="00AC635F">
        <w:rPr>
          <w:szCs w:val="18"/>
        </w:rPr>
        <w:t>.</w:t>
      </w:r>
      <w:r w:rsidR="00882391">
        <w:rPr>
          <w:szCs w:val="18"/>
        </w:rPr>
        <w:t xml:space="preserve"> </w:t>
      </w:r>
      <w:r w:rsidR="00F82F82">
        <w:rPr>
          <w:szCs w:val="18"/>
        </w:rPr>
        <w:t xml:space="preserve">This method uses </w:t>
      </w:r>
      <w:r w:rsidR="001B591C">
        <w:rPr>
          <w:szCs w:val="18"/>
        </w:rPr>
        <w:t>a</w:t>
      </w:r>
      <w:r w:rsidR="00CB473A">
        <w:rPr>
          <w:szCs w:val="18"/>
        </w:rPr>
        <w:t xml:space="preserve"> </w:t>
      </w:r>
      <w:r w:rsidR="00F82F82">
        <w:rPr>
          <w:szCs w:val="18"/>
        </w:rPr>
        <w:t xml:space="preserve">direct-reading monitor with an </w:t>
      </w:r>
      <w:r w:rsidR="001B591C">
        <w:rPr>
          <w:szCs w:val="18"/>
        </w:rPr>
        <w:t>electrochemical</w:t>
      </w:r>
      <w:r w:rsidR="00F82F82">
        <w:rPr>
          <w:szCs w:val="18"/>
        </w:rPr>
        <w:t xml:space="preserve"> sensor for on-site monitoring </w:t>
      </w:r>
      <w:r w:rsidR="00F82F82" w:rsidRPr="00E760C7">
        <w:rPr>
          <w:szCs w:val="18"/>
        </w:rPr>
        <w:t xml:space="preserve">of </w:t>
      </w:r>
      <w:r w:rsidR="003E5541">
        <w:rPr>
          <w:szCs w:val="18"/>
        </w:rPr>
        <w:t>chlorine</w:t>
      </w:r>
      <w:r w:rsidR="00F82F82">
        <w:rPr>
          <w:szCs w:val="18"/>
        </w:rPr>
        <w:t>.</w:t>
      </w:r>
    </w:p>
    <w:p w14:paraId="5AAF3A5B" w14:textId="1E6D9AB3" w:rsidR="006355D5" w:rsidRPr="00BD0B77" w:rsidRDefault="0038245D" w:rsidP="001741F3">
      <w:pPr>
        <w:pStyle w:val="Heading1"/>
        <w:rPr>
          <w:szCs w:val="18"/>
        </w:rPr>
      </w:pPr>
      <w:r>
        <w:rPr>
          <w:szCs w:val="18"/>
        </w:rPr>
        <w:t>Monitoring</w:t>
      </w:r>
      <w:r w:rsidR="006355D5" w:rsidRPr="00BD0B77">
        <w:rPr>
          <w:szCs w:val="18"/>
        </w:rPr>
        <w:t xml:space="preserve"> Procedure</w:t>
      </w:r>
    </w:p>
    <w:p w14:paraId="442C082F" w14:textId="5CCB9101" w:rsidR="007D773C" w:rsidRPr="00701719" w:rsidRDefault="00E2237A" w:rsidP="007D773C">
      <w:r w:rsidRPr="00BD0B77">
        <w:rPr>
          <w:szCs w:val="18"/>
        </w:rPr>
        <w:t>Follow a</w:t>
      </w:r>
      <w:r w:rsidR="006355D5" w:rsidRPr="00BD0B77">
        <w:rPr>
          <w:szCs w:val="18"/>
        </w:rPr>
        <w:t xml:space="preserve">ll safety practices that apply to the work area </w:t>
      </w:r>
      <w:r w:rsidR="0057133B" w:rsidRPr="00BD0B77">
        <w:rPr>
          <w:szCs w:val="18"/>
        </w:rPr>
        <w:t xml:space="preserve">where </w:t>
      </w:r>
      <w:r w:rsidR="0091378A">
        <w:rPr>
          <w:szCs w:val="18"/>
        </w:rPr>
        <w:t>monitoring</w:t>
      </w:r>
      <w:r w:rsidR="0057133B" w:rsidRPr="00BD0B77">
        <w:rPr>
          <w:szCs w:val="18"/>
        </w:rPr>
        <w:t xml:space="preserve"> occurs</w:t>
      </w:r>
      <w:r w:rsidRPr="00BD0B77">
        <w:rPr>
          <w:szCs w:val="18"/>
        </w:rPr>
        <w:t>.</w:t>
      </w:r>
    </w:p>
    <w:p w14:paraId="3B2F4D1F" w14:textId="5D2C3C89" w:rsidR="006305E7" w:rsidRPr="00BD0B77" w:rsidRDefault="006305E7" w:rsidP="006305E7">
      <w:pPr>
        <w:pStyle w:val="Heading2"/>
      </w:pPr>
      <w:bookmarkStart w:id="1" w:name="_Hlk199946125"/>
      <w:r w:rsidRPr="00BD0B77">
        <w:t>Apparatus</w:t>
      </w:r>
    </w:p>
    <w:bookmarkEnd w:id="1"/>
    <w:p w14:paraId="2CDC78E0" w14:textId="57B62EFA" w:rsidR="00A16394" w:rsidRDefault="0050407D" w:rsidP="00DA0BBB">
      <w:pPr>
        <w:pStyle w:val="ListParagraph"/>
        <w:rPr>
          <w:szCs w:val="18"/>
        </w:rPr>
      </w:pPr>
      <w:r>
        <w:rPr>
          <w:szCs w:val="18"/>
        </w:rPr>
        <w:t>P</w:t>
      </w:r>
      <w:r w:rsidR="009C0C70">
        <w:rPr>
          <w:szCs w:val="18"/>
        </w:rPr>
        <w:t>ersonal</w:t>
      </w:r>
      <w:r w:rsidR="001B030D">
        <w:rPr>
          <w:szCs w:val="18"/>
        </w:rPr>
        <w:t xml:space="preserve"> </w:t>
      </w:r>
      <w:r w:rsidR="00B55053">
        <w:rPr>
          <w:szCs w:val="18"/>
        </w:rPr>
        <w:t xml:space="preserve">gas </w:t>
      </w:r>
      <w:r w:rsidR="002B72C4">
        <w:rPr>
          <w:szCs w:val="18"/>
        </w:rPr>
        <w:t>monitor</w:t>
      </w:r>
      <w:r w:rsidR="00855052">
        <w:rPr>
          <w:szCs w:val="18"/>
        </w:rPr>
        <w:t xml:space="preserve"> with </w:t>
      </w:r>
      <w:r w:rsidR="00B73031">
        <w:rPr>
          <w:szCs w:val="18"/>
        </w:rPr>
        <w:t xml:space="preserve">a </w:t>
      </w:r>
      <w:r w:rsidR="00EC5F72">
        <w:rPr>
          <w:szCs w:val="18"/>
        </w:rPr>
        <w:t xml:space="preserve">one-second </w:t>
      </w:r>
      <w:r w:rsidR="00655F8C">
        <w:rPr>
          <w:szCs w:val="18"/>
        </w:rPr>
        <w:t>or less</w:t>
      </w:r>
      <w:r w:rsidR="00EC5F72">
        <w:rPr>
          <w:szCs w:val="18"/>
        </w:rPr>
        <w:t xml:space="preserve"> </w:t>
      </w:r>
      <w:r w:rsidR="00B73031">
        <w:rPr>
          <w:szCs w:val="18"/>
        </w:rPr>
        <w:t xml:space="preserve">datalogging interval </w:t>
      </w:r>
      <w:r w:rsidR="004C541F">
        <w:rPr>
          <w:szCs w:val="18"/>
        </w:rPr>
        <w:t>an</w:t>
      </w:r>
      <w:r w:rsidR="00B73031">
        <w:rPr>
          <w:szCs w:val="18"/>
        </w:rPr>
        <w:t>d</w:t>
      </w:r>
      <w:r w:rsidR="004C541F">
        <w:rPr>
          <w:szCs w:val="18"/>
        </w:rPr>
        <w:t xml:space="preserve"> </w:t>
      </w:r>
      <w:r w:rsidR="00556CC7">
        <w:rPr>
          <w:szCs w:val="18"/>
        </w:rPr>
        <w:t xml:space="preserve">a </w:t>
      </w:r>
      <w:r w:rsidR="00383894">
        <w:rPr>
          <w:szCs w:val="18"/>
        </w:rPr>
        <w:t>sixteen</w:t>
      </w:r>
      <w:r w:rsidR="00EC5F72">
        <w:rPr>
          <w:szCs w:val="18"/>
        </w:rPr>
        <w:t xml:space="preserve">-hour </w:t>
      </w:r>
      <w:r w:rsidR="00E259E1">
        <w:rPr>
          <w:szCs w:val="18"/>
        </w:rPr>
        <w:t>operat</w:t>
      </w:r>
      <w:r w:rsidR="00E046AF">
        <w:rPr>
          <w:szCs w:val="18"/>
        </w:rPr>
        <w:t>ing time</w:t>
      </w:r>
      <w:r w:rsidR="009D0BFB">
        <w:rPr>
          <w:szCs w:val="18"/>
        </w:rPr>
        <w:t xml:space="preserve"> </w:t>
      </w:r>
      <w:r w:rsidR="00645B88">
        <w:rPr>
          <w:szCs w:val="18"/>
        </w:rPr>
        <w:t>(</w:t>
      </w:r>
      <w:r w:rsidR="00C224C8">
        <w:rPr>
          <w:szCs w:val="18"/>
        </w:rPr>
        <w:t>i.e</w:t>
      </w:r>
      <w:r w:rsidR="00CF7487">
        <w:rPr>
          <w:szCs w:val="18"/>
        </w:rPr>
        <w:t>.</w:t>
      </w:r>
      <w:r w:rsidR="006277BD">
        <w:rPr>
          <w:szCs w:val="18"/>
        </w:rPr>
        <w:t>,</w:t>
      </w:r>
      <w:r w:rsidR="0065647A">
        <w:rPr>
          <w:szCs w:val="18"/>
        </w:rPr>
        <w:t xml:space="preserve"> </w:t>
      </w:r>
      <w:r w:rsidR="00D47BAE" w:rsidRPr="00D47BAE">
        <w:rPr>
          <w:szCs w:val="18"/>
        </w:rPr>
        <w:t>Dräger</w:t>
      </w:r>
      <w:r w:rsidR="00CC450D">
        <w:rPr>
          <w:szCs w:val="18"/>
        </w:rPr>
        <w:t xml:space="preserve"> X-am 5600 Multi</w:t>
      </w:r>
      <w:r w:rsidR="00D47BAE">
        <w:rPr>
          <w:szCs w:val="18"/>
        </w:rPr>
        <w:t>-</w:t>
      </w:r>
      <w:r w:rsidR="00CC450D">
        <w:rPr>
          <w:szCs w:val="18"/>
        </w:rPr>
        <w:t>Gas Detector</w:t>
      </w:r>
      <w:r w:rsidR="00FD1D90">
        <w:rPr>
          <w:szCs w:val="18"/>
        </w:rPr>
        <w:t xml:space="preserve"> with </w:t>
      </w:r>
      <w:r w:rsidR="000007A8">
        <w:rPr>
          <w:szCs w:val="18"/>
        </w:rPr>
        <w:t>a firmware version of 7.8</w:t>
      </w:r>
      <w:r w:rsidR="00CC450D">
        <w:rPr>
          <w:szCs w:val="18"/>
        </w:rPr>
        <w:t xml:space="preserve"> or equivalent)</w:t>
      </w:r>
      <w:r w:rsidR="006A0BB0">
        <w:rPr>
          <w:szCs w:val="18"/>
        </w:rPr>
        <w:t xml:space="preserve">, </w:t>
      </w:r>
      <w:r w:rsidR="006A0BB0" w:rsidRPr="006A0BB0">
        <w:rPr>
          <w:szCs w:val="18"/>
        </w:rPr>
        <w:t>synchronized to the OSHA Technical Center’s time zone, and safety alarms set to the maximum value</w:t>
      </w:r>
    </w:p>
    <w:p w14:paraId="32C4363D" w14:textId="3A3A3BA2" w:rsidR="00DA0BBB" w:rsidRDefault="00434274" w:rsidP="00DA0BBB">
      <w:pPr>
        <w:pStyle w:val="ListParagraph"/>
        <w:rPr>
          <w:szCs w:val="18"/>
        </w:rPr>
      </w:pPr>
      <w:r>
        <w:rPr>
          <w:szCs w:val="18"/>
        </w:rPr>
        <w:t>Cl</w:t>
      </w:r>
      <w:r w:rsidRPr="0050289F">
        <w:rPr>
          <w:szCs w:val="18"/>
          <w:vertAlign w:val="subscript"/>
        </w:rPr>
        <w:t>2</w:t>
      </w:r>
      <w:r w:rsidR="00A16394">
        <w:rPr>
          <w:szCs w:val="18"/>
        </w:rPr>
        <w:t xml:space="preserve"> electrochemical </w:t>
      </w:r>
      <w:r w:rsidR="00A23AB6">
        <w:rPr>
          <w:szCs w:val="18"/>
        </w:rPr>
        <w:t>senso</w:t>
      </w:r>
      <w:r w:rsidR="00DA7C5A">
        <w:rPr>
          <w:szCs w:val="18"/>
        </w:rPr>
        <w:t xml:space="preserve">r with a </w:t>
      </w:r>
      <w:r w:rsidR="005A28EB">
        <w:rPr>
          <w:szCs w:val="18"/>
        </w:rPr>
        <w:t xml:space="preserve">manufacturer-listed </w:t>
      </w:r>
      <w:r w:rsidR="00DA7C5A">
        <w:rPr>
          <w:szCs w:val="18"/>
        </w:rPr>
        <w:t>working range of</w:t>
      </w:r>
      <w:r w:rsidR="00B221EC">
        <w:rPr>
          <w:szCs w:val="18"/>
        </w:rPr>
        <w:t xml:space="preserve"> 0-</w:t>
      </w:r>
      <w:r w:rsidR="00B63676">
        <w:rPr>
          <w:szCs w:val="18"/>
        </w:rPr>
        <w:t>2</w:t>
      </w:r>
      <w:r w:rsidR="004503EB">
        <w:rPr>
          <w:szCs w:val="18"/>
        </w:rPr>
        <w:t>0</w:t>
      </w:r>
      <w:r w:rsidR="00B221EC">
        <w:rPr>
          <w:szCs w:val="18"/>
        </w:rPr>
        <w:t xml:space="preserve"> ppm</w:t>
      </w:r>
      <w:r w:rsidR="001E348A">
        <w:rPr>
          <w:szCs w:val="18"/>
        </w:rPr>
        <w:t xml:space="preserve"> </w:t>
      </w:r>
      <w:r w:rsidR="00FA13EC">
        <w:rPr>
          <w:szCs w:val="18"/>
        </w:rPr>
        <w:t>(</w:t>
      </w:r>
      <w:r w:rsidR="00BA6962">
        <w:rPr>
          <w:szCs w:val="18"/>
        </w:rPr>
        <w:t>i.e</w:t>
      </w:r>
      <w:r w:rsidR="006277BD">
        <w:rPr>
          <w:szCs w:val="18"/>
        </w:rPr>
        <w:t xml:space="preserve">., </w:t>
      </w:r>
      <w:r w:rsidR="00113936" w:rsidRPr="00113936">
        <w:rPr>
          <w:szCs w:val="18"/>
        </w:rPr>
        <w:t>Dräger</w:t>
      </w:r>
      <w:r w:rsidR="00FA13EC">
        <w:rPr>
          <w:szCs w:val="18"/>
        </w:rPr>
        <w:t xml:space="preserve"> </w:t>
      </w:r>
      <w:r w:rsidR="00626419">
        <w:rPr>
          <w:szCs w:val="18"/>
        </w:rPr>
        <w:t xml:space="preserve">XXS </w:t>
      </w:r>
      <w:r>
        <w:rPr>
          <w:szCs w:val="18"/>
        </w:rPr>
        <w:t>C</w:t>
      </w:r>
      <w:r w:rsidR="00D81FFB">
        <w:rPr>
          <w:szCs w:val="18"/>
        </w:rPr>
        <w:t>l</w:t>
      </w:r>
      <w:r w:rsidRPr="00D81FFB">
        <w:rPr>
          <w:szCs w:val="18"/>
          <w:vertAlign w:val="subscript"/>
        </w:rPr>
        <w:t>2</w:t>
      </w:r>
      <w:r w:rsidR="00626419">
        <w:rPr>
          <w:szCs w:val="18"/>
        </w:rPr>
        <w:t xml:space="preserve"> or </w:t>
      </w:r>
      <w:r w:rsidR="007641F3">
        <w:rPr>
          <w:szCs w:val="18"/>
        </w:rPr>
        <w:t>equivalent)</w:t>
      </w:r>
    </w:p>
    <w:p w14:paraId="03348029" w14:textId="554450DC" w:rsidR="00A23AB6" w:rsidRPr="009D4D54" w:rsidRDefault="000E4406" w:rsidP="009D4D54">
      <w:pPr>
        <w:pStyle w:val="ListParagraph"/>
        <w:rPr>
          <w:szCs w:val="18"/>
        </w:rPr>
      </w:pPr>
      <w:r>
        <w:rPr>
          <w:szCs w:val="18"/>
        </w:rPr>
        <w:t>M</w:t>
      </w:r>
      <w:r w:rsidR="00163C1E">
        <w:rPr>
          <w:szCs w:val="18"/>
        </w:rPr>
        <w:t>onitor-specific</w:t>
      </w:r>
      <w:r w:rsidR="00E7315D">
        <w:rPr>
          <w:szCs w:val="18"/>
        </w:rPr>
        <w:t xml:space="preserve"> </w:t>
      </w:r>
      <w:r w:rsidR="001E207A">
        <w:rPr>
          <w:szCs w:val="18"/>
        </w:rPr>
        <w:t xml:space="preserve">mountable </w:t>
      </w:r>
      <w:r w:rsidR="00E7315D">
        <w:rPr>
          <w:szCs w:val="18"/>
        </w:rPr>
        <w:t>external pump</w:t>
      </w:r>
      <w:r w:rsidR="009D4D54" w:rsidRPr="009D4D54">
        <w:rPr>
          <w:szCs w:val="18"/>
        </w:rPr>
        <w:t xml:space="preserve"> </w:t>
      </w:r>
      <w:r w:rsidR="009D4D54">
        <w:rPr>
          <w:szCs w:val="18"/>
        </w:rPr>
        <w:t>with</w:t>
      </w:r>
      <w:r w:rsidR="00883357">
        <w:rPr>
          <w:szCs w:val="18"/>
        </w:rPr>
        <w:t xml:space="preserve"> a fixed sampling flow rate </w:t>
      </w:r>
      <w:r w:rsidR="00F35E96">
        <w:rPr>
          <w:szCs w:val="18"/>
        </w:rPr>
        <w:t>and</w:t>
      </w:r>
      <w:r w:rsidR="009D4D54">
        <w:rPr>
          <w:szCs w:val="18"/>
        </w:rPr>
        <w:t xml:space="preserve"> </w:t>
      </w:r>
      <w:r w:rsidR="00D16706">
        <w:rPr>
          <w:szCs w:val="18"/>
        </w:rPr>
        <w:t>chemically compati</w:t>
      </w:r>
      <w:r w:rsidR="004579DE">
        <w:rPr>
          <w:szCs w:val="18"/>
        </w:rPr>
        <w:t>ble</w:t>
      </w:r>
      <w:r w:rsidR="007C0B34">
        <w:rPr>
          <w:szCs w:val="18"/>
        </w:rPr>
        <w:t xml:space="preserve"> </w:t>
      </w:r>
      <w:r w:rsidR="009D4D54">
        <w:rPr>
          <w:szCs w:val="18"/>
        </w:rPr>
        <w:t>tubing</w:t>
      </w:r>
      <w:r w:rsidR="00E7315D">
        <w:rPr>
          <w:szCs w:val="18"/>
        </w:rPr>
        <w:t xml:space="preserve"> (i.e., </w:t>
      </w:r>
      <w:r w:rsidR="00E7315D" w:rsidRPr="00E7315D">
        <w:rPr>
          <w:szCs w:val="18"/>
        </w:rPr>
        <w:t xml:space="preserve">Dräger X-am </w:t>
      </w:r>
      <w:r w:rsidR="00E7315D">
        <w:rPr>
          <w:szCs w:val="18"/>
        </w:rPr>
        <w:t>pump</w:t>
      </w:r>
      <w:r w:rsidR="00495FFF">
        <w:rPr>
          <w:szCs w:val="18"/>
        </w:rPr>
        <w:t xml:space="preserve"> with </w:t>
      </w:r>
      <w:r w:rsidR="003B6030">
        <w:rPr>
          <w:szCs w:val="18"/>
        </w:rPr>
        <w:t>3/16-inch</w:t>
      </w:r>
      <w:r w:rsidR="009F5187">
        <w:rPr>
          <w:szCs w:val="18"/>
        </w:rPr>
        <w:t xml:space="preserve"> </w:t>
      </w:r>
      <w:proofErr w:type="spellStart"/>
      <w:r w:rsidR="009E5991">
        <w:rPr>
          <w:szCs w:val="18"/>
        </w:rPr>
        <w:t>i</w:t>
      </w:r>
      <w:r w:rsidR="009F5187">
        <w:rPr>
          <w:szCs w:val="18"/>
        </w:rPr>
        <w:t>.</w:t>
      </w:r>
      <w:r w:rsidR="009E5991">
        <w:rPr>
          <w:szCs w:val="18"/>
        </w:rPr>
        <w:t>d</w:t>
      </w:r>
      <w:r w:rsidR="009F5187">
        <w:rPr>
          <w:szCs w:val="18"/>
        </w:rPr>
        <w:t>.</w:t>
      </w:r>
      <w:proofErr w:type="spellEnd"/>
      <w:r w:rsidR="009F5187">
        <w:rPr>
          <w:szCs w:val="18"/>
        </w:rPr>
        <w:t xml:space="preserve"> </w:t>
      </w:r>
      <w:proofErr w:type="spellStart"/>
      <w:r w:rsidR="00495FFF">
        <w:rPr>
          <w:szCs w:val="18"/>
        </w:rPr>
        <w:t>Tygon</w:t>
      </w:r>
      <w:proofErr w:type="spellEnd"/>
      <w:r w:rsidR="00495FFF">
        <w:rPr>
          <w:szCs w:val="18"/>
        </w:rPr>
        <w:t xml:space="preserve"> SE200</w:t>
      </w:r>
      <w:r w:rsidR="00F33A86">
        <w:rPr>
          <w:szCs w:val="18"/>
        </w:rPr>
        <w:t xml:space="preserve"> tubing</w:t>
      </w:r>
      <w:r w:rsidR="00F35E96">
        <w:rPr>
          <w:szCs w:val="18"/>
        </w:rPr>
        <w:t xml:space="preserve"> or equivalent)</w:t>
      </w:r>
    </w:p>
    <w:p w14:paraId="54EBC3B4" w14:textId="48EA8C08" w:rsidR="00473E52" w:rsidRDefault="00101A31" w:rsidP="00DA0BBB">
      <w:pPr>
        <w:pStyle w:val="ListParagraph"/>
        <w:rPr>
          <w:szCs w:val="18"/>
        </w:rPr>
      </w:pPr>
      <w:r>
        <w:rPr>
          <w:szCs w:val="18"/>
        </w:rPr>
        <w:t>C</w:t>
      </w:r>
      <w:r w:rsidR="00473E52">
        <w:rPr>
          <w:szCs w:val="18"/>
        </w:rPr>
        <w:t xml:space="preserve">alibration </w:t>
      </w:r>
      <w:r w:rsidR="004E1636">
        <w:rPr>
          <w:szCs w:val="18"/>
        </w:rPr>
        <w:t>g</w:t>
      </w:r>
      <w:r w:rsidR="00473E52">
        <w:rPr>
          <w:szCs w:val="18"/>
        </w:rPr>
        <w:t>as</w:t>
      </w:r>
      <w:r w:rsidR="0063478A">
        <w:rPr>
          <w:szCs w:val="18"/>
        </w:rPr>
        <w:t xml:space="preserve"> cylinders</w:t>
      </w:r>
      <w:r w:rsidR="004E1636" w:rsidRPr="004E1636">
        <w:rPr>
          <w:szCs w:val="18"/>
        </w:rPr>
        <w:t xml:space="preserve"> </w:t>
      </w:r>
      <w:r w:rsidR="0063478A">
        <w:rPr>
          <w:szCs w:val="18"/>
        </w:rPr>
        <w:t xml:space="preserve">of </w:t>
      </w:r>
      <w:r w:rsidR="00434274">
        <w:rPr>
          <w:szCs w:val="18"/>
        </w:rPr>
        <w:t>C</w:t>
      </w:r>
      <w:r w:rsidR="00F6283D">
        <w:rPr>
          <w:szCs w:val="18"/>
        </w:rPr>
        <w:t>l</w:t>
      </w:r>
      <w:r w:rsidR="00434274" w:rsidRPr="00F6283D">
        <w:rPr>
          <w:szCs w:val="18"/>
          <w:vertAlign w:val="subscript"/>
        </w:rPr>
        <w:t>2</w:t>
      </w:r>
      <w:r w:rsidR="0063478A">
        <w:rPr>
          <w:szCs w:val="18"/>
        </w:rPr>
        <w:t xml:space="preserve"> at </w:t>
      </w:r>
      <w:r w:rsidR="00754723">
        <w:rPr>
          <w:szCs w:val="18"/>
        </w:rPr>
        <w:t>2</w:t>
      </w:r>
      <w:r w:rsidR="0063478A">
        <w:rPr>
          <w:szCs w:val="18"/>
        </w:rPr>
        <w:t xml:space="preserve"> and </w:t>
      </w:r>
      <w:r w:rsidR="00754723">
        <w:rPr>
          <w:szCs w:val="18"/>
        </w:rPr>
        <w:t>5</w:t>
      </w:r>
      <w:r w:rsidR="0063478A">
        <w:rPr>
          <w:szCs w:val="18"/>
        </w:rPr>
        <w:t xml:space="preserve"> ppm</w:t>
      </w:r>
      <w:r w:rsidR="00803CD8">
        <w:rPr>
          <w:szCs w:val="18"/>
        </w:rPr>
        <w:t xml:space="preserve"> with</w:t>
      </w:r>
      <w:r w:rsidR="00F40C9C">
        <w:rPr>
          <w:szCs w:val="18"/>
        </w:rPr>
        <w:t xml:space="preserve"> a</w:t>
      </w:r>
      <w:r w:rsidR="00D0076F">
        <w:rPr>
          <w:szCs w:val="18"/>
        </w:rPr>
        <w:t xml:space="preserve"> manufacturer-listed </w:t>
      </w:r>
      <w:r w:rsidR="00803CD8">
        <w:rPr>
          <w:szCs w:val="18"/>
        </w:rPr>
        <w:t xml:space="preserve">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F40C9C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F40C9C">
        <w:rPr>
          <w:szCs w:val="18"/>
        </w:rPr>
        <w:t>%</w:t>
      </w:r>
    </w:p>
    <w:p w14:paraId="478ADA19" w14:textId="6744AE00" w:rsidR="00FD1E3A" w:rsidRDefault="00485204" w:rsidP="00DA0BBB">
      <w:pPr>
        <w:pStyle w:val="ListParagraph"/>
        <w:rPr>
          <w:szCs w:val="18"/>
        </w:rPr>
      </w:pPr>
      <w:r>
        <w:rPr>
          <w:szCs w:val="18"/>
        </w:rPr>
        <w:t xml:space="preserve">Compatible </w:t>
      </w:r>
      <w:r w:rsidR="0027747B">
        <w:rPr>
          <w:szCs w:val="18"/>
        </w:rPr>
        <w:t>c</w:t>
      </w:r>
      <w:r w:rsidR="00600C7F">
        <w:rPr>
          <w:szCs w:val="18"/>
        </w:rPr>
        <w:t xml:space="preserve">alibration gas </w:t>
      </w:r>
      <w:r w:rsidR="00101A31">
        <w:rPr>
          <w:szCs w:val="18"/>
        </w:rPr>
        <w:t>r</w:t>
      </w:r>
      <w:r w:rsidR="00FD1E3A">
        <w:rPr>
          <w:szCs w:val="18"/>
        </w:rPr>
        <w:t>egulator</w:t>
      </w:r>
      <w:r w:rsidR="0027747B">
        <w:rPr>
          <w:szCs w:val="18"/>
        </w:rPr>
        <w:t>s</w:t>
      </w:r>
      <w:r w:rsidR="00101A31">
        <w:rPr>
          <w:szCs w:val="18"/>
        </w:rPr>
        <w:t xml:space="preserve"> with a fixed gas flow of 0.5 L/min</w:t>
      </w:r>
    </w:p>
    <w:p w14:paraId="0143A229" w14:textId="2B156CBC" w:rsidR="00B762B5" w:rsidRDefault="00D061D3" w:rsidP="00DA0BBB">
      <w:pPr>
        <w:pStyle w:val="ListParagraph"/>
        <w:rPr>
          <w:szCs w:val="18"/>
        </w:rPr>
      </w:pPr>
      <w:r>
        <w:rPr>
          <w:szCs w:val="18"/>
        </w:rPr>
        <w:t>Data c</w:t>
      </w:r>
      <w:r w:rsidR="00B762B5">
        <w:rPr>
          <w:szCs w:val="18"/>
        </w:rPr>
        <w:t>om</w:t>
      </w:r>
      <w:r w:rsidR="003D53D7">
        <w:rPr>
          <w:szCs w:val="18"/>
        </w:rPr>
        <w:t>munication adapte</w:t>
      </w:r>
      <w:r>
        <w:rPr>
          <w:szCs w:val="18"/>
        </w:rPr>
        <w:t>r and cable</w:t>
      </w:r>
    </w:p>
    <w:p w14:paraId="7CA50E69" w14:textId="03DEF86E" w:rsidR="007902E0" w:rsidRDefault="00D6157C" w:rsidP="00DA0BBB">
      <w:pPr>
        <w:pStyle w:val="ListParagraph"/>
        <w:rPr>
          <w:szCs w:val="18"/>
        </w:rPr>
      </w:pPr>
      <w:r>
        <w:rPr>
          <w:szCs w:val="18"/>
        </w:rPr>
        <w:t>Battery pack</w:t>
      </w:r>
      <w:r w:rsidR="004F739C">
        <w:rPr>
          <w:szCs w:val="18"/>
        </w:rPr>
        <w:t>s</w:t>
      </w:r>
      <w:r w:rsidR="00E65DC1" w:rsidRPr="007D2821">
        <w:rPr>
          <w:color w:val="FF0000"/>
          <w:szCs w:val="18"/>
        </w:rPr>
        <w:t xml:space="preserve"> </w:t>
      </w:r>
      <w:r w:rsidR="00F20217">
        <w:rPr>
          <w:szCs w:val="18"/>
        </w:rPr>
        <w:t xml:space="preserve">with </w:t>
      </w:r>
      <w:r w:rsidR="00E65DC1">
        <w:rPr>
          <w:szCs w:val="18"/>
        </w:rPr>
        <w:t>rechargeable</w:t>
      </w:r>
      <w:r w:rsidR="00F20217">
        <w:rPr>
          <w:szCs w:val="18"/>
        </w:rPr>
        <w:t xml:space="preserve"> batteries</w:t>
      </w:r>
    </w:p>
    <w:p w14:paraId="171F0F37" w14:textId="1CB85099" w:rsidR="00125F01" w:rsidRPr="00B63D95" w:rsidRDefault="007378A4" w:rsidP="00DA0BBB">
      <w:pPr>
        <w:pStyle w:val="ListParagraph"/>
        <w:rPr>
          <w:szCs w:val="18"/>
        </w:rPr>
      </w:pPr>
      <w:r w:rsidRPr="001E32F8">
        <w:rPr>
          <w:szCs w:val="18"/>
        </w:rPr>
        <w:t>NIST traceable temperature</w:t>
      </w:r>
      <w:r w:rsidR="00254CA1" w:rsidRPr="001E32F8">
        <w:rPr>
          <w:szCs w:val="18"/>
        </w:rPr>
        <w:t xml:space="preserve"> and </w:t>
      </w:r>
      <w:r w:rsidR="00873A9B" w:rsidRPr="001E32F8">
        <w:rPr>
          <w:szCs w:val="18"/>
        </w:rPr>
        <w:t xml:space="preserve">barometric </w:t>
      </w:r>
      <w:r w:rsidR="00254CA1" w:rsidRPr="001E32F8">
        <w:rPr>
          <w:szCs w:val="18"/>
        </w:rPr>
        <w:t>pressure monitor</w:t>
      </w:r>
      <w:r w:rsidRPr="001E32F8">
        <w:rPr>
          <w:szCs w:val="18"/>
        </w:rPr>
        <w:t xml:space="preserve"> (</w:t>
      </w:r>
      <w:r w:rsidR="00BA6962">
        <w:rPr>
          <w:szCs w:val="18"/>
        </w:rPr>
        <w:t>i.e</w:t>
      </w:r>
      <w:r w:rsidR="00A164D3" w:rsidRPr="001E32F8">
        <w:rPr>
          <w:szCs w:val="18"/>
        </w:rPr>
        <w:t xml:space="preserve">., </w:t>
      </w:r>
      <w:proofErr w:type="spellStart"/>
      <w:r w:rsidR="00644251">
        <w:rPr>
          <w:szCs w:val="18"/>
        </w:rPr>
        <w:t>Extech</w:t>
      </w:r>
      <w:proofErr w:type="spellEnd"/>
      <w:r w:rsidR="00644251">
        <w:rPr>
          <w:szCs w:val="18"/>
        </w:rPr>
        <w:t xml:space="preserve"> SD700 </w:t>
      </w:r>
      <w:r w:rsidR="00CF7386">
        <w:rPr>
          <w:szCs w:val="18"/>
        </w:rPr>
        <w:t>or equivalent</w:t>
      </w:r>
      <w:r w:rsidR="00A164D3" w:rsidRPr="001E32F8">
        <w:rPr>
          <w:szCs w:val="18"/>
        </w:rPr>
        <w:t>)</w:t>
      </w:r>
    </w:p>
    <w:p w14:paraId="63D9CFF4" w14:textId="037FB78F" w:rsidR="00F4072C" w:rsidRPr="009B4CC0" w:rsidRDefault="006E7F71" w:rsidP="006561A1">
      <w:pPr>
        <w:pStyle w:val="ListParagraph"/>
      </w:pPr>
      <w:r>
        <w:rPr>
          <w:szCs w:val="18"/>
        </w:rPr>
        <w:t>Monitor-specific software</w:t>
      </w:r>
    </w:p>
    <w:p w14:paraId="520AD57F" w14:textId="3B36A823" w:rsidR="00F4072C" w:rsidRPr="00BD0B77" w:rsidRDefault="00F4072C" w:rsidP="00F4072C">
      <w:pPr>
        <w:pStyle w:val="Heading2"/>
      </w:pPr>
      <w:r>
        <w:t>Technique</w:t>
      </w:r>
    </w:p>
    <w:p w14:paraId="72712018" w14:textId="036BB049" w:rsidR="00E97412" w:rsidRPr="00E97412" w:rsidRDefault="007640C0" w:rsidP="00E97412">
      <w:pPr>
        <w:pStyle w:val="Heading3"/>
      </w:pPr>
      <w:r>
        <w:t>Calibration</w:t>
      </w:r>
    </w:p>
    <w:p w14:paraId="2FDAF930" w14:textId="5D608369" w:rsidR="00C108A9" w:rsidRPr="006561A1" w:rsidRDefault="00362A73" w:rsidP="003432F0">
      <w:pPr>
        <w:rPr>
          <w:strike/>
        </w:rPr>
      </w:pPr>
      <w:r>
        <w:t>To avoid being exposed to</w:t>
      </w:r>
      <w:r w:rsidR="00F20204">
        <w:t xml:space="preserve"> </w:t>
      </w:r>
      <w:r w:rsidR="00434274">
        <w:t>C</w:t>
      </w:r>
      <w:r w:rsidR="001329A2">
        <w:t>l</w:t>
      </w:r>
      <w:r w:rsidR="00434274" w:rsidRPr="001329A2">
        <w:rPr>
          <w:vertAlign w:val="subscript"/>
        </w:rPr>
        <w:t>2</w:t>
      </w:r>
      <w:r w:rsidR="00161BC5">
        <w:t xml:space="preserve">, </w:t>
      </w:r>
      <w:r w:rsidR="008C0688">
        <w:t>perform calibration</w:t>
      </w:r>
      <w:r w:rsidR="00721F19">
        <w:t xml:space="preserve"> and monitoring checks</w:t>
      </w:r>
      <w:r w:rsidR="008C0688">
        <w:t xml:space="preserve"> in a well</w:t>
      </w:r>
      <w:r w:rsidR="00D609D7">
        <w:t>-ventilated area</w:t>
      </w:r>
      <w:r w:rsidR="00860F44">
        <w:t xml:space="preserve"> and keep </w:t>
      </w:r>
      <w:r w:rsidR="00037119">
        <w:t xml:space="preserve">the </w:t>
      </w:r>
      <w:r w:rsidR="00123ABE">
        <w:t>moni</w:t>
      </w:r>
      <w:r w:rsidR="00160440">
        <w:t>tor-pump assembly</w:t>
      </w:r>
      <w:r w:rsidR="008A35E2">
        <w:t xml:space="preserve"> </w:t>
      </w:r>
      <w:r w:rsidR="00AD00A7">
        <w:t xml:space="preserve">as far </w:t>
      </w:r>
      <w:r w:rsidR="00037119">
        <w:t xml:space="preserve">away from </w:t>
      </w:r>
      <w:r w:rsidR="002A73B5">
        <w:t>the personal breathing zone as possible.</w:t>
      </w:r>
    </w:p>
    <w:p w14:paraId="10E77380" w14:textId="77777777" w:rsidR="00C108A9" w:rsidRDefault="00C108A9" w:rsidP="003432F0"/>
    <w:p w14:paraId="774A9FB3" w14:textId="63BECFB3" w:rsidR="003432F0" w:rsidRDefault="0023227D" w:rsidP="003432F0">
      <w:r w:rsidRPr="00273CA0">
        <w:t>Equilibrate the monitor</w:t>
      </w:r>
      <w:r w:rsidR="006E22A7">
        <w:t>-pump assembly</w:t>
      </w:r>
      <w:r w:rsidRPr="00273CA0">
        <w:t xml:space="preserve"> </w:t>
      </w:r>
      <w:r w:rsidR="00C93B17">
        <w:t>at</w:t>
      </w:r>
      <w:r w:rsidR="00C93B17" w:rsidRPr="00273CA0">
        <w:t xml:space="preserve"> </w:t>
      </w:r>
      <w:proofErr w:type="gramStart"/>
      <w:r w:rsidRPr="00273CA0">
        <w:t>the</w:t>
      </w:r>
      <w:proofErr w:type="gramEnd"/>
      <w:r w:rsidRPr="00273CA0">
        <w:t xml:space="preserve"> ambient temperature for at least 15 minutes. </w:t>
      </w:r>
      <w:r w:rsidR="00A453AA" w:rsidRPr="00273CA0">
        <w:t>Power on the monitor</w:t>
      </w:r>
      <w:r w:rsidR="002F6261">
        <w:t xml:space="preserve">-pump </w:t>
      </w:r>
      <w:r w:rsidR="00493556">
        <w:t>assembly</w:t>
      </w:r>
      <w:r w:rsidR="00A453AA" w:rsidRPr="00273CA0">
        <w:t xml:space="preserve"> an</w:t>
      </w:r>
      <w:r w:rsidR="00EF40D2">
        <w:t xml:space="preserve">d </w:t>
      </w:r>
      <w:r w:rsidR="005C0664">
        <w:t>ensure</w:t>
      </w:r>
      <w:r w:rsidR="0071605E">
        <w:t xml:space="preserve"> that</w:t>
      </w:r>
      <w:r w:rsidR="00432799">
        <w:t xml:space="preserve"> </w:t>
      </w:r>
      <w:r w:rsidR="0071605E">
        <w:t>the pump operates properly</w:t>
      </w:r>
      <w:r w:rsidR="001A396E">
        <w:t>. W</w:t>
      </w:r>
      <w:r w:rsidR="00A453AA" w:rsidRPr="00273CA0">
        <w:t xml:space="preserve">ait </w:t>
      </w:r>
      <w:r w:rsidR="004F4025" w:rsidRPr="00273CA0">
        <w:t>for</w:t>
      </w:r>
      <w:r w:rsidR="00A453AA" w:rsidRPr="00273CA0">
        <w:t xml:space="preserve"> completion of warm-up. Zero</w:t>
      </w:r>
      <w:r w:rsidR="00AD4E8A">
        <w:t>-calibrate</w:t>
      </w:r>
      <w:r w:rsidR="00A453AA" w:rsidRPr="00273CA0">
        <w:t xml:space="preserve"> the monitor by directly exposing it to clean air. </w:t>
      </w:r>
      <w:r w:rsidR="00EB524A">
        <w:t xml:space="preserve">Next, </w:t>
      </w:r>
      <w:r w:rsidR="00E92295">
        <w:t>supply</w:t>
      </w:r>
      <w:r w:rsidR="005138A3">
        <w:t xml:space="preserve"> the </w:t>
      </w:r>
      <w:r w:rsidR="00763F5A" w:rsidRPr="00763F5A">
        <w:t xml:space="preserve">monitor-pump </w:t>
      </w:r>
      <w:r w:rsidR="005138A3">
        <w:t>assembly</w:t>
      </w:r>
      <w:r w:rsidR="00A453AA" w:rsidRPr="00273CA0">
        <w:t xml:space="preserve"> with </w:t>
      </w:r>
      <w:r w:rsidR="00DB7183">
        <w:t>5</w:t>
      </w:r>
      <w:r w:rsidR="00A453AA" w:rsidRPr="00273CA0">
        <w:t xml:space="preserve">-ppm </w:t>
      </w:r>
      <w:r w:rsidR="00434274">
        <w:t>C</w:t>
      </w:r>
      <w:r w:rsidR="00BC52A6">
        <w:t>l</w:t>
      </w:r>
      <w:r w:rsidR="00434274" w:rsidRPr="00BC52A6">
        <w:rPr>
          <w:vertAlign w:val="subscript"/>
        </w:rPr>
        <w:t>2</w:t>
      </w:r>
      <w:r w:rsidR="00294EEA">
        <w:t xml:space="preserve"> </w:t>
      </w:r>
      <w:r w:rsidR="00A453AA" w:rsidRPr="00273CA0">
        <w:t>calibration gas</w:t>
      </w:r>
      <w:r w:rsidR="003268D8" w:rsidRPr="00273CA0">
        <w:t xml:space="preserve"> </w:t>
      </w:r>
      <w:r w:rsidR="00166E61">
        <w:t>for</w:t>
      </w:r>
      <w:r w:rsidR="003268D8" w:rsidRPr="00273CA0">
        <w:t xml:space="preserve"> </w:t>
      </w:r>
      <w:r w:rsidR="00A04286">
        <w:t>3</w:t>
      </w:r>
      <w:r w:rsidR="006D5962">
        <w:t xml:space="preserve"> min</w:t>
      </w:r>
      <w:r w:rsidR="00BD428C">
        <w:t>utes</w:t>
      </w:r>
      <w:r w:rsidR="00166E61">
        <w:t xml:space="preserve"> and then perform </w:t>
      </w:r>
      <w:r w:rsidR="005834A3">
        <w:t>s</w:t>
      </w:r>
      <w:r w:rsidR="00645888">
        <w:t>pan calibration</w:t>
      </w:r>
      <w:r w:rsidR="00AE548B" w:rsidRPr="00273CA0">
        <w:t>.</w:t>
      </w:r>
      <w:r w:rsidR="00E831EB">
        <w:t xml:space="preserve"> </w:t>
      </w:r>
      <w:r w:rsidR="00E831EB" w:rsidRPr="00E831EB">
        <w:t>Record the time, temperature and atmospheric pressure.</w:t>
      </w:r>
    </w:p>
    <w:p w14:paraId="77473FC3" w14:textId="04DD7C62" w:rsidR="0077208A" w:rsidRDefault="0077208A" w:rsidP="003F7B56"/>
    <w:p w14:paraId="5A1A2739" w14:textId="7C5A7893" w:rsidR="0058405C" w:rsidRDefault="00CC6C03" w:rsidP="003F7B56">
      <w:r>
        <w:t>Immediately following the span calibration, v</w:t>
      </w:r>
      <w:r w:rsidR="0064228B" w:rsidRPr="00273CA0">
        <w:t xml:space="preserve">erify </w:t>
      </w:r>
      <w:r w:rsidR="00D42E1B">
        <w:t xml:space="preserve">the </w:t>
      </w:r>
      <w:r w:rsidR="00EF52B4" w:rsidRPr="00273CA0">
        <w:t xml:space="preserve">monitor calibration </w:t>
      </w:r>
      <w:r w:rsidR="00211A29" w:rsidRPr="00273CA0">
        <w:t xml:space="preserve">using a </w:t>
      </w:r>
      <w:r w:rsidR="00DB7183">
        <w:t>2</w:t>
      </w:r>
      <w:r w:rsidR="00211A29" w:rsidRPr="00273CA0">
        <w:t xml:space="preserve">-ppm </w:t>
      </w:r>
      <w:r w:rsidR="00434274">
        <w:t>C</w:t>
      </w:r>
      <w:r w:rsidR="00BD428C">
        <w:t>l</w:t>
      </w:r>
      <w:r w:rsidR="00434274" w:rsidRPr="00BD428C">
        <w:rPr>
          <w:vertAlign w:val="subscript"/>
        </w:rPr>
        <w:t>2</w:t>
      </w:r>
      <w:r w:rsidR="00D42E1B">
        <w:t xml:space="preserve"> </w:t>
      </w:r>
      <w:r w:rsidR="00211A29" w:rsidRPr="00273CA0">
        <w:t>calibration gas</w:t>
      </w:r>
      <w:r w:rsidR="00855860">
        <w:t xml:space="preserve"> </w:t>
      </w:r>
      <w:r w:rsidR="001459C6" w:rsidRPr="001459C6">
        <w:t>as pre-monitoring check</w:t>
      </w:r>
      <w:r w:rsidR="00EA2508" w:rsidRPr="00273CA0">
        <w:t>.</w:t>
      </w:r>
      <w:r w:rsidR="00190BFD">
        <w:t xml:space="preserve"> </w:t>
      </w:r>
      <w:r w:rsidR="00CB5C8A">
        <w:t>I</w:t>
      </w:r>
      <w:r w:rsidR="00210681" w:rsidRPr="00273CA0">
        <w:t xml:space="preserve">f </w:t>
      </w:r>
      <w:r w:rsidR="00210681">
        <w:t>the</w:t>
      </w:r>
      <w:r w:rsidR="00210681" w:rsidRPr="00273CA0">
        <w:t xml:space="preserve"> stabilized reading </w:t>
      </w:r>
      <w:r w:rsidR="00210681">
        <w:t xml:space="preserve">is not within 2 </w:t>
      </w:r>
      <w:r w:rsidR="00210681">
        <w:rPr>
          <w:rFonts w:cs="Arial"/>
        </w:rPr>
        <w:t>±</w:t>
      </w:r>
      <w:r w:rsidR="00210681">
        <w:t xml:space="preserve"> 0.2 ppm</w:t>
      </w:r>
      <w:r w:rsidR="00CB5C8A">
        <w:t xml:space="preserve">, </w:t>
      </w:r>
      <w:r w:rsidR="00CB5C8A" w:rsidRPr="00CB5C8A">
        <w:t xml:space="preserve">then </w:t>
      </w:r>
      <w:r w:rsidR="00136A29">
        <w:t>re-</w:t>
      </w:r>
      <w:r w:rsidR="00CB5C8A" w:rsidRPr="00CB5C8A">
        <w:t>perform zero and span calibrations</w:t>
      </w:r>
      <w:r w:rsidR="00210681" w:rsidRPr="00273CA0">
        <w:t>.</w:t>
      </w:r>
    </w:p>
    <w:p w14:paraId="34F0CA94" w14:textId="4B50D431" w:rsidR="001F0B25" w:rsidRDefault="001F0B25" w:rsidP="001F0B25">
      <w:pPr>
        <w:pStyle w:val="Heading3"/>
      </w:pPr>
      <w:r>
        <w:t>Monitoring</w:t>
      </w:r>
    </w:p>
    <w:p w14:paraId="76096082" w14:textId="070A8FFF" w:rsidR="009C18C5" w:rsidRPr="00977671" w:rsidRDefault="00116D2B" w:rsidP="001F0B25">
      <w:r>
        <w:t>P</w:t>
      </w:r>
      <w:r w:rsidR="00F70E40">
        <w:t>osition</w:t>
      </w:r>
      <w:r w:rsidR="001A20D6" w:rsidRPr="00977671">
        <w:t xml:space="preserve"> </w:t>
      </w:r>
      <w:r w:rsidR="00A11E0F" w:rsidRPr="00977671">
        <w:t>the</w:t>
      </w:r>
      <w:r w:rsidR="00583040">
        <w:t xml:space="preserve"> inlet of</w:t>
      </w:r>
      <w:r w:rsidR="00A11E0F" w:rsidRPr="00977671">
        <w:t xml:space="preserve"> </w:t>
      </w:r>
      <w:r w:rsidR="008048C8">
        <w:t xml:space="preserve">the </w:t>
      </w:r>
      <w:r w:rsidR="007D7F41">
        <w:t>monitor</w:t>
      </w:r>
      <w:r w:rsidR="001050B8">
        <w:t xml:space="preserve"> tub</w:t>
      </w:r>
      <w:r w:rsidR="00583040">
        <w:t>ing</w:t>
      </w:r>
      <w:r w:rsidR="00A11E0F" w:rsidRPr="00977671">
        <w:t xml:space="preserve"> </w:t>
      </w:r>
      <w:r w:rsidR="001A20D6" w:rsidRPr="00977671">
        <w:t xml:space="preserve">securely </w:t>
      </w:r>
      <w:r w:rsidR="00234F86" w:rsidRPr="00977671">
        <w:t xml:space="preserve">in the </w:t>
      </w:r>
      <w:r w:rsidR="00204BB0" w:rsidRPr="00977671">
        <w:t xml:space="preserve">worker’s </w:t>
      </w:r>
      <w:r w:rsidR="00234F86" w:rsidRPr="00977671">
        <w:t>breathing zone</w:t>
      </w:r>
      <w:r w:rsidR="00E87834">
        <w:t xml:space="preserve">. </w:t>
      </w:r>
      <w:r w:rsidR="00030511" w:rsidRPr="00030511">
        <w:t xml:space="preserve">Measure </w:t>
      </w:r>
      <w:r w:rsidR="00FF50B1">
        <w:t>and record</w:t>
      </w:r>
      <w:r w:rsidR="0060654C">
        <w:t xml:space="preserve"> the time</w:t>
      </w:r>
      <w:r w:rsidR="009445AB">
        <w:t>,</w:t>
      </w:r>
      <w:r w:rsidR="00FF50B1">
        <w:t xml:space="preserve"> </w:t>
      </w:r>
      <w:r w:rsidR="00030511" w:rsidRPr="00030511">
        <w:t>temperature</w:t>
      </w:r>
      <w:r w:rsidR="009445AB">
        <w:t>,</w:t>
      </w:r>
      <w:r w:rsidR="00030511" w:rsidRPr="00030511">
        <w:t xml:space="preserve"> and atmospheric pressure at the monitoring location</w:t>
      </w:r>
      <w:r w:rsidR="003A6C74">
        <w:t xml:space="preserve"> </w:t>
      </w:r>
      <w:r w:rsidR="00030511" w:rsidRPr="00030511">
        <w:t>at the start and end of each monitoring period.</w:t>
      </w:r>
    </w:p>
    <w:p w14:paraId="10EF981A" w14:textId="77777777" w:rsidR="00437E53" w:rsidRDefault="00437E53" w:rsidP="00F20EF2"/>
    <w:p w14:paraId="02CB040A" w14:textId="3B42D9E4" w:rsidR="00437E53" w:rsidRPr="00C02832" w:rsidRDefault="00BE537D" w:rsidP="00F20EF2">
      <w:r>
        <w:t xml:space="preserve">At the end of monitoring, </w:t>
      </w:r>
      <w:r w:rsidR="00C5776C">
        <w:t>r</w:t>
      </w:r>
      <w:r w:rsidR="00E968D9" w:rsidRPr="00977671">
        <w:t>e</w:t>
      </w:r>
      <w:r w:rsidR="00A319F5">
        <w:t>-</w:t>
      </w:r>
      <w:r w:rsidR="00610FB1" w:rsidRPr="00977671">
        <w:t>v</w:t>
      </w:r>
      <w:r w:rsidR="00437E53" w:rsidRPr="00977671">
        <w:t>erify</w:t>
      </w:r>
      <w:r w:rsidR="00E968D9" w:rsidRPr="00977671">
        <w:t xml:space="preserve"> </w:t>
      </w:r>
      <w:r w:rsidR="00037023">
        <w:t xml:space="preserve">the </w:t>
      </w:r>
      <w:r w:rsidR="00E968D9" w:rsidRPr="00977671">
        <w:t>monitor calibration</w:t>
      </w:r>
      <w:r w:rsidR="00437E53" w:rsidRPr="00977671">
        <w:t xml:space="preserve"> using </w:t>
      </w:r>
      <w:r w:rsidR="00F84B40">
        <w:t>the</w:t>
      </w:r>
      <w:r w:rsidR="00437E53" w:rsidRPr="00977671">
        <w:t xml:space="preserve"> </w:t>
      </w:r>
      <w:r w:rsidR="00340685">
        <w:t>2</w:t>
      </w:r>
      <w:r w:rsidR="00437E53" w:rsidRPr="00977671">
        <w:t xml:space="preserve">-ppm </w:t>
      </w:r>
      <w:r w:rsidR="00434274">
        <w:t>C</w:t>
      </w:r>
      <w:r w:rsidR="00CE442D">
        <w:t>l</w:t>
      </w:r>
      <w:r w:rsidR="00434274" w:rsidRPr="00CE442D">
        <w:rPr>
          <w:vertAlign w:val="subscript"/>
        </w:rPr>
        <w:t>2</w:t>
      </w:r>
      <w:r w:rsidR="00D11D0C">
        <w:t xml:space="preserve"> </w:t>
      </w:r>
      <w:r w:rsidR="00437E53" w:rsidRPr="00977671">
        <w:t>calibration gas</w:t>
      </w:r>
      <w:r w:rsidR="000459A8" w:rsidRPr="000459A8">
        <w:t xml:space="preserve"> as post-monitoring check. Record the time, temperature and atmospheric pressure.</w:t>
      </w:r>
    </w:p>
    <w:p w14:paraId="793A19F6" w14:textId="77777777" w:rsidR="004F3B49" w:rsidRDefault="004F3B49"/>
    <w:p w14:paraId="060BA582" w14:textId="0EADD8C5" w:rsidR="00BC50F5" w:rsidRDefault="00015F3A" w:rsidP="00F7416D">
      <w:pPr>
        <w:spacing w:after="240"/>
      </w:pPr>
      <w:r>
        <w:t>Turn off the monitor</w:t>
      </w:r>
      <w:r w:rsidR="00EA170A">
        <w:t>-pump assembly</w:t>
      </w:r>
      <w:r>
        <w:t xml:space="preserve"> and return</w:t>
      </w:r>
      <w:r w:rsidR="0061055D">
        <w:t xml:space="preserve"> </w:t>
      </w:r>
      <w:r w:rsidR="00317013">
        <w:t xml:space="preserve">the </w:t>
      </w:r>
      <w:r w:rsidR="00D4478A">
        <w:t>monitoring equipment</w:t>
      </w:r>
      <w:r w:rsidR="0061055D">
        <w:t xml:space="preserve"> to </w:t>
      </w:r>
      <w:r w:rsidR="005B7BC5">
        <w:t xml:space="preserve">the </w:t>
      </w:r>
      <w:r w:rsidR="00317013">
        <w:t>OSHA Technical Center</w:t>
      </w:r>
      <w:r w:rsidR="005B7BC5">
        <w:t xml:space="preserve"> with </w:t>
      </w:r>
      <w:r w:rsidR="00396BEA" w:rsidRPr="00396BEA">
        <w:t>all recorded monitoring information</w:t>
      </w:r>
      <w:r w:rsidR="00317013">
        <w:t>.</w:t>
      </w:r>
    </w:p>
    <w:p w14:paraId="2C4CC3BE" w14:textId="65BF8E30" w:rsidR="004262DE" w:rsidRDefault="00F93030" w:rsidP="00630B42">
      <w:pPr>
        <w:pStyle w:val="Heading1"/>
        <w:rPr>
          <w:szCs w:val="18"/>
        </w:rPr>
      </w:pPr>
      <w:r>
        <w:rPr>
          <w:szCs w:val="18"/>
        </w:rPr>
        <w:lastRenderedPageBreak/>
        <w:t>Data Processing</w:t>
      </w:r>
      <w:r w:rsidR="004262DE" w:rsidRPr="00BD0B77">
        <w:rPr>
          <w:szCs w:val="18"/>
        </w:rPr>
        <w:t xml:space="preserve"> Procedure </w:t>
      </w:r>
    </w:p>
    <w:p w14:paraId="13834EC0" w14:textId="56C96BD9" w:rsidR="00A75BE8" w:rsidRDefault="005162AB" w:rsidP="005162AB">
      <w:pPr>
        <w:pStyle w:val="Heading2"/>
      </w:pPr>
      <w:r>
        <w:t>Data Examination</w:t>
      </w:r>
    </w:p>
    <w:p w14:paraId="6FBDB175" w14:textId="6DEBA896" w:rsidR="00DF2A47" w:rsidRPr="00DF2A47" w:rsidRDefault="005162AB" w:rsidP="00DF2A47">
      <w:r>
        <w:t>Exam</w:t>
      </w:r>
      <w:r w:rsidR="009E033C">
        <w:t xml:space="preserve">ine the downloaded monitoring data and </w:t>
      </w:r>
      <w:r w:rsidR="008277AA">
        <w:t>identify</w:t>
      </w:r>
      <w:r w:rsidR="00DF2A47">
        <w:t xml:space="preserve"> all possible events including powering on and off, time synchronization, calibration</w:t>
      </w:r>
      <w:r w:rsidR="00CA40D8">
        <w:t>,</w:t>
      </w:r>
      <w:r w:rsidR="0083720E">
        <w:t xml:space="preserve"> </w:t>
      </w:r>
      <w:r w:rsidR="00A77820">
        <w:t>check</w:t>
      </w:r>
      <w:r w:rsidR="00355BE6">
        <w:t>s</w:t>
      </w:r>
      <w:r w:rsidR="00DF2A47">
        <w:t xml:space="preserve">, monitoring duration, abnormal monitor readings, </w:t>
      </w:r>
      <w:r w:rsidR="00972337">
        <w:t>etc.</w:t>
      </w:r>
      <w:r w:rsidR="00DF2A47">
        <w:t xml:space="preserve"> Identify any responses over</w:t>
      </w:r>
      <w:r w:rsidR="00E4667D">
        <w:t xml:space="preserve"> </w:t>
      </w:r>
      <w:r w:rsidR="00A84472" w:rsidRPr="00A84472">
        <w:t>the immediately dangerous to life or health (IDLH) value</w:t>
      </w:r>
      <w:r w:rsidR="00015002">
        <w:t xml:space="preserve">. Report </w:t>
      </w:r>
      <w:r w:rsidR="00875903">
        <w:t xml:space="preserve">the potential </w:t>
      </w:r>
      <w:r w:rsidR="0092174E">
        <w:t xml:space="preserve">of </w:t>
      </w:r>
      <w:r w:rsidR="00A47149">
        <w:t>sensor saturation if any reading</w:t>
      </w:r>
      <w:r w:rsidR="009233BF">
        <w:t xml:space="preserve"> is</w:t>
      </w:r>
      <w:r w:rsidR="00A47149">
        <w:t xml:space="preserve"> over the maximum </w:t>
      </w:r>
      <w:r w:rsidR="00E91F00">
        <w:t>indication value of 2</w:t>
      </w:r>
      <w:r w:rsidR="00422620">
        <w:t>0</w:t>
      </w:r>
      <w:r w:rsidR="00E91F00">
        <w:t xml:space="preserve"> ppm.</w:t>
      </w:r>
    </w:p>
    <w:p w14:paraId="0EDFC9BC" w14:textId="0F1512AB" w:rsidR="004F0C6F" w:rsidRDefault="004F0C6F" w:rsidP="004F0C6F">
      <w:pPr>
        <w:pStyle w:val="Heading2"/>
      </w:pPr>
      <w:r>
        <w:t xml:space="preserve">Determination of </w:t>
      </w:r>
      <w:r w:rsidR="007E401F">
        <w:t xml:space="preserve">the </w:t>
      </w:r>
      <w:r>
        <w:t>TWA</w:t>
      </w:r>
    </w:p>
    <w:p w14:paraId="3A4ADF87" w14:textId="6ED30F57" w:rsidR="004F0C6F" w:rsidRDefault="004F0C6F" w:rsidP="004F0C6F">
      <w:r w:rsidRPr="004113C2">
        <w:t>Calculate the</w:t>
      </w:r>
      <w:r>
        <w:t xml:space="preserve"> </w:t>
      </w:r>
      <w:r w:rsidRPr="27A6E695">
        <w:t>time-weighted average</w:t>
      </w:r>
      <w:r w:rsidRPr="004113C2">
        <w:t xml:space="preserve"> (TWA) 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27A6E695">
        <w:rPr>
          <w:rFonts w:eastAsiaTheme="minorEastAsia"/>
        </w:rPr>
        <w:t>)</w:t>
      </w:r>
      <w:r w:rsidRPr="004113C2">
        <w:t xml:space="preserve"> in terms </w:t>
      </w:r>
      <w:r w:rsidR="00681DD1">
        <w:t xml:space="preserve">of </w:t>
      </w:r>
      <w:r w:rsidRPr="004113C2">
        <w:t xml:space="preserve">ppm at the monitoring site </w:t>
      </w:r>
      <w:r w:rsidRPr="00D14117">
        <w:t xml:space="preserve">temperature and pressure </w:t>
      </w:r>
      <w:r w:rsidRPr="004113C2">
        <w:t>by summating all data points and dividing by the number of data point</w:t>
      </w:r>
      <w:r>
        <w:t>s</w:t>
      </w:r>
      <w:r w:rsidRPr="004113C2">
        <w:t xml:space="preserve"> collected over the monitoring period. </w:t>
      </w:r>
      <w:r w:rsidRPr="001A67DB">
        <w:t>For example, divide by 14,400 when monitoring with a data collection rate of one second for 240 minutes.</w:t>
      </w:r>
      <w:r>
        <w:t xml:space="preserve"> Use 20 ppm for any response over the maximum indication value of 20 ppm.</w:t>
      </w:r>
    </w:p>
    <w:p w14:paraId="5F4427EB" w14:textId="20467D8B" w:rsidR="006F5E04" w:rsidRDefault="006F5E04" w:rsidP="006F5E04">
      <w:pPr>
        <w:pStyle w:val="Heading2"/>
      </w:pPr>
      <w:r>
        <w:t xml:space="preserve">Determination of </w:t>
      </w:r>
      <w:r w:rsidR="007E401F">
        <w:t>the</w:t>
      </w:r>
      <w:r w:rsidR="000F68BB">
        <w:t xml:space="preserve"> Ceiling and </w:t>
      </w:r>
      <w:r w:rsidR="00A00AE3">
        <w:t>IDLH</w:t>
      </w:r>
    </w:p>
    <w:p w14:paraId="54BC5AA1" w14:textId="49000181" w:rsidR="006F5E04" w:rsidRPr="006D3764" w:rsidRDefault="006F5E04" w:rsidP="006F5E04">
      <w:pPr>
        <w:rPr>
          <w:rFonts w:eastAsiaTheme="minorEastAsia"/>
          <w:szCs w:val="18"/>
        </w:rPr>
      </w:pPr>
      <w:r>
        <w:rPr>
          <w:rFonts w:eastAsiaTheme="minorEastAsia"/>
          <w:szCs w:val="18"/>
        </w:rPr>
        <w:t xml:space="preserve">Identify </w:t>
      </w:r>
      <w:r w:rsidRPr="004113C2">
        <w:t>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4113C2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CB5EF5">
        <w:rPr>
          <w:rFonts w:eastAsiaTheme="minorEastAsia"/>
        </w:rPr>
        <w:t>of each response above the</w:t>
      </w:r>
      <w:r w:rsidR="00985F23">
        <w:rPr>
          <w:rFonts w:eastAsiaTheme="minorEastAsia"/>
        </w:rPr>
        <w:t xml:space="preserve"> ceiling</w:t>
      </w:r>
      <w:r w:rsidR="00310E53">
        <w:rPr>
          <w:rFonts w:eastAsiaTheme="minorEastAsia"/>
        </w:rPr>
        <w:t xml:space="preserve"> or</w:t>
      </w:r>
      <w:r w:rsidR="00CB5EF5">
        <w:rPr>
          <w:rFonts w:eastAsiaTheme="minorEastAsia"/>
        </w:rPr>
        <w:t xml:space="preserve"> IDLH </w:t>
      </w:r>
      <w:r>
        <w:rPr>
          <w:rFonts w:eastAsiaTheme="minorEastAsia"/>
        </w:rPr>
        <w:t>value</w:t>
      </w:r>
      <w:r w:rsidRPr="004113C2">
        <w:t xml:space="preserve"> </w:t>
      </w:r>
      <w:r>
        <w:rPr>
          <w:rFonts w:eastAsiaTheme="minorEastAsia"/>
          <w:szCs w:val="18"/>
        </w:rPr>
        <w:t>i</w:t>
      </w:r>
      <w:r w:rsidRPr="004113C2">
        <w:t>n terms of ppm</w:t>
      </w:r>
      <w:r w:rsidR="00DD4591">
        <w:t xml:space="preserve"> </w:t>
      </w:r>
      <w:r w:rsidRPr="004113C2">
        <w:t xml:space="preserve">at the monitoring site temperature and </w:t>
      </w:r>
      <w:r w:rsidR="0004270F">
        <w:t xml:space="preserve">atmospheric </w:t>
      </w:r>
      <w:r w:rsidRPr="004113C2">
        <w:t>pressure</w:t>
      </w:r>
      <w:r>
        <w:rPr>
          <w:rFonts w:eastAsiaTheme="minorEastAsia"/>
          <w:szCs w:val="18"/>
        </w:rPr>
        <w:t>.</w:t>
      </w:r>
    </w:p>
    <w:p w14:paraId="465C845F" w14:textId="1F8EF1FB" w:rsidR="00734A4E" w:rsidRDefault="007F16CB" w:rsidP="006611A4">
      <w:pPr>
        <w:pStyle w:val="Heading2"/>
      </w:pPr>
      <w:r w:rsidRPr="00BD0B77">
        <w:t>Calculation</w:t>
      </w:r>
    </w:p>
    <w:p w14:paraId="7BA18F24" w14:textId="55008FC8" w:rsidR="005C72CF" w:rsidRPr="00BD0B77" w:rsidRDefault="00A314E1" w:rsidP="006611A4">
      <w:pPr>
        <w:rPr>
          <w:szCs w:val="18"/>
        </w:rPr>
      </w:pPr>
      <w:r>
        <w:rPr>
          <w:szCs w:val="18"/>
        </w:rPr>
        <w:t>Calculate t</w:t>
      </w:r>
      <w:r w:rsidR="007F16CB" w:rsidRPr="00BD0B77">
        <w:rPr>
          <w:szCs w:val="18"/>
        </w:rPr>
        <w:t>he air concentration</w:t>
      </w:r>
      <w:r w:rsidR="00E63A6D" w:rsidRPr="00BD0B77">
        <w:rPr>
          <w:szCs w:val="18"/>
        </w:rPr>
        <w:t xml:space="preserve"> </w:t>
      </w:r>
      <w:r w:rsidR="00065B4E" w:rsidRPr="00BD0B77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C</m:t>
        </m:r>
      </m:oMath>
      <w:r w:rsidR="00065B4E" w:rsidRPr="00BD0B77">
        <w:rPr>
          <w:szCs w:val="18"/>
        </w:rPr>
        <w:t>)</w:t>
      </w:r>
      <w:r w:rsidR="00E63A6D" w:rsidRPr="00BD0B77">
        <w:rPr>
          <w:szCs w:val="18"/>
          <w:vertAlign w:val="subscript"/>
        </w:rPr>
        <w:t xml:space="preserve"> </w:t>
      </w:r>
      <w:r w:rsidR="00E63A6D" w:rsidRPr="00BD0B77">
        <w:rPr>
          <w:szCs w:val="18"/>
        </w:rPr>
        <w:t>in</w:t>
      </w:r>
      <w:r w:rsidR="007F16CB" w:rsidRPr="00BD0B77">
        <w:rPr>
          <w:szCs w:val="18"/>
        </w:rPr>
        <w:t xml:space="preserve"> terms of ppm </w:t>
      </w:r>
      <w:r w:rsidR="002A5844" w:rsidRPr="00BD0B77">
        <w:rPr>
          <w:szCs w:val="18"/>
        </w:rPr>
        <w:t xml:space="preserve">at 760 mmHg and 25 </w:t>
      </w:r>
      <w:r w:rsidR="002A5844" w:rsidRPr="00BD0B77">
        <w:rPr>
          <w:rFonts w:cs="Arial"/>
          <w:szCs w:val="18"/>
        </w:rPr>
        <w:t>°</w:t>
      </w:r>
      <w:r w:rsidR="002A5844" w:rsidRPr="00BD0B77">
        <w:rPr>
          <w:szCs w:val="18"/>
        </w:rPr>
        <w:t xml:space="preserve">C </w:t>
      </w:r>
      <w:r w:rsidR="007F16CB" w:rsidRPr="00BD0B77">
        <w:rPr>
          <w:szCs w:val="18"/>
        </w:rPr>
        <w:t xml:space="preserve">using Equation </w:t>
      </w:r>
      <w:r w:rsidR="00497B20">
        <w:rPr>
          <w:szCs w:val="18"/>
        </w:rPr>
        <w:t>1</w:t>
      </w:r>
      <w:r w:rsidR="007F16CB" w:rsidRPr="00BD0B77">
        <w:rPr>
          <w:szCs w:val="18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C</m:t>
            </m:r>
          </m:e>
          <m:sub>
            <m:r>
              <w:rPr>
                <w:rFonts w:ascii="Cambria Math" w:hAnsi="Cambria Math"/>
                <w:szCs w:val="18"/>
              </w:rPr>
              <m:t>S</m:t>
            </m:r>
          </m:sub>
        </m:sSub>
      </m:oMath>
      <w:r w:rsidR="00E63A6D" w:rsidRPr="00BD0B77">
        <w:rPr>
          <w:rFonts w:eastAsiaTheme="minorEastAsia"/>
          <w:szCs w:val="18"/>
        </w:rPr>
        <w:t xml:space="preserve"> is</w:t>
      </w:r>
      <w:r w:rsidR="00B9004A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the </w:t>
      </w:r>
      <w:r w:rsidR="007D63EA" w:rsidRPr="00BD0B77">
        <w:rPr>
          <w:rFonts w:eastAsiaTheme="minorEastAsia"/>
          <w:szCs w:val="18"/>
        </w:rPr>
        <w:t xml:space="preserve">measured </w:t>
      </w:r>
      <w:r w:rsidR="00796110">
        <w:rPr>
          <w:rFonts w:eastAsiaTheme="minorEastAsia"/>
          <w:szCs w:val="18"/>
        </w:rPr>
        <w:t>monitoring</w:t>
      </w:r>
      <w:r w:rsidR="007D63EA" w:rsidRPr="00BD0B77">
        <w:rPr>
          <w:rFonts w:eastAsiaTheme="minorEastAsia"/>
          <w:szCs w:val="18"/>
        </w:rPr>
        <w:t xml:space="preserve"> site</w:t>
      </w:r>
      <w:r w:rsidR="003B0E64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air </w:t>
      </w:r>
      <w:r w:rsidR="00B9004A" w:rsidRPr="00BD0B77">
        <w:rPr>
          <w:rFonts w:eastAsiaTheme="minorEastAsia"/>
          <w:szCs w:val="18"/>
        </w:rPr>
        <w:t>concentration</w:t>
      </w:r>
      <w:r w:rsidR="00E63A6D" w:rsidRPr="00BD0B77">
        <w:rPr>
          <w:rFonts w:eastAsiaTheme="minorEastAsia"/>
          <w:szCs w:val="18"/>
        </w:rPr>
        <w:t xml:space="preserve"> </w:t>
      </w:r>
      <w:r w:rsidR="003B0E64" w:rsidRPr="00BD0B77">
        <w:rPr>
          <w:rFonts w:eastAsiaTheme="minorEastAsia"/>
          <w:szCs w:val="18"/>
        </w:rPr>
        <w:t>(ppm),</w:t>
      </w:r>
      <w:r w:rsidR="00D66DFA" w:rsidRPr="00BD0B77">
        <w:rPr>
          <w:szCs w:val="18"/>
        </w:rPr>
        <w:t xml:space="preserve"> </w:t>
      </w:r>
      <m:oMath>
        <m:r>
          <w:rPr>
            <w:rFonts w:ascii="Cambria Math" w:hAnsi="Cambria Math"/>
            <w:szCs w:val="18"/>
          </w:rPr>
          <m:t>P</m:t>
        </m:r>
      </m:oMath>
      <w:r w:rsidR="007F16CB" w:rsidRPr="00BD0B77">
        <w:rPr>
          <w:rFonts w:eastAsiaTheme="minorEastAsia"/>
          <w:szCs w:val="18"/>
        </w:rPr>
        <w:t xml:space="preserve"> is the </w:t>
      </w:r>
      <w:r w:rsidR="00796110">
        <w:rPr>
          <w:szCs w:val="18"/>
        </w:rPr>
        <w:t>monitoring</w:t>
      </w:r>
      <w:r w:rsidR="00871853" w:rsidRPr="00BD0B77">
        <w:rPr>
          <w:szCs w:val="18"/>
        </w:rPr>
        <w:t xml:space="preserve"> site atmospheric pressure </w:t>
      </w:r>
      <w:r w:rsidR="00F11194" w:rsidRPr="00BD0B77">
        <w:rPr>
          <w:szCs w:val="18"/>
        </w:rPr>
        <w:t>(</w:t>
      </w:r>
      <w:r w:rsidR="00871853" w:rsidRPr="00BD0B77">
        <w:rPr>
          <w:szCs w:val="18"/>
        </w:rPr>
        <w:t>mmHg</w:t>
      </w:r>
      <w:r w:rsidR="00690D0D" w:rsidRPr="00BD0B77">
        <w:rPr>
          <w:szCs w:val="18"/>
        </w:rPr>
        <w:t>)</w:t>
      </w:r>
      <w:r w:rsidR="007F16CB" w:rsidRPr="00BD0B77">
        <w:rPr>
          <w:szCs w:val="18"/>
        </w:rPr>
        <w:t xml:space="preserve">, and </w:t>
      </w:r>
      <m:oMath>
        <m:r>
          <w:rPr>
            <w:rFonts w:ascii="Cambria Math" w:hAnsi="Cambria Math"/>
            <w:szCs w:val="18"/>
          </w:rPr>
          <m:t>T</m:t>
        </m:r>
      </m:oMath>
      <w:r w:rsidR="00117565">
        <w:rPr>
          <w:rFonts w:eastAsiaTheme="minorEastAsia"/>
          <w:szCs w:val="18"/>
        </w:rPr>
        <w:t xml:space="preserve"> </w:t>
      </w:r>
      <w:r w:rsidR="007217D9" w:rsidRPr="00BD0B77">
        <w:rPr>
          <w:szCs w:val="18"/>
        </w:rPr>
        <w:t xml:space="preserve">is </w:t>
      </w:r>
      <w:r w:rsidR="00117565">
        <w:rPr>
          <w:szCs w:val="18"/>
        </w:rPr>
        <w:t>the</w:t>
      </w:r>
      <w:r w:rsidR="007217D9" w:rsidRPr="00BD0B77">
        <w:rPr>
          <w:szCs w:val="18"/>
        </w:rPr>
        <w:t xml:space="preserve"> </w:t>
      </w:r>
      <w:r w:rsidR="00796110">
        <w:rPr>
          <w:szCs w:val="18"/>
        </w:rPr>
        <w:t>monitoring</w:t>
      </w:r>
      <w:r w:rsidR="00CA0B0A" w:rsidRPr="00BD0B77">
        <w:rPr>
          <w:szCs w:val="18"/>
        </w:rPr>
        <w:t xml:space="preserve"> site temperature (</w:t>
      </w:r>
      <w:r w:rsidR="00CA0B0A" w:rsidRPr="00BD0B77">
        <w:rPr>
          <w:rFonts w:cs="Arial"/>
          <w:szCs w:val="18"/>
        </w:rPr>
        <w:t>°</w:t>
      </w:r>
      <w:r w:rsidR="00CA0B0A" w:rsidRPr="00BD0B77">
        <w:rPr>
          <w:szCs w:val="18"/>
        </w:rPr>
        <w:t>C)</w:t>
      </w:r>
      <w:r w:rsidR="001F2A4F">
        <w:rPr>
          <w:szCs w:val="18"/>
        </w:rPr>
        <w:t>.</w:t>
      </w:r>
      <w:r w:rsidR="00972779">
        <w:rPr>
          <w:szCs w:val="18"/>
        </w:rPr>
        <w:t xml:space="preserve"> </w:t>
      </w:r>
    </w:p>
    <w:p w14:paraId="7381A3F6" w14:textId="77777777" w:rsidR="006F4274" w:rsidRPr="00BD0B77" w:rsidRDefault="006F4274" w:rsidP="006611A4">
      <w:pPr>
        <w:rPr>
          <w:szCs w:val="18"/>
        </w:rPr>
      </w:pPr>
    </w:p>
    <w:p w14:paraId="24AF660E" w14:textId="2CAE67B8" w:rsidR="0075302F" w:rsidRPr="00BD0B77" w:rsidRDefault="00C432D0" w:rsidP="000C5335">
      <w:pPr>
        <w:jc w:val="center"/>
        <w:rPr>
          <w:rFonts w:eastAsiaTheme="minorEastAsia"/>
          <w:szCs w:val="18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18"/>
                </w:rPr>
              </m:ctrlPr>
            </m:eqArrPr>
            <m:e>
              <m:r>
                <w:rPr>
                  <w:rFonts w:ascii="Cambria Math" w:hAnsi="Cambria Math"/>
                  <w:szCs w:val="18"/>
                </w:rPr>
                <m:t>C=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760 mmHg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298.15 K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T+273.15 K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e>
              </m:d>
            </m:e>
          </m:eqArr>
        </m:oMath>
      </m:oMathPara>
    </w:p>
    <w:p w14:paraId="0DC745C6" w14:textId="77777777" w:rsidR="00C35EE5" w:rsidRDefault="00C35EE5" w:rsidP="00B663A5">
      <w:pPr>
        <w:spacing w:after="160" w:line="259" w:lineRule="auto"/>
        <w:jc w:val="left"/>
        <w:rPr>
          <w:szCs w:val="18"/>
        </w:rPr>
      </w:pPr>
    </w:p>
    <w:p w14:paraId="386AD709" w14:textId="67224C13" w:rsidR="00012B3D" w:rsidRPr="006667CA" w:rsidRDefault="00C35EE5" w:rsidP="006667CA">
      <w:pPr>
        <w:spacing w:after="160" w:line="259" w:lineRule="auto"/>
        <w:jc w:val="left"/>
      </w:pPr>
      <w:r w:rsidRPr="00972779">
        <w:rPr>
          <w:szCs w:val="18"/>
        </w:rPr>
        <w:t>The OSHA Integrated Management Information System</w:t>
      </w:r>
      <w:r w:rsidR="009515D0">
        <w:rPr>
          <w:szCs w:val="18"/>
        </w:rPr>
        <w:t xml:space="preserve"> (IMIS) </w:t>
      </w:r>
      <w:r w:rsidRPr="00972779">
        <w:rPr>
          <w:szCs w:val="18"/>
        </w:rPr>
        <w:t xml:space="preserve">number for </w:t>
      </w:r>
      <w:r w:rsidR="00434274">
        <w:rPr>
          <w:szCs w:val="18"/>
        </w:rPr>
        <w:t>C</w:t>
      </w:r>
      <w:r w:rsidR="008C2B99">
        <w:rPr>
          <w:szCs w:val="18"/>
        </w:rPr>
        <w:t>l</w:t>
      </w:r>
      <w:r w:rsidR="00434274" w:rsidRPr="008C2B99">
        <w:rPr>
          <w:szCs w:val="18"/>
          <w:vertAlign w:val="subscript"/>
        </w:rPr>
        <w:t>2</w:t>
      </w:r>
      <w:r w:rsidRPr="00972779">
        <w:rPr>
          <w:szCs w:val="18"/>
        </w:rPr>
        <w:t xml:space="preserve"> is </w:t>
      </w:r>
      <w:r w:rsidR="00F047BE">
        <w:rPr>
          <w:szCs w:val="18"/>
        </w:rPr>
        <w:t>0640</w:t>
      </w:r>
      <w:r>
        <w:rPr>
          <w:szCs w:val="18"/>
        </w:rPr>
        <w:t>.</w:t>
      </w:r>
      <w:r w:rsidR="00B663A5">
        <w:br w:type="page"/>
      </w:r>
    </w:p>
    <w:p w14:paraId="04715319" w14:textId="3012A798" w:rsidR="00662A03" w:rsidRDefault="00D61BE9" w:rsidP="00D61BE9">
      <w:pPr>
        <w:pStyle w:val="Heading1"/>
        <w:rPr>
          <w:szCs w:val="18"/>
        </w:rPr>
      </w:pPr>
      <w:r w:rsidRPr="00BD0B77">
        <w:rPr>
          <w:szCs w:val="18"/>
        </w:rPr>
        <w:lastRenderedPageBreak/>
        <w:t>Method Validation</w:t>
      </w:r>
    </w:p>
    <w:p w14:paraId="303F520B" w14:textId="5CC31BDD" w:rsidR="00730460" w:rsidRDefault="00AB7732" w:rsidP="00B202A5">
      <w:pPr>
        <w:rPr>
          <w:szCs w:val="18"/>
        </w:rPr>
      </w:pPr>
      <w:r w:rsidRPr="00BD0B77">
        <w:rPr>
          <w:szCs w:val="18"/>
        </w:rPr>
        <w:t xml:space="preserve">The procedures used to develop </w:t>
      </w:r>
      <w:proofErr w:type="gramStart"/>
      <w:r w:rsidRPr="00BD0B77">
        <w:rPr>
          <w:szCs w:val="18"/>
        </w:rPr>
        <w:t>the method</w:t>
      </w:r>
      <w:proofErr w:type="gramEnd"/>
      <w:r w:rsidRPr="00BD0B77">
        <w:rPr>
          <w:szCs w:val="18"/>
        </w:rPr>
        <w:t xml:space="preserve"> validation data are described in</w:t>
      </w:r>
      <w:r w:rsidR="00DC16C2">
        <w:rPr>
          <w:szCs w:val="18"/>
        </w:rPr>
        <w:t xml:space="preserve"> </w:t>
      </w:r>
      <w:r w:rsidR="00F850D2">
        <w:rPr>
          <w:szCs w:val="18"/>
        </w:rPr>
        <w:t xml:space="preserve">OSHA Technical Center’s </w:t>
      </w:r>
      <w:r w:rsidR="00F74047">
        <w:rPr>
          <w:szCs w:val="18"/>
        </w:rPr>
        <w:t>Guideline</w:t>
      </w:r>
      <w:r w:rsidR="009D0BE2">
        <w:rPr>
          <w:szCs w:val="18"/>
        </w:rPr>
        <w:t xml:space="preserve"> 2</w:t>
      </w:r>
      <w:r w:rsidR="00910C71">
        <w:rPr>
          <w:szCs w:val="18"/>
        </w:rPr>
        <w:t>,</w:t>
      </w:r>
      <w:r w:rsidR="009D0BE2">
        <w:rPr>
          <w:szCs w:val="18"/>
        </w:rPr>
        <w:t xml:space="preserve"> </w:t>
      </w:r>
      <w:r w:rsidR="005B7BC6" w:rsidRPr="00AB39E2">
        <w:rPr>
          <w:i/>
          <w:iCs/>
          <w:szCs w:val="18"/>
        </w:rPr>
        <w:t>Direct-Reading Methods</w:t>
      </w:r>
      <w:r w:rsidRPr="00BD0B77">
        <w:rPr>
          <w:szCs w:val="18"/>
        </w:rPr>
        <w:t>.</w:t>
      </w:r>
      <w:bookmarkStart w:id="2" w:name="_Ref115964367"/>
      <w:r w:rsidRPr="00BD0B77">
        <w:rPr>
          <w:rStyle w:val="EndnoteReference"/>
          <w:szCs w:val="18"/>
          <w:vertAlign w:val="superscript"/>
        </w:rPr>
        <w:endnoteReference w:id="3"/>
      </w:r>
      <w:bookmarkEnd w:id="2"/>
      <w:r w:rsidRPr="00BD0B77">
        <w:rPr>
          <w:szCs w:val="18"/>
        </w:rPr>
        <w:t xml:space="preserve"> The target concentration (T</w:t>
      </w:r>
      <w:r w:rsidRPr="00BD0B77">
        <w:rPr>
          <w:szCs w:val="18"/>
          <w:vertAlign w:val="subscript"/>
        </w:rPr>
        <w:t>C</w:t>
      </w:r>
      <w:r w:rsidRPr="00BD0B77">
        <w:rPr>
          <w:szCs w:val="18"/>
        </w:rPr>
        <w:t xml:space="preserve">) </w:t>
      </w:r>
      <w:r w:rsidR="00030444">
        <w:rPr>
          <w:szCs w:val="18"/>
        </w:rPr>
        <w:t xml:space="preserve">values </w:t>
      </w:r>
      <w:r w:rsidRPr="00BD0B77">
        <w:rPr>
          <w:szCs w:val="18"/>
        </w:rPr>
        <w:t xml:space="preserve">for method evaluation </w:t>
      </w:r>
      <w:r w:rsidR="00142FFD">
        <w:rPr>
          <w:szCs w:val="18"/>
        </w:rPr>
        <w:t>were</w:t>
      </w:r>
      <w:r w:rsidR="00030444" w:rsidRPr="00BD0B77">
        <w:rPr>
          <w:szCs w:val="18"/>
        </w:rPr>
        <w:t xml:space="preserve"> </w:t>
      </w:r>
      <w:r w:rsidRPr="00BD0B77">
        <w:rPr>
          <w:szCs w:val="18"/>
        </w:rPr>
        <w:t>the OSHA 8-hour TWA permissible exposure limit (PEL</w:t>
      </w:r>
      <w:proofErr w:type="gramStart"/>
      <w:r w:rsidRPr="00BD0B77">
        <w:rPr>
          <w:szCs w:val="18"/>
        </w:rPr>
        <w:t>)</w:t>
      </w:r>
      <w:r w:rsidR="006D22A0">
        <w:rPr>
          <w:szCs w:val="18"/>
        </w:rPr>
        <w:t>,  ceiling</w:t>
      </w:r>
      <w:proofErr w:type="gramEnd"/>
      <w:r w:rsidR="00513517">
        <w:rPr>
          <w:szCs w:val="18"/>
        </w:rPr>
        <w:t>,</w:t>
      </w:r>
      <w:r w:rsidR="00BD7EA8">
        <w:rPr>
          <w:szCs w:val="18"/>
        </w:rPr>
        <w:t xml:space="preserve"> and the IDLH value for </w:t>
      </w:r>
      <w:r w:rsidR="006D22A0">
        <w:rPr>
          <w:szCs w:val="18"/>
        </w:rPr>
        <w:t>chlorine</w:t>
      </w:r>
      <w:r w:rsidRPr="00BD0B77">
        <w:rPr>
          <w:szCs w:val="18"/>
        </w:rPr>
        <w:t xml:space="preserve">. </w:t>
      </w:r>
    </w:p>
    <w:p w14:paraId="14ACC17A" w14:textId="08CBA3A2" w:rsidR="00260F5E" w:rsidRPr="00B202A5" w:rsidRDefault="00260F5E" w:rsidP="00AB39E2"/>
    <w:p w14:paraId="42872CBA" w14:textId="14D41AE8" w:rsidR="00260F5E" w:rsidRPr="00BD0B77" w:rsidRDefault="00260F5E" w:rsidP="00260F5E">
      <w:pPr>
        <w:rPr>
          <w:szCs w:val="18"/>
        </w:rPr>
      </w:pPr>
      <w:r w:rsidRPr="00BD0B77">
        <w:rPr>
          <w:szCs w:val="18"/>
        </w:rPr>
        <w:t>Dynamically generated controlled test atmospheres were created in a walk-in hood</w:t>
      </w:r>
      <w:r w:rsidR="00393832">
        <w:rPr>
          <w:szCs w:val="18"/>
        </w:rPr>
        <w:t xml:space="preserve"> for all validation tests</w:t>
      </w:r>
      <w:r w:rsidRPr="00BD0B77">
        <w:rPr>
          <w:szCs w:val="18"/>
        </w:rPr>
        <w:t xml:space="preserve">. House air was regulated using a flow-temperature-humidity control system. A measured flow of </w:t>
      </w:r>
      <w:r w:rsidR="00561633">
        <w:rPr>
          <w:szCs w:val="18"/>
        </w:rPr>
        <w:t>3000</w:t>
      </w:r>
      <w:r>
        <w:rPr>
          <w:szCs w:val="18"/>
        </w:rPr>
        <w:t xml:space="preserve"> </w:t>
      </w:r>
      <w:r w:rsidR="008C2411">
        <w:rPr>
          <w:szCs w:val="18"/>
        </w:rPr>
        <w:t xml:space="preserve">or </w:t>
      </w:r>
      <w:r w:rsidR="00F45770">
        <w:rPr>
          <w:szCs w:val="18"/>
        </w:rPr>
        <w:t>250</w:t>
      </w:r>
      <w:r w:rsidR="00F1676E">
        <w:rPr>
          <w:szCs w:val="18"/>
        </w:rPr>
        <w:t xml:space="preserve">-ppm </w:t>
      </w:r>
      <w:r w:rsidR="00414924">
        <w:rPr>
          <w:szCs w:val="18"/>
        </w:rPr>
        <w:t>chlorine</w:t>
      </w:r>
      <w:r w:rsidR="00F1676E">
        <w:rPr>
          <w:szCs w:val="18"/>
        </w:rPr>
        <w:t xml:space="preserve"> </w:t>
      </w:r>
      <w:r w:rsidRPr="00BD0B77">
        <w:rPr>
          <w:szCs w:val="18"/>
        </w:rPr>
        <w:t xml:space="preserve">was introduced near the entrance of the test atmosphere, where it was </w:t>
      </w:r>
      <w:r>
        <w:rPr>
          <w:szCs w:val="18"/>
        </w:rPr>
        <w:t>mixed</w:t>
      </w:r>
      <w:r w:rsidRPr="00BD0B77">
        <w:rPr>
          <w:szCs w:val="18"/>
        </w:rPr>
        <w:t xml:space="preserve"> into a measured flow of dilution air from the flow-temperature-humidity control system. The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and dilution air flowed into a mixing chamber, and then into a </w:t>
      </w:r>
      <w:r>
        <w:rPr>
          <w:szCs w:val="18"/>
        </w:rPr>
        <w:t>testing</w:t>
      </w:r>
      <w:r w:rsidRPr="00BD0B77">
        <w:rPr>
          <w:szCs w:val="18"/>
        </w:rPr>
        <w:t xml:space="preserve"> chamber. </w:t>
      </w:r>
      <w:r>
        <w:rPr>
          <w:szCs w:val="18"/>
        </w:rPr>
        <w:t xml:space="preserve">Monitors were placed into the testing </w:t>
      </w:r>
      <w:r w:rsidRPr="00BD0B77">
        <w:rPr>
          <w:szCs w:val="18"/>
        </w:rPr>
        <w:t xml:space="preserve">chamber. Temperature and humidity measurements were obtained near the exit of the </w:t>
      </w:r>
      <w:r>
        <w:rPr>
          <w:szCs w:val="18"/>
        </w:rPr>
        <w:t>testing</w:t>
      </w:r>
      <w:r w:rsidRPr="00BD0B77">
        <w:rPr>
          <w:szCs w:val="18"/>
        </w:rPr>
        <w:t xml:space="preserve"> chamber.</w:t>
      </w:r>
    </w:p>
    <w:p w14:paraId="501D85DC" w14:textId="2EFD6A04" w:rsidR="00BE05AA" w:rsidRPr="00BE05AA" w:rsidRDefault="001D623B" w:rsidP="00BE05AA">
      <w:pPr>
        <w:pStyle w:val="Heading2"/>
      </w:pPr>
      <w:r>
        <w:t>Time of Response</w:t>
      </w:r>
    </w:p>
    <w:p w14:paraId="247CD260" w14:textId="5FF2FF19" w:rsidR="004F6CF0" w:rsidRPr="000E30BC" w:rsidRDefault="00443071" w:rsidP="00D87EF9">
      <w:pPr>
        <w:rPr>
          <w:szCs w:val="18"/>
        </w:rPr>
      </w:pPr>
      <w:r>
        <w:rPr>
          <w:rFonts w:eastAsia="Calibri" w:cs="Times New Roman"/>
          <w:szCs w:val="18"/>
        </w:rPr>
        <w:t xml:space="preserve">The time needed for the </w:t>
      </w:r>
      <w:r w:rsidR="00D2297E">
        <w:rPr>
          <w:rFonts w:eastAsia="Calibri" w:cs="Times New Roman"/>
          <w:szCs w:val="18"/>
        </w:rPr>
        <w:t>response</w:t>
      </w:r>
      <w:r>
        <w:rPr>
          <w:rFonts w:eastAsia="Calibri" w:cs="Times New Roman"/>
          <w:szCs w:val="18"/>
        </w:rPr>
        <w:t xml:space="preserve"> to reach 63% of the </w:t>
      </w:r>
      <w:r w:rsidR="0074045E" w:rsidRPr="0074045E">
        <w:rPr>
          <w:rFonts w:eastAsia="Calibri" w:cs="Times New Roman"/>
          <w:szCs w:val="18"/>
        </w:rPr>
        <w:t>final steady-state measured value</w:t>
      </w:r>
      <w:r w:rsidR="00E6023F">
        <w:rPr>
          <w:rFonts w:eastAsia="Calibri" w:cs="Times New Roman"/>
          <w:szCs w:val="18"/>
        </w:rPr>
        <w:t xml:space="preserve"> (</w:t>
      </w:r>
      <w:r w:rsidR="00E6023F" w:rsidRPr="009E604A">
        <w:rPr>
          <w:rFonts w:eastAsia="Calibri" w:cs="Times New Roman"/>
          <w:iCs/>
          <w:szCs w:val="18"/>
        </w:rPr>
        <w:t>t</w:t>
      </w:r>
      <w:r w:rsidR="00E6023F" w:rsidRPr="00D87EF9">
        <w:rPr>
          <w:rFonts w:eastAsia="Calibri" w:cs="Times New Roman"/>
          <w:szCs w:val="18"/>
          <w:vertAlign w:val="subscript"/>
        </w:rPr>
        <w:t>63</w:t>
      </w:r>
      <w:r w:rsidR="00E6023F">
        <w:rPr>
          <w:rFonts w:eastAsia="Calibri" w:cs="Times New Roman"/>
          <w:szCs w:val="18"/>
        </w:rPr>
        <w:t xml:space="preserve">) </w:t>
      </w:r>
      <w:r w:rsidR="00D87EF9" w:rsidRPr="00BD0B77">
        <w:rPr>
          <w:rFonts w:eastAsia="Calibri" w:cs="Times New Roman"/>
          <w:szCs w:val="18"/>
        </w:rPr>
        <w:t>was determined by sampling dynamically generated controlled test atmospheres</w:t>
      </w:r>
      <w:r w:rsidR="00924B3A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containing </w:t>
      </w:r>
      <w:r w:rsidR="00414924">
        <w:rPr>
          <w:rFonts w:eastAsia="Calibri" w:cs="Times New Roman"/>
          <w:szCs w:val="18"/>
        </w:rPr>
        <w:t>chlorine</w:t>
      </w:r>
      <w:r w:rsidR="009459B9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at </w:t>
      </w:r>
      <w:r w:rsidR="000D73FA">
        <w:rPr>
          <w:rFonts w:eastAsia="Calibri" w:cs="Times New Roman"/>
          <w:szCs w:val="18"/>
        </w:rPr>
        <w:t>4.94</w:t>
      </w:r>
      <w:r w:rsidR="003A517D">
        <w:rPr>
          <w:rFonts w:eastAsia="Calibri" w:cs="Times New Roman"/>
          <w:szCs w:val="18"/>
        </w:rPr>
        <w:t xml:space="preserve"> and </w:t>
      </w:r>
      <w:r w:rsidR="000D73FA">
        <w:rPr>
          <w:rFonts w:eastAsia="Calibri" w:cs="Times New Roman"/>
          <w:szCs w:val="18"/>
        </w:rPr>
        <w:t>10.2</w:t>
      </w:r>
      <w:r w:rsidR="009459B9">
        <w:rPr>
          <w:rFonts w:eastAsia="Calibri" w:cs="Times New Roman"/>
          <w:szCs w:val="18"/>
        </w:rPr>
        <w:t xml:space="preserve"> ppm.</w:t>
      </w:r>
      <w:r w:rsidR="00D87EF9" w:rsidRPr="00BD0B77">
        <w:rPr>
          <w:rFonts w:eastAsia="Calibri" w:cs="Times New Roman"/>
          <w:szCs w:val="18"/>
        </w:rPr>
        <w:t xml:space="preserve"> The relative humidity and temperature </w:t>
      </w:r>
      <w:r w:rsidR="00D87EF9" w:rsidRPr="00BD0B77">
        <w:rPr>
          <w:szCs w:val="18"/>
        </w:rPr>
        <w:t xml:space="preserve">of the air sampled </w:t>
      </w:r>
      <w:r w:rsidR="00D87EF9" w:rsidRPr="00BD0B77">
        <w:rPr>
          <w:rFonts w:eastAsia="Calibri" w:cs="Times New Roman"/>
          <w:szCs w:val="18"/>
        </w:rPr>
        <w:t xml:space="preserve">were </w:t>
      </w:r>
      <w:r w:rsidR="000C0A49">
        <w:rPr>
          <w:rFonts w:eastAsia="Calibri" w:cs="Times New Roman"/>
          <w:szCs w:val="18"/>
        </w:rPr>
        <w:t>45</w:t>
      </w:r>
      <w:r w:rsidR="00D87EF9" w:rsidRPr="00BD0B77">
        <w:rPr>
          <w:rFonts w:eastAsia="Calibri" w:cs="Times New Roman"/>
          <w:szCs w:val="18"/>
        </w:rPr>
        <w:t>% and 2</w:t>
      </w:r>
      <w:r w:rsidR="00CE1454">
        <w:rPr>
          <w:rFonts w:eastAsia="Calibri" w:cs="Times New Roman"/>
          <w:szCs w:val="18"/>
        </w:rPr>
        <w:t>1</w:t>
      </w:r>
      <w:r w:rsidR="00D87EF9" w:rsidRPr="00BD0B77">
        <w:rPr>
          <w:rFonts w:eastAsia="Calibri" w:cs="Times New Roman"/>
          <w:szCs w:val="18"/>
        </w:rPr>
        <w:t xml:space="preserve"> °C</w:t>
      </w:r>
      <w:r w:rsidR="00D87EF9">
        <w:rPr>
          <w:rFonts w:eastAsia="Calibri" w:cs="Times New Roman"/>
          <w:szCs w:val="18"/>
        </w:rPr>
        <w:t>.</w:t>
      </w:r>
      <w:r w:rsidR="00A95010" w:rsidRPr="00A95010">
        <w:rPr>
          <w:szCs w:val="18"/>
        </w:rPr>
        <w:t xml:space="preserve"> </w:t>
      </w:r>
      <w:r w:rsidR="00190AF9">
        <w:rPr>
          <w:rFonts w:eastAsia="Calibri" w:cs="Times New Roman"/>
          <w:szCs w:val="18"/>
        </w:rPr>
        <w:t>T</w:t>
      </w:r>
      <w:r w:rsidR="00C20404">
        <w:rPr>
          <w:rFonts w:eastAsia="Calibri" w:cs="Times New Roman"/>
          <w:szCs w:val="18"/>
        </w:rPr>
        <w:t>he t</w:t>
      </w:r>
      <w:r w:rsidR="00C20404" w:rsidRPr="00AB39E2">
        <w:rPr>
          <w:rFonts w:eastAsia="Calibri" w:cs="Times New Roman"/>
          <w:szCs w:val="18"/>
          <w:vertAlign w:val="subscript"/>
        </w:rPr>
        <w:t>63</w:t>
      </w:r>
      <w:r w:rsidR="00C20404">
        <w:rPr>
          <w:rFonts w:eastAsia="Calibri" w:cs="Times New Roman"/>
          <w:szCs w:val="18"/>
        </w:rPr>
        <w:t xml:space="preserve"> value</w:t>
      </w:r>
      <w:r w:rsidR="00190AF9">
        <w:rPr>
          <w:rFonts w:eastAsia="Calibri" w:cs="Times New Roman"/>
          <w:szCs w:val="18"/>
        </w:rPr>
        <w:t xml:space="preserve"> </w:t>
      </w:r>
      <w:r w:rsidR="001F299D">
        <w:rPr>
          <w:rFonts w:eastAsia="Calibri" w:cs="Times New Roman"/>
          <w:szCs w:val="18"/>
        </w:rPr>
        <w:t xml:space="preserve">was </w:t>
      </w:r>
      <w:r w:rsidR="00857A8B">
        <w:rPr>
          <w:rFonts w:eastAsia="Calibri" w:cs="Times New Roman"/>
          <w:szCs w:val="18"/>
        </w:rPr>
        <w:t xml:space="preserve">determined </w:t>
      </w:r>
      <w:r w:rsidR="00DD7E42">
        <w:rPr>
          <w:rFonts w:eastAsia="Calibri" w:cs="Times New Roman"/>
          <w:szCs w:val="18"/>
        </w:rPr>
        <w:t>f</w:t>
      </w:r>
      <w:r w:rsidR="00F63CF7">
        <w:rPr>
          <w:rFonts w:eastAsia="Calibri" w:cs="Times New Roman"/>
          <w:szCs w:val="18"/>
        </w:rPr>
        <w:t>rom</w:t>
      </w:r>
      <w:r w:rsidR="00857A8B">
        <w:rPr>
          <w:rFonts w:eastAsia="Calibri" w:cs="Times New Roman"/>
          <w:szCs w:val="18"/>
        </w:rPr>
        <w:t xml:space="preserve"> </w:t>
      </w:r>
      <w:r w:rsidR="00772FE0">
        <w:rPr>
          <w:rFonts w:eastAsia="Calibri" w:cs="Times New Roman"/>
          <w:szCs w:val="18"/>
        </w:rPr>
        <w:t>signal</w:t>
      </w:r>
      <w:r w:rsidR="00F94D54">
        <w:rPr>
          <w:rFonts w:eastAsia="Calibri" w:cs="Times New Roman"/>
          <w:szCs w:val="18"/>
        </w:rPr>
        <w:t xml:space="preserve"> </w:t>
      </w:r>
      <w:r w:rsidR="00486CCE">
        <w:rPr>
          <w:rFonts w:eastAsia="Calibri" w:cs="Times New Roman"/>
          <w:szCs w:val="18"/>
        </w:rPr>
        <w:t xml:space="preserve">rise of </w:t>
      </w:r>
      <w:r w:rsidR="00190AF9">
        <w:rPr>
          <w:rFonts w:eastAsia="Calibri" w:cs="Times New Roman"/>
          <w:szCs w:val="18"/>
        </w:rPr>
        <w:t xml:space="preserve">three </w:t>
      </w:r>
      <w:r w:rsidR="00486CCE">
        <w:rPr>
          <w:rFonts w:eastAsia="Calibri" w:cs="Times New Roman"/>
          <w:szCs w:val="18"/>
        </w:rPr>
        <w:t xml:space="preserve">monitors </w:t>
      </w:r>
      <w:r w:rsidR="004726EF">
        <w:rPr>
          <w:rFonts w:eastAsia="Calibri" w:cs="Times New Roman"/>
          <w:szCs w:val="18"/>
        </w:rPr>
        <w:t xml:space="preserve">quickly placed </w:t>
      </w:r>
      <w:r w:rsidR="00BF0825">
        <w:rPr>
          <w:rFonts w:eastAsia="Calibri" w:cs="Times New Roman"/>
          <w:szCs w:val="18"/>
        </w:rPr>
        <w:t xml:space="preserve">into the </w:t>
      </w:r>
      <w:r w:rsidR="00772FE0">
        <w:rPr>
          <w:rFonts w:eastAsia="Calibri" w:cs="Times New Roman"/>
          <w:szCs w:val="18"/>
        </w:rPr>
        <w:t xml:space="preserve">test </w:t>
      </w:r>
      <w:r w:rsidR="00E87C2E">
        <w:rPr>
          <w:rFonts w:eastAsia="Calibri" w:cs="Times New Roman"/>
          <w:szCs w:val="18"/>
        </w:rPr>
        <w:t>atmosphere</w:t>
      </w:r>
      <w:r w:rsidR="00FD3E64">
        <w:rPr>
          <w:rFonts w:eastAsia="Calibri" w:cs="Times New Roman"/>
          <w:szCs w:val="18"/>
        </w:rPr>
        <w:t>,</w:t>
      </w:r>
      <w:r w:rsidR="00E87C2E">
        <w:rPr>
          <w:rFonts w:eastAsia="Calibri" w:cs="Times New Roman"/>
          <w:szCs w:val="18"/>
        </w:rPr>
        <w:t xml:space="preserve"> </w:t>
      </w:r>
      <w:r w:rsidR="00FD3E64">
        <w:rPr>
          <w:rFonts w:eastAsia="Calibri" w:cs="Times New Roman"/>
          <w:szCs w:val="18"/>
        </w:rPr>
        <w:t>and signal decay of</w:t>
      </w:r>
      <w:r w:rsidR="00BF0825">
        <w:rPr>
          <w:rFonts w:eastAsia="Calibri" w:cs="Times New Roman"/>
          <w:szCs w:val="18"/>
        </w:rPr>
        <w:t xml:space="preserve"> </w:t>
      </w:r>
      <w:r w:rsidR="00190AF9">
        <w:rPr>
          <w:rFonts w:eastAsia="Calibri" w:cs="Times New Roman"/>
          <w:szCs w:val="18"/>
        </w:rPr>
        <w:t xml:space="preserve">three </w:t>
      </w:r>
      <w:r w:rsidR="007256D6">
        <w:rPr>
          <w:rFonts w:eastAsia="Calibri" w:cs="Times New Roman"/>
          <w:szCs w:val="18"/>
        </w:rPr>
        <w:t xml:space="preserve">monitors quickly removed after </w:t>
      </w:r>
      <w:r w:rsidR="00295197">
        <w:rPr>
          <w:rFonts w:eastAsia="Calibri" w:cs="Times New Roman"/>
          <w:szCs w:val="18"/>
        </w:rPr>
        <w:t xml:space="preserve">signal </w:t>
      </w:r>
      <w:r w:rsidR="009F019B">
        <w:rPr>
          <w:rFonts w:eastAsia="Calibri" w:cs="Times New Roman"/>
          <w:szCs w:val="18"/>
        </w:rPr>
        <w:t>sta</w:t>
      </w:r>
      <w:r w:rsidR="00E87C2E">
        <w:rPr>
          <w:rFonts w:eastAsia="Calibri" w:cs="Times New Roman"/>
          <w:szCs w:val="18"/>
        </w:rPr>
        <w:t>bilization</w:t>
      </w:r>
      <w:r w:rsidR="00334DD7">
        <w:rPr>
          <w:rFonts w:eastAsia="Calibri" w:cs="Times New Roman"/>
          <w:szCs w:val="18"/>
        </w:rPr>
        <w:t>. Tests were performed six times at each concentration</w:t>
      </w:r>
      <w:r w:rsidR="00135EA1">
        <w:rPr>
          <w:rFonts w:eastAsia="Calibri" w:cs="Times New Roman"/>
          <w:szCs w:val="18"/>
        </w:rPr>
        <w:t xml:space="preserve"> for</w:t>
      </w:r>
      <w:r w:rsidR="00902569">
        <w:rPr>
          <w:rFonts w:eastAsia="Calibri" w:cs="Times New Roman"/>
          <w:szCs w:val="18"/>
        </w:rPr>
        <w:t xml:space="preserve"> each monitor</w:t>
      </w:r>
      <w:r w:rsidR="00334DD7">
        <w:rPr>
          <w:rFonts w:eastAsia="Calibri" w:cs="Times New Roman"/>
          <w:szCs w:val="18"/>
        </w:rPr>
        <w:t>.</w:t>
      </w:r>
      <w:r w:rsidR="00CF53B9">
        <w:rPr>
          <w:rFonts w:eastAsia="Calibri" w:cs="Times New Roman"/>
          <w:szCs w:val="18"/>
        </w:rPr>
        <w:t xml:space="preserve"> </w:t>
      </w:r>
      <w:r w:rsidR="004A00DA">
        <w:rPr>
          <w:szCs w:val="18"/>
        </w:rPr>
        <w:t>Res</w:t>
      </w:r>
      <w:r w:rsidR="00864BFB">
        <w:rPr>
          <w:szCs w:val="18"/>
        </w:rPr>
        <w:t xml:space="preserve">ults were </w:t>
      </w:r>
      <w:r w:rsidR="004B65CC">
        <w:rPr>
          <w:szCs w:val="18"/>
        </w:rPr>
        <w:t>calculated</w:t>
      </w:r>
      <w:r w:rsidR="00D72E3F">
        <w:rPr>
          <w:szCs w:val="18"/>
        </w:rPr>
        <w:t xml:space="preserve"> </w:t>
      </w:r>
      <w:r w:rsidR="00FA6066">
        <w:rPr>
          <w:szCs w:val="18"/>
        </w:rPr>
        <w:t>as described in</w:t>
      </w:r>
      <w:r w:rsidR="00FA6066" w:rsidRPr="00FA6066">
        <w:rPr>
          <w:szCs w:val="18"/>
        </w:rPr>
        <w:t xml:space="preserve"> </w:t>
      </w:r>
      <w:r w:rsidR="00FA6066" w:rsidRPr="00607C9F">
        <w:rPr>
          <w:i/>
          <w:iCs/>
          <w:szCs w:val="18"/>
        </w:rPr>
        <w:t>Direct-Reading Methods</w:t>
      </w:r>
      <w:r w:rsidR="00FA6066">
        <w:rPr>
          <w:szCs w:val="18"/>
        </w:rPr>
        <w:t>.</w:t>
      </w:r>
      <w:r w:rsidR="000B56F5" w:rsidRPr="000B56F5">
        <w:rPr>
          <w:szCs w:val="18"/>
          <w:vertAlign w:val="superscript"/>
        </w:rPr>
        <w:fldChar w:fldCharType="begin"/>
      </w:r>
      <w:r w:rsidR="000B56F5" w:rsidRPr="000B56F5">
        <w:rPr>
          <w:szCs w:val="18"/>
          <w:vertAlign w:val="superscript"/>
        </w:rPr>
        <w:instrText xml:space="preserve"> NOTEREF _Ref115964367 </w:instrText>
      </w:r>
      <w:r w:rsidR="000B56F5">
        <w:rPr>
          <w:szCs w:val="18"/>
          <w:vertAlign w:val="superscript"/>
        </w:rPr>
        <w:instrText xml:space="preserve"> \* MERGEFORMAT </w:instrText>
      </w:r>
      <w:r w:rsidR="000B56F5" w:rsidRPr="000B56F5">
        <w:rPr>
          <w:szCs w:val="18"/>
          <w:vertAlign w:val="superscript"/>
        </w:rPr>
        <w:fldChar w:fldCharType="separate"/>
      </w:r>
      <w:r w:rsidR="00961D28">
        <w:rPr>
          <w:szCs w:val="18"/>
          <w:vertAlign w:val="superscript"/>
        </w:rPr>
        <w:t>2</w:t>
      </w:r>
      <w:r w:rsidR="000B56F5" w:rsidRPr="000B56F5">
        <w:rPr>
          <w:szCs w:val="18"/>
          <w:vertAlign w:val="superscript"/>
        </w:rPr>
        <w:fldChar w:fldCharType="end"/>
      </w:r>
      <w:r w:rsidR="00FA6066">
        <w:rPr>
          <w:szCs w:val="18"/>
        </w:rPr>
        <w:t xml:space="preserve"> </w:t>
      </w:r>
      <w:r w:rsidR="00A95010" w:rsidRPr="00BD0B77">
        <w:rPr>
          <w:szCs w:val="18"/>
        </w:rPr>
        <w:t xml:space="preserve">Results obtained are </w:t>
      </w:r>
      <w:r w:rsidR="00FC4C74">
        <w:rPr>
          <w:szCs w:val="18"/>
        </w:rPr>
        <w:t>provided</w:t>
      </w:r>
      <w:r w:rsidR="00A95010" w:rsidRPr="00BD0B77">
        <w:rPr>
          <w:szCs w:val="18"/>
        </w:rPr>
        <w:t xml:space="preserve"> in Table </w:t>
      </w:r>
      <w:r w:rsidR="000C535B">
        <w:rPr>
          <w:szCs w:val="18"/>
        </w:rPr>
        <w:t>1</w:t>
      </w:r>
      <w:r w:rsidR="00CD15EE">
        <w:rPr>
          <w:szCs w:val="18"/>
        </w:rPr>
        <w:t>.</w:t>
      </w:r>
      <w:r w:rsidR="00017CAB">
        <w:rPr>
          <w:szCs w:val="18"/>
        </w:rPr>
        <w:t xml:space="preserve"> </w:t>
      </w:r>
      <w:r w:rsidR="00EC5B17">
        <w:rPr>
          <w:rFonts w:eastAsia="Calibri" w:cs="Times New Roman"/>
          <w:szCs w:val="18"/>
        </w:rPr>
        <w:t>The t</w:t>
      </w:r>
      <w:r w:rsidR="00EC5B17" w:rsidRPr="00355EFD">
        <w:rPr>
          <w:rFonts w:eastAsia="Calibri" w:cs="Times New Roman"/>
          <w:szCs w:val="18"/>
          <w:vertAlign w:val="subscript"/>
        </w:rPr>
        <w:t>63</w:t>
      </w:r>
      <w:r w:rsidR="00EC5B17">
        <w:rPr>
          <w:rFonts w:eastAsia="Calibri" w:cs="Times New Roman"/>
          <w:szCs w:val="18"/>
        </w:rPr>
        <w:t xml:space="preserve"> value </w:t>
      </w:r>
      <w:r w:rsidR="001D7AF3">
        <w:rPr>
          <w:szCs w:val="18"/>
        </w:rPr>
        <w:t xml:space="preserve">was determined to be </w:t>
      </w:r>
      <w:r w:rsidR="008E2977">
        <w:rPr>
          <w:szCs w:val="18"/>
        </w:rPr>
        <w:t>3</w:t>
      </w:r>
      <w:r w:rsidR="001D7AF3">
        <w:rPr>
          <w:szCs w:val="18"/>
        </w:rPr>
        <w:t xml:space="preserve"> seconds.</w:t>
      </w:r>
    </w:p>
    <w:p w14:paraId="52DD4634" w14:textId="77777777" w:rsidR="00D87EF9" w:rsidRPr="00D87EF9" w:rsidRDefault="00D87EF9" w:rsidP="00D87EF9"/>
    <w:p w14:paraId="17A535B8" w14:textId="19B5448D" w:rsidR="00273AA6" w:rsidRPr="00BD0B77" w:rsidRDefault="00273AA6" w:rsidP="00273AA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C535B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Time of response </w:t>
      </w:r>
      <w:r w:rsidR="00865653">
        <w:rPr>
          <w:szCs w:val="18"/>
        </w:rPr>
        <w:t xml:space="preserve">for </w:t>
      </w:r>
      <w:r w:rsidR="00414924">
        <w:rPr>
          <w:szCs w:val="18"/>
        </w:rPr>
        <w:t>chlorine</w:t>
      </w:r>
      <w:r w:rsidR="002E1A1A">
        <w:rPr>
          <w:szCs w:val="18"/>
        </w:rPr>
        <w:t xml:space="preserve"> </w:t>
      </w:r>
      <w:r w:rsidR="002261FD">
        <w:rPr>
          <w:szCs w:val="18"/>
        </w:rPr>
        <w:t xml:space="preserve">(ppm values listed at </w:t>
      </w:r>
      <w:r w:rsidR="00985828">
        <w:rPr>
          <w:szCs w:val="18"/>
        </w:rPr>
        <w:t>6</w:t>
      </w:r>
      <w:r w:rsidR="001C06D3">
        <w:rPr>
          <w:szCs w:val="18"/>
        </w:rPr>
        <w:t>4</w:t>
      </w:r>
      <w:r w:rsidR="00E66814">
        <w:rPr>
          <w:szCs w:val="18"/>
        </w:rPr>
        <w:t>9</w:t>
      </w:r>
      <w:r w:rsidR="00BF53A7">
        <w:rPr>
          <w:szCs w:val="18"/>
        </w:rPr>
        <w:t xml:space="preserve"> mmHg and 2</w:t>
      </w:r>
      <w:r w:rsidR="00E66814">
        <w:rPr>
          <w:szCs w:val="18"/>
        </w:rPr>
        <w:t>1</w:t>
      </w:r>
      <w:r w:rsidR="00155C96">
        <w:rPr>
          <w:szCs w:val="18"/>
        </w:rPr>
        <w:t xml:space="preserve"> </w:t>
      </w:r>
      <w:r w:rsidR="00BF53A7" w:rsidRPr="00BD0B77">
        <w:rPr>
          <w:rFonts w:cs="Arial"/>
          <w:szCs w:val="18"/>
        </w:rPr>
        <w:t>°</w:t>
      </w:r>
      <w:r w:rsidR="00BF53A7" w:rsidRPr="00BD0B77">
        <w:rPr>
          <w:szCs w:val="18"/>
        </w:rPr>
        <w:t>C</w:t>
      </w:r>
      <w:r w:rsidR="00BF53A7">
        <w:rPr>
          <w:szCs w:val="18"/>
        </w:rPr>
        <w:t>)</w:t>
      </w:r>
      <w:r w:rsidR="0046559D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899"/>
        <w:gridCol w:w="1881"/>
        <w:gridCol w:w="1762"/>
        <w:gridCol w:w="1762"/>
        <w:gridCol w:w="1762"/>
        <w:gridCol w:w="1294"/>
      </w:tblGrid>
      <w:tr w:rsidR="007847AF" w:rsidRPr="00A746DC" w14:paraId="0163621C" w14:textId="732ABE89" w:rsidTr="003100FD">
        <w:trPr>
          <w:trHeight w:hRule="exact" w:val="532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3A7552" w14:textId="3DCF0A52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monitor no.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53CD12" w14:textId="3B539371" w:rsidR="0053259C" w:rsidRDefault="00D63214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4.94</w:t>
            </w:r>
            <w:r w:rsidR="006F0307">
              <w:rPr>
                <w:szCs w:val="18"/>
              </w:rPr>
              <w:t xml:space="preserve"> ppm rise </w:t>
            </w:r>
          </w:p>
          <w:p w14:paraId="1B5C8060" w14:textId="584EE51E" w:rsidR="006F0307" w:rsidRPr="0053259C" w:rsidRDefault="0053259C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sec </w:t>
            </w:r>
            <w:r w:rsidR="006F0307" w:rsidRPr="0053259C">
              <w:rPr>
                <w:szCs w:val="18"/>
              </w:rPr>
              <w:t>(%CV)</w:t>
            </w:r>
          </w:p>
          <w:p w14:paraId="6DF6FD40" w14:textId="5DE1242E" w:rsidR="007847AF" w:rsidRPr="00A52750" w:rsidRDefault="007847AF" w:rsidP="0053259C">
            <w:pPr>
              <w:pStyle w:val="ListParagraph"/>
              <w:numPr>
                <w:ilvl w:val="0"/>
                <w:numId w:val="0"/>
              </w:num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ind w:left="405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0515E1A" w14:textId="4C25A0BC" w:rsidR="007847AF" w:rsidRDefault="00D63214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4.94</w:t>
            </w:r>
            <w:r w:rsidR="00B94792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 xml:space="preserve">ppm decay </w:t>
            </w:r>
          </w:p>
          <w:p w14:paraId="3C93C7EA" w14:textId="65B8A2B0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3E02C471" w14:textId="57963F98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9F90A94" w14:textId="3C51FC7C" w:rsidR="007847AF" w:rsidRDefault="00D63214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10.2</w:t>
            </w:r>
            <w:r w:rsidR="007847AF">
              <w:rPr>
                <w:szCs w:val="18"/>
              </w:rPr>
              <w:t xml:space="preserve"> ppm rise </w:t>
            </w:r>
          </w:p>
          <w:p w14:paraId="0A80CE1F" w14:textId="77461E43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571AADCD" w14:textId="731C0839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A9B505" w14:textId="00042903" w:rsidR="007847AF" w:rsidRDefault="00D63214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10.2</w:t>
            </w:r>
            <w:r w:rsidR="007847AF">
              <w:rPr>
                <w:szCs w:val="18"/>
              </w:rPr>
              <w:t xml:space="preserve"> ppm decay </w:t>
            </w:r>
          </w:p>
          <w:p w14:paraId="14C6D61E" w14:textId="5803F8DC" w:rsidR="007847AF" w:rsidRDefault="0053259C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>sec</w:t>
            </w:r>
            <w:r w:rsidR="007847AF">
              <w:rPr>
                <w:szCs w:val="18"/>
              </w:rPr>
              <w:t xml:space="preserve"> (%CV)</w:t>
            </w:r>
          </w:p>
          <w:p w14:paraId="1C8573BE" w14:textId="6F5D5F06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49E4CE72" w14:textId="163018FB" w:rsidR="001F1F1F" w:rsidRDefault="00865653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>m</w:t>
            </w:r>
            <w:r w:rsidR="007847AF" w:rsidRPr="00BD0B77">
              <w:rPr>
                <w:szCs w:val="18"/>
              </w:rPr>
              <w:t>ean</w:t>
            </w:r>
            <w:r>
              <w:rPr>
                <w:szCs w:val="18"/>
              </w:rPr>
              <w:t xml:space="preserve"> </w:t>
            </w:r>
            <w:r w:rsidR="00BB78BA" w:rsidRPr="009E604A">
              <w:rPr>
                <w:iCs/>
                <w:szCs w:val="18"/>
              </w:rPr>
              <w:t>t</w:t>
            </w:r>
            <w:r w:rsidRPr="00482C80">
              <w:rPr>
                <w:szCs w:val="18"/>
                <w:vertAlign w:val="subscript"/>
              </w:rPr>
              <w:t>63</w:t>
            </w:r>
            <w:r w:rsidR="001F1F1F">
              <w:rPr>
                <w:szCs w:val="18"/>
                <w:vertAlign w:val="subscript"/>
              </w:rPr>
              <w:t xml:space="preserve"> </w:t>
            </w:r>
          </w:p>
          <w:p w14:paraId="49DC73E6" w14:textId="00DB43CC" w:rsidR="001F1F1F" w:rsidRPr="001F1F1F" w:rsidRDefault="0053259C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 xml:space="preserve">in </w:t>
            </w:r>
            <w:r w:rsidR="001F1F1F" w:rsidRPr="001F1F1F">
              <w:rPr>
                <w:szCs w:val="18"/>
              </w:rPr>
              <w:t>sec</w:t>
            </w:r>
          </w:p>
        </w:tc>
      </w:tr>
      <w:tr w:rsidR="007847AF" w:rsidRPr="00A746DC" w14:paraId="09216A3F" w14:textId="392AECCB" w:rsidTr="003100FD">
        <w:trPr>
          <w:trHeight w:hRule="exact" w:val="245"/>
        </w:trPr>
        <w:tc>
          <w:tcPr>
            <w:tcW w:w="4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77083" w14:textId="2745D5DC" w:rsidR="007847AF" w:rsidRPr="00BD0B77" w:rsidRDefault="007847A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00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642F1B" w14:textId="669EB14A" w:rsidR="007847AF" w:rsidRPr="00BD0B77" w:rsidRDefault="007268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1A76F9">
              <w:rPr>
                <w:szCs w:val="18"/>
              </w:rPr>
              <w:t>9</w:t>
            </w:r>
            <w:r w:rsidR="009A3908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>(</w:t>
            </w:r>
            <w:r w:rsidR="001A76F9">
              <w:rPr>
                <w:szCs w:val="18"/>
              </w:rPr>
              <w:t>10.9</w:t>
            </w:r>
            <w:r w:rsidR="007847AF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</w:tcPr>
          <w:p w14:paraId="126FD1C3" w14:textId="7DAFF4A0" w:rsidR="007847AF" w:rsidRPr="00BD0B77" w:rsidRDefault="00536F4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1A76F9">
              <w:rPr>
                <w:szCs w:val="18"/>
              </w:rPr>
              <w:t>8</w:t>
            </w:r>
            <w:r w:rsidR="00482C80">
              <w:rPr>
                <w:szCs w:val="18"/>
              </w:rPr>
              <w:t xml:space="preserve"> (</w:t>
            </w:r>
            <w:r w:rsidR="001A76F9">
              <w:rPr>
                <w:szCs w:val="18"/>
              </w:rPr>
              <w:t>11.9</w:t>
            </w:r>
            <w:r w:rsidR="00482C8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CEED18" w14:textId="1FD9A2C2" w:rsidR="007847AF" w:rsidRPr="00BD0B77" w:rsidRDefault="00E775D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C91B9E">
              <w:rPr>
                <w:szCs w:val="18"/>
              </w:rPr>
              <w:t>7</w:t>
            </w:r>
            <w:r w:rsidR="009A3908">
              <w:rPr>
                <w:szCs w:val="18"/>
              </w:rPr>
              <w:t xml:space="preserve"> (</w:t>
            </w:r>
            <w:r w:rsidR="00C91B9E">
              <w:rPr>
                <w:szCs w:val="18"/>
              </w:rPr>
              <w:t>11.0</w:t>
            </w:r>
            <w:r w:rsidR="0071768A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6AA7F5" w14:textId="762282C2" w:rsidR="007847AF" w:rsidRPr="00BD0B77" w:rsidRDefault="00C91B9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  <w:r w:rsidR="0071768A">
              <w:rPr>
                <w:szCs w:val="18"/>
              </w:rPr>
              <w:t xml:space="preserve"> (</w:t>
            </w:r>
            <w:r>
              <w:rPr>
                <w:szCs w:val="18"/>
              </w:rPr>
              <w:t>9.75</w:t>
            </w:r>
            <w:r w:rsidR="008D1D50">
              <w:rPr>
                <w:szCs w:val="18"/>
              </w:rPr>
              <w:t>%</w:t>
            </w:r>
            <w:r w:rsidR="00E404BD">
              <w:rPr>
                <w:szCs w:val="18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3ECAF1C7" w14:textId="4807A4E1" w:rsidR="007847AF" w:rsidRPr="00BD0B77" w:rsidRDefault="007247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2.8</w:t>
            </w:r>
            <w:r w:rsidR="00865653">
              <w:rPr>
                <w:szCs w:val="18"/>
              </w:rPr>
              <w:t xml:space="preserve"> </w:t>
            </w:r>
          </w:p>
        </w:tc>
      </w:tr>
      <w:tr w:rsidR="008D1D50" w:rsidRPr="00A746DC" w14:paraId="04F7CF44" w14:textId="481D58BF" w:rsidTr="003100FD">
        <w:trPr>
          <w:trHeight w:hRule="exact" w:val="245"/>
        </w:trPr>
        <w:tc>
          <w:tcPr>
            <w:tcW w:w="481" w:type="pct"/>
            <w:tcMar>
              <w:left w:w="72" w:type="dxa"/>
              <w:right w:w="72" w:type="dxa"/>
            </w:tcMar>
            <w:vAlign w:val="center"/>
          </w:tcPr>
          <w:p w14:paraId="61F5A04B" w14:textId="52F92D0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005" w:type="pct"/>
            <w:tcMar>
              <w:left w:w="72" w:type="dxa"/>
              <w:right w:w="72" w:type="dxa"/>
            </w:tcMar>
            <w:vAlign w:val="center"/>
          </w:tcPr>
          <w:p w14:paraId="271339EF" w14:textId="5848F9E4" w:rsidR="008D1D50" w:rsidRPr="00BD0B77" w:rsidRDefault="001C1C57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7B6357">
              <w:rPr>
                <w:szCs w:val="18"/>
              </w:rPr>
              <w:t>8</w:t>
            </w:r>
            <w:r w:rsidR="00346357">
              <w:rPr>
                <w:szCs w:val="18"/>
              </w:rPr>
              <w:t xml:space="preserve"> </w:t>
            </w:r>
            <w:r w:rsidR="008D1D50">
              <w:rPr>
                <w:szCs w:val="18"/>
              </w:rPr>
              <w:t>(</w:t>
            </w:r>
            <w:r w:rsidR="007B6357">
              <w:rPr>
                <w:szCs w:val="18"/>
              </w:rPr>
              <w:t>14.2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</w:tcPr>
          <w:p w14:paraId="27A253C0" w14:textId="4FD3896A" w:rsidR="008D1D50" w:rsidRPr="00BD0B77" w:rsidRDefault="00D76A53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7B6357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(</w:t>
            </w:r>
            <w:r w:rsidR="007B6357">
              <w:rPr>
                <w:szCs w:val="18"/>
              </w:rPr>
              <w:t>10.6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Mar>
              <w:left w:w="72" w:type="dxa"/>
              <w:right w:w="72" w:type="dxa"/>
            </w:tcMar>
            <w:vAlign w:val="center"/>
          </w:tcPr>
          <w:p w14:paraId="1973C2FF" w14:textId="3B3CEBA7" w:rsidR="008D1D50" w:rsidRPr="00BD0B77" w:rsidRDefault="00D76A53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8A4534">
              <w:rPr>
                <w:szCs w:val="18"/>
              </w:rPr>
              <w:t>8</w:t>
            </w:r>
            <w:r w:rsidR="008D1D50">
              <w:rPr>
                <w:szCs w:val="18"/>
              </w:rPr>
              <w:t xml:space="preserve"> (</w:t>
            </w:r>
            <w:r w:rsidR="008A4534">
              <w:rPr>
                <w:szCs w:val="18"/>
              </w:rPr>
              <w:t>9.51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Mar>
              <w:left w:w="72" w:type="dxa"/>
              <w:right w:w="72" w:type="dxa"/>
            </w:tcMar>
            <w:vAlign w:val="center"/>
          </w:tcPr>
          <w:p w14:paraId="090C66BD" w14:textId="6EC5B07B" w:rsidR="008D1D50" w:rsidRPr="00BD0B77" w:rsidRDefault="00D76A53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8A4534">
              <w:rPr>
                <w:szCs w:val="18"/>
              </w:rPr>
              <w:t>0</w:t>
            </w:r>
            <w:r w:rsidR="008D1D50">
              <w:rPr>
                <w:szCs w:val="18"/>
              </w:rPr>
              <w:t xml:space="preserve"> (</w:t>
            </w:r>
            <w:r w:rsidR="008A4534">
              <w:rPr>
                <w:szCs w:val="18"/>
              </w:rPr>
              <w:t>5.72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691" w:type="pct"/>
          </w:tcPr>
          <w:p w14:paraId="28E2714D" w14:textId="704E4F1E" w:rsidR="008D1D50" w:rsidRPr="00BD0B77" w:rsidRDefault="00515F79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744E8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</w:t>
            </w:r>
          </w:p>
        </w:tc>
      </w:tr>
      <w:tr w:rsidR="008D1D50" w:rsidRPr="00A746DC" w14:paraId="030B76FF" w14:textId="192911F0" w:rsidTr="003100FD">
        <w:trPr>
          <w:trHeight w:hRule="exact" w:val="245"/>
        </w:trPr>
        <w:tc>
          <w:tcPr>
            <w:tcW w:w="4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D7275D" w14:textId="088519B6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DF573" w14:textId="568F5B02" w:rsidR="008D1D50" w:rsidRPr="00BD0B77" w:rsidRDefault="009621D8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6738A">
              <w:rPr>
                <w:szCs w:val="18"/>
              </w:rPr>
              <w:t>8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11.</w:t>
            </w:r>
            <w:r w:rsidR="00F6738A">
              <w:rPr>
                <w:szCs w:val="18"/>
              </w:rPr>
              <w:t>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14:paraId="008E0E61" w14:textId="589A757C" w:rsidR="008D1D50" w:rsidRPr="00BD0B77" w:rsidRDefault="00F6738A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3.0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11.5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CA4B4B" w14:textId="66DE2A05" w:rsidR="008D1D50" w:rsidRPr="00BD0B77" w:rsidRDefault="009621D8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6738A">
              <w:rPr>
                <w:szCs w:val="18"/>
              </w:rPr>
              <w:t>6</w:t>
            </w:r>
            <w:r w:rsidR="006E2DD9">
              <w:rPr>
                <w:szCs w:val="18"/>
              </w:rPr>
              <w:t xml:space="preserve"> (</w:t>
            </w:r>
            <w:r w:rsidR="00F6738A">
              <w:rPr>
                <w:szCs w:val="18"/>
              </w:rPr>
              <w:t>9.71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B774F5" w14:textId="11D2AEE7" w:rsidR="008D1D50" w:rsidRPr="00BD0B77" w:rsidRDefault="0077620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9621D8">
              <w:rPr>
                <w:szCs w:val="18"/>
              </w:rPr>
              <w:t>0</w:t>
            </w:r>
            <w:r w:rsidR="008D1D50">
              <w:rPr>
                <w:szCs w:val="18"/>
              </w:rPr>
              <w:t xml:space="preserve"> (</w:t>
            </w:r>
            <w:r w:rsidR="00F6738A">
              <w:rPr>
                <w:szCs w:val="18"/>
              </w:rPr>
              <w:t>6.89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57A1EC6B" w14:textId="5AAEFC53" w:rsidR="008D1D50" w:rsidRPr="00BD0B77" w:rsidRDefault="00235F19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6738A">
              <w:rPr>
                <w:szCs w:val="18"/>
              </w:rPr>
              <w:t>8</w:t>
            </w:r>
            <w:r w:rsidR="00BE3B92">
              <w:rPr>
                <w:szCs w:val="18"/>
              </w:rPr>
              <w:t xml:space="preserve"> </w:t>
            </w:r>
          </w:p>
        </w:tc>
      </w:tr>
    </w:tbl>
    <w:p w14:paraId="1B6BB253" w14:textId="52E91A7D" w:rsidR="00662A03" w:rsidRPr="00BD0B77" w:rsidRDefault="00662A03" w:rsidP="00BC6C12">
      <w:pPr>
        <w:pStyle w:val="Heading2"/>
      </w:pPr>
      <w:r w:rsidRPr="00BD0B77">
        <w:t xml:space="preserve">Limit of </w:t>
      </w:r>
      <w:r w:rsidR="004F332C" w:rsidRPr="00BD0B77">
        <w:t>Detection</w:t>
      </w:r>
      <w:r w:rsidR="008B16BE" w:rsidRPr="00BD0B77">
        <w:t xml:space="preserve"> </w:t>
      </w:r>
      <w:r w:rsidR="00197450">
        <w:t>and</w:t>
      </w:r>
      <w:r w:rsidR="00C31E7A" w:rsidRPr="00BD0B77">
        <w:t xml:space="preserve"> </w:t>
      </w:r>
      <w:r w:rsidR="00176F8F">
        <w:t>Reporting Limit</w:t>
      </w:r>
    </w:p>
    <w:p w14:paraId="09D6CD18" w14:textId="1F866943" w:rsidR="00BB7D22" w:rsidRDefault="00EE7414" w:rsidP="00EE7414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2246B7">
        <w:rPr>
          <w:rFonts w:eastAsia="Calibri" w:cs="Times New Roman"/>
          <w:szCs w:val="18"/>
        </w:rPr>
        <w:t>limit of detection</w:t>
      </w:r>
      <w:r w:rsidRPr="00BD0B77">
        <w:rPr>
          <w:rFonts w:eastAsia="Calibri" w:cs="Times New Roman"/>
          <w:szCs w:val="18"/>
        </w:rPr>
        <w:t xml:space="preserve"> </w:t>
      </w:r>
      <w:r w:rsidR="002246B7">
        <w:rPr>
          <w:rFonts w:eastAsia="Calibri" w:cs="Times New Roman"/>
          <w:szCs w:val="18"/>
        </w:rPr>
        <w:t>(</w:t>
      </w:r>
      <w:r w:rsidR="00C0719F" w:rsidRPr="00BD0B77">
        <w:rPr>
          <w:rFonts w:eastAsia="Calibri" w:cs="Times New Roman"/>
          <w:szCs w:val="18"/>
        </w:rPr>
        <w:t>LOD</w:t>
      </w:r>
      <w:r w:rsidR="002246B7">
        <w:rPr>
          <w:rFonts w:eastAsia="Calibri" w:cs="Times New Roman"/>
          <w:szCs w:val="18"/>
        </w:rPr>
        <w:t>)</w:t>
      </w:r>
      <w:r w:rsidR="00C0719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was determined by sampling dynamically generated controlled test atmospheres </w:t>
      </w:r>
      <w:r w:rsidR="00D87197">
        <w:rPr>
          <w:rFonts w:eastAsia="Calibri" w:cs="Times New Roman"/>
          <w:szCs w:val="18"/>
        </w:rPr>
        <w:t>where the</w:t>
      </w:r>
      <w:r w:rsidR="001623C2" w:rsidRPr="00BD0B77">
        <w:rPr>
          <w:rFonts w:eastAsia="Calibri" w:cs="Times New Roman"/>
          <w:szCs w:val="18"/>
        </w:rPr>
        <w:t xml:space="preserve"> relative humidity and temperature </w:t>
      </w:r>
      <w:r w:rsidR="001623C2" w:rsidRPr="00BD0B77">
        <w:rPr>
          <w:szCs w:val="18"/>
        </w:rPr>
        <w:t xml:space="preserve">of the air sampled </w:t>
      </w:r>
      <w:r w:rsidR="001623C2" w:rsidRPr="00BD0B77">
        <w:rPr>
          <w:rFonts w:eastAsia="Calibri" w:cs="Times New Roman"/>
          <w:szCs w:val="18"/>
        </w:rPr>
        <w:t xml:space="preserve">were </w:t>
      </w:r>
      <w:r w:rsidR="009B534B">
        <w:rPr>
          <w:rFonts w:eastAsia="Calibri" w:cs="Times New Roman"/>
          <w:szCs w:val="18"/>
        </w:rPr>
        <w:t>43</w:t>
      </w:r>
      <w:r w:rsidR="001623C2" w:rsidRPr="00BD0B77">
        <w:rPr>
          <w:rFonts w:eastAsia="Calibri" w:cs="Times New Roman"/>
          <w:szCs w:val="18"/>
        </w:rPr>
        <w:t>% and 2</w:t>
      </w:r>
      <w:r w:rsidR="009B534B">
        <w:rPr>
          <w:rFonts w:eastAsia="Calibri" w:cs="Times New Roman"/>
          <w:szCs w:val="18"/>
        </w:rPr>
        <w:t>1</w:t>
      </w:r>
      <w:r w:rsidR="001623C2" w:rsidRPr="00BD0B77">
        <w:rPr>
          <w:rFonts w:eastAsia="Calibri" w:cs="Times New Roman"/>
          <w:szCs w:val="18"/>
        </w:rPr>
        <w:t xml:space="preserve"> °C</w:t>
      </w:r>
      <w:r w:rsidR="00943DBB">
        <w:rPr>
          <w:rFonts w:eastAsia="Calibri" w:cs="Times New Roman"/>
          <w:szCs w:val="18"/>
        </w:rPr>
        <w:t>.</w:t>
      </w:r>
      <w:r w:rsidR="001623C2" w:rsidRPr="00BD0B77">
        <w:rPr>
          <w:rFonts w:eastAsia="Calibri" w:cs="Times New Roman"/>
          <w:szCs w:val="18"/>
        </w:rPr>
        <w:t xml:space="preserve"> </w:t>
      </w:r>
      <w:r w:rsidR="008C3FA2" w:rsidRPr="00BD0B77">
        <w:rPr>
          <w:szCs w:val="18"/>
        </w:rPr>
        <w:t>The LOD is the concentration that produces a response greater than 3.3× the standard error of estimate (</w:t>
      </w:r>
      <w:r w:rsidR="008C3FA2" w:rsidRPr="00BD0B77">
        <w:rPr>
          <w:rFonts w:ascii="Cambria Math" w:hAnsi="Cambria Math"/>
          <w:i/>
          <w:iCs/>
          <w:szCs w:val="18"/>
        </w:rPr>
        <w:t>S</w:t>
      </w:r>
      <w:r w:rsidR="008C3FA2" w:rsidRPr="00BD0B77">
        <w:rPr>
          <w:rFonts w:ascii="Cambria Math" w:hAnsi="Cambria Math"/>
          <w:i/>
          <w:iCs/>
          <w:szCs w:val="18"/>
          <w:vertAlign w:val="subscript"/>
        </w:rPr>
        <w:t>y/x</w:t>
      </w:r>
      <w:r w:rsidR="008C3FA2" w:rsidRPr="00BD0B77">
        <w:rPr>
          <w:szCs w:val="18"/>
        </w:rPr>
        <w:t xml:space="preserve">) divided by the slope of the line produced from </w:t>
      </w:r>
      <w:r w:rsidR="00683A82" w:rsidRPr="00BD0B77">
        <w:rPr>
          <w:rFonts w:eastAsia="Calibri" w:cs="Times New Roman"/>
          <w:szCs w:val="18"/>
        </w:rPr>
        <w:t xml:space="preserve">three monitors used at six evenly spaced levels across a concentration range </w:t>
      </w:r>
      <w:r w:rsidR="00683A82" w:rsidRPr="00BD0B77">
        <w:rPr>
          <w:szCs w:val="18"/>
        </w:rPr>
        <w:t>of</w:t>
      </w:r>
      <w:r w:rsidR="00683A82" w:rsidRPr="00BD0B77">
        <w:rPr>
          <w:rFonts w:eastAsia="Calibri" w:cs="Times New Roman"/>
          <w:szCs w:val="18"/>
        </w:rPr>
        <w:t xml:space="preserve"> 0 to </w:t>
      </w:r>
      <w:r w:rsidR="009C52FB">
        <w:rPr>
          <w:rFonts w:eastAsia="Calibri" w:cs="Times New Roman"/>
          <w:szCs w:val="18"/>
        </w:rPr>
        <w:t>6</w:t>
      </w:r>
      <w:r w:rsidR="00BE5D90">
        <w:rPr>
          <w:szCs w:val="18"/>
        </w:rPr>
        <w:t xml:space="preserve"> times</w:t>
      </w:r>
      <w:r w:rsidR="00683A82" w:rsidRPr="00BD0B77">
        <w:rPr>
          <w:szCs w:val="18"/>
        </w:rPr>
        <w:t xml:space="preserve"> the monitor resolution</w:t>
      </w:r>
      <w:r w:rsidR="00683A82" w:rsidRPr="00BD0B77">
        <w:rPr>
          <w:rFonts w:eastAsia="Calibri" w:cs="Times New Roman"/>
          <w:szCs w:val="18"/>
        </w:rPr>
        <w:t>.</w:t>
      </w:r>
      <w:r w:rsidR="00DA0B1E" w:rsidRPr="00BD0B77">
        <w:rPr>
          <w:rFonts w:eastAsia="Calibri" w:cs="Times New Roman"/>
          <w:szCs w:val="18"/>
        </w:rPr>
        <w:t xml:space="preserve"> Monitor response was determined after </w:t>
      </w:r>
      <w:r w:rsidR="0074152C" w:rsidRPr="00BD0B77">
        <w:rPr>
          <w:rFonts w:eastAsia="Calibri" w:cs="Times New Roman"/>
          <w:szCs w:val="18"/>
        </w:rPr>
        <w:t xml:space="preserve">exposure to the test atmosphere </w:t>
      </w:r>
      <w:r w:rsidR="005C36B1">
        <w:rPr>
          <w:rFonts w:eastAsia="Calibri" w:cs="Times New Roman"/>
          <w:szCs w:val="18"/>
        </w:rPr>
        <w:t xml:space="preserve">for </w:t>
      </w:r>
      <w:bookmarkStart w:id="4" w:name="_Hlk158639800"/>
      <w:r w:rsidR="009B534B">
        <w:rPr>
          <w:rFonts w:eastAsia="Calibri" w:cs="Times New Roman"/>
          <w:szCs w:val="18"/>
        </w:rPr>
        <w:t>3</w:t>
      </w:r>
      <w:r w:rsidR="00813E50">
        <w:rPr>
          <w:rFonts w:eastAsia="Calibri" w:cs="Times New Roman"/>
          <w:szCs w:val="18"/>
        </w:rPr>
        <w:t xml:space="preserve"> mi</w:t>
      </w:r>
      <w:r w:rsidR="00EE1418">
        <w:rPr>
          <w:rFonts w:eastAsia="Calibri" w:cs="Times New Roman"/>
          <w:szCs w:val="18"/>
        </w:rPr>
        <w:t>nutes</w:t>
      </w:r>
      <w:r w:rsidR="00664663">
        <w:rPr>
          <w:szCs w:val="18"/>
        </w:rPr>
        <w:t xml:space="preserve">. </w:t>
      </w:r>
      <w:bookmarkEnd w:id="4"/>
      <w:r w:rsidR="009B0BE4">
        <w:rPr>
          <w:szCs w:val="18"/>
        </w:rPr>
        <w:t xml:space="preserve">The </w:t>
      </w:r>
      <w:r w:rsidR="00D42180">
        <w:rPr>
          <w:szCs w:val="18"/>
        </w:rPr>
        <w:t>reporting limit</w:t>
      </w:r>
      <w:r w:rsidR="000B1D6F">
        <w:rPr>
          <w:szCs w:val="18"/>
        </w:rPr>
        <w:t xml:space="preserve"> (</w:t>
      </w:r>
      <w:r w:rsidR="009B0BE4">
        <w:rPr>
          <w:szCs w:val="18"/>
        </w:rPr>
        <w:t>RL</w:t>
      </w:r>
      <w:r w:rsidR="000B1D6F">
        <w:rPr>
          <w:szCs w:val="18"/>
        </w:rPr>
        <w:t>)</w:t>
      </w:r>
      <w:r w:rsidR="009B0BE4">
        <w:rPr>
          <w:szCs w:val="18"/>
        </w:rPr>
        <w:t xml:space="preserve"> </w:t>
      </w:r>
      <w:r w:rsidR="00A947E4">
        <w:rPr>
          <w:szCs w:val="18"/>
        </w:rPr>
        <w:t xml:space="preserve">is designated </w:t>
      </w:r>
      <w:r w:rsidR="005A26D2">
        <w:rPr>
          <w:szCs w:val="18"/>
        </w:rPr>
        <w:t>to</w:t>
      </w:r>
      <w:r w:rsidR="00D94A38">
        <w:rPr>
          <w:szCs w:val="18"/>
        </w:rPr>
        <w:t xml:space="preserve"> be </w:t>
      </w:r>
      <w:r w:rsidR="003B0723">
        <w:rPr>
          <w:szCs w:val="18"/>
        </w:rPr>
        <w:t>0.</w:t>
      </w:r>
      <w:r w:rsidR="00DE57B8">
        <w:rPr>
          <w:szCs w:val="18"/>
        </w:rPr>
        <w:t>2</w:t>
      </w:r>
      <w:r w:rsidR="009255FB">
        <w:rPr>
          <w:szCs w:val="18"/>
        </w:rPr>
        <w:t>0</w:t>
      </w:r>
      <w:r w:rsidR="00D94A38">
        <w:rPr>
          <w:szCs w:val="18"/>
        </w:rPr>
        <w:t xml:space="preserve"> ppm,</w:t>
      </w:r>
      <w:r w:rsidR="005A26D2">
        <w:rPr>
          <w:szCs w:val="18"/>
        </w:rPr>
        <w:t xml:space="preserve"> the nearest reading </w:t>
      </w:r>
      <w:r w:rsidR="002C2A76">
        <w:rPr>
          <w:szCs w:val="18"/>
        </w:rPr>
        <w:t>above the LOD</w:t>
      </w:r>
      <w:r w:rsidR="00240EB3">
        <w:rPr>
          <w:szCs w:val="18"/>
        </w:rPr>
        <w:t xml:space="preserve"> resulting in a recovery </w:t>
      </w:r>
      <w:r w:rsidR="00240EB3">
        <w:rPr>
          <w:rFonts w:cs="Arial"/>
          <w:szCs w:val="18"/>
        </w:rPr>
        <w:t>≤</w:t>
      </w:r>
      <w:r w:rsidR="00240EB3">
        <w:rPr>
          <w:szCs w:val="18"/>
        </w:rPr>
        <w:t xml:space="preserve"> </w:t>
      </w:r>
      <w:r w:rsidR="00240EB3">
        <w:rPr>
          <w:rFonts w:cs="Arial"/>
          <w:szCs w:val="18"/>
        </w:rPr>
        <w:t>±</w:t>
      </w:r>
      <w:r w:rsidR="00240EB3">
        <w:rPr>
          <w:szCs w:val="18"/>
        </w:rPr>
        <w:t xml:space="preserve">25%. </w:t>
      </w:r>
      <w:r w:rsidR="0002105F" w:rsidRPr="00BD0B77">
        <w:rPr>
          <w:szCs w:val="18"/>
        </w:rPr>
        <w:t xml:space="preserve">Results obtained are </w:t>
      </w:r>
      <w:r w:rsidR="00CF2314">
        <w:rPr>
          <w:szCs w:val="18"/>
        </w:rPr>
        <w:t>provided</w:t>
      </w:r>
      <w:r w:rsidR="0002105F" w:rsidRPr="00BD0B77">
        <w:rPr>
          <w:szCs w:val="18"/>
        </w:rPr>
        <w:t xml:space="preserve"> in Table </w:t>
      </w:r>
      <w:r w:rsidR="00CC2931">
        <w:rPr>
          <w:szCs w:val="18"/>
        </w:rPr>
        <w:t>2</w:t>
      </w:r>
      <w:r w:rsidR="0002105F" w:rsidRPr="00BD0B77">
        <w:rPr>
          <w:szCs w:val="18"/>
        </w:rPr>
        <w:t xml:space="preserve"> and plotted in Figure </w:t>
      </w:r>
      <w:r w:rsidR="0043333C">
        <w:rPr>
          <w:szCs w:val="18"/>
        </w:rPr>
        <w:t>1</w:t>
      </w:r>
      <w:r w:rsidR="0002105F" w:rsidRPr="00BD0B77">
        <w:rPr>
          <w:szCs w:val="18"/>
        </w:rPr>
        <w:t>.</w:t>
      </w:r>
    </w:p>
    <w:p w14:paraId="69960CBD" w14:textId="65B759C3" w:rsidR="00162903" w:rsidRDefault="001045E1">
      <w:pPr>
        <w:spacing w:after="160" w:line="259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00907D19" w14:textId="15DBB907" w:rsidR="002016B0" w:rsidRPr="00BD0B77" w:rsidRDefault="002016B0" w:rsidP="00D6081D">
      <w:pPr>
        <w:keepNext/>
        <w:spacing w:line="240" w:lineRule="auto"/>
        <w:rPr>
          <w:szCs w:val="18"/>
        </w:rPr>
      </w:pPr>
      <w:r w:rsidRPr="00BD0B77">
        <w:rPr>
          <w:b/>
          <w:iCs/>
          <w:szCs w:val="18"/>
        </w:rPr>
        <w:lastRenderedPageBreak/>
        <w:t xml:space="preserve">Table </w:t>
      </w:r>
      <w:r w:rsidR="00CC2931">
        <w:rPr>
          <w:b/>
          <w:iCs/>
          <w:szCs w:val="18"/>
        </w:rPr>
        <w:t>2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data for</w:t>
      </w:r>
      <w:r w:rsidR="00332550" w:rsidRPr="00BD0B77">
        <w:rPr>
          <w:iCs/>
          <w:szCs w:val="18"/>
        </w:rPr>
        <w:t xml:space="preserve"> </w:t>
      </w:r>
      <w:r w:rsidR="00414924">
        <w:rPr>
          <w:iCs/>
          <w:szCs w:val="18"/>
        </w:rPr>
        <w:t>chlorine</w:t>
      </w:r>
      <w:r w:rsidR="00D0019C">
        <w:rPr>
          <w:iCs/>
          <w:szCs w:val="18"/>
        </w:rPr>
        <w:t xml:space="preserve"> (ppm </w:t>
      </w:r>
      <w:r w:rsidR="00E82C69">
        <w:rPr>
          <w:iCs/>
          <w:szCs w:val="18"/>
        </w:rPr>
        <w:t xml:space="preserve">values listed </w:t>
      </w:r>
      <w:r w:rsidR="00E82C69" w:rsidRPr="00BD0B77">
        <w:rPr>
          <w:szCs w:val="18"/>
        </w:rPr>
        <w:t>at</w:t>
      </w:r>
      <w:r w:rsidR="00417F10">
        <w:rPr>
          <w:szCs w:val="18"/>
        </w:rPr>
        <w:t xml:space="preserve"> </w:t>
      </w:r>
      <w:r w:rsidR="00E82C69" w:rsidRPr="00BD0B77">
        <w:rPr>
          <w:szCs w:val="18"/>
        </w:rPr>
        <w:t>6</w:t>
      </w:r>
      <w:r w:rsidR="009C0E95">
        <w:rPr>
          <w:szCs w:val="18"/>
        </w:rPr>
        <w:t>52</w:t>
      </w:r>
      <w:r w:rsidR="00E82C69" w:rsidRPr="00BD0B77">
        <w:rPr>
          <w:szCs w:val="18"/>
        </w:rPr>
        <w:t xml:space="preserve"> mmHg and 2</w:t>
      </w:r>
      <w:r w:rsidR="008F2042">
        <w:rPr>
          <w:szCs w:val="18"/>
        </w:rPr>
        <w:t>1</w:t>
      </w:r>
      <w:r w:rsidR="00E82C69" w:rsidRPr="00BD0B77">
        <w:rPr>
          <w:szCs w:val="18"/>
        </w:rPr>
        <w:t xml:space="preserve"> </w:t>
      </w:r>
      <w:r w:rsidR="00E82C69" w:rsidRPr="00BD0B77">
        <w:rPr>
          <w:rFonts w:cs="Arial"/>
          <w:szCs w:val="18"/>
        </w:rPr>
        <w:t>°</w:t>
      </w:r>
      <w:r w:rsidR="00E82C69" w:rsidRPr="00BD0B77">
        <w:rPr>
          <w:szCs w:val="18"/>
        </w:rPr>
        <w:t>C</w:t>
      </w:r>
      <w:r w:rsidR="00E82C69"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8"/>
        <w:gridCol w:w="3121"/>
        <w:gridCol w:w="3121"/>
      </w:tblGrid>
      <w:tr w:rsidR="002016B0" w:rsidRPr="00A746DC" w14:paraId="6A9872A8" w14:textId="77777777" w:rsidTr="00E452AC">
        <w:trPr>
          <w:tblHeader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8846282" w14:textId="46D835AE" w:rsidR="00D439C9" w:rsidRPr="00BD0B77" w:rsidRDefault="00F83985" w:rsidP="000D3399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5D5445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11AA0EC7" w14:textId="2B76CAD3" w:rsidR="005D5445" w:rsidRPr="00BD0B77" w:rsidRDefault="005D5445" w:rsidP="000D3399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</w:t>
            </w:r>
            <w:r w:rsidR="00B652FA"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DAA" w14:textId="77777777" w:rsidR="00C45552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monitor </w:t>
            </w:r>
          </w:p>
          <w:p w14:paraId="1F36875B" w14:textId="617AA037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no.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6163" w14:textId="0436A02B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response</w:t>
            </w:r>
          </w:p>
          <w:p w14:paraId="58EBD6B3" w14:textId="75D914CE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</w:tr>
      <w:tr w:rsidR="00CE0441" w:rsidRPr="00A746DC" w14:paraId="529F5719" w14:textId="77777777" w:rsidTr="007D28F7">
        <w:tc>
          <w:tcPr>
            <w:tcW w:w="1666" w:type="pct"/>
            <w:tcBorders>
              <w:top w:val="single" w:sz="4" w:space="0" w:color="auto"/>
            </w:tcBorders>
          </w:tcPr>
          <w:p w14:paraId="305BEDB6" w14:textId="49983880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75738ADE" w14:textId="23D7F3C5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CA35FCE" w14:textId="34B3A376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4AE0A215" w14:textId="77777777" w:rsidTr="007D28F7">
        <w:tc>
          <w:tcPr>
            <w:tcW w:w="1666" w:type="pct"/>
          </w:tcPr>
          <w:p w14:paraId="14127F94" w14:textId="6FBC515A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vAlign w:val="center"/>
          </w:tcPr>
          <w:p w14:paraId="45DD3E43" w14:textId="4E0B10E3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53AA648F" w14:textId="1872CFB7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3ACE6794" w14:textId="77777777" w:rsidTr="007D28F7">
        <w:tc>
          <w:tcPr>
            <w:tcW w:w="1666" w:type="pct"/>
          </w:tcPr>
          <w:p w14:paraId="6020C0CF" w14:textId="2689D525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vAlign w:val="center"/>
          </w:tcPr>
          <w:p w14:paraId="26B6DB31" w14:textId="69B5F7F9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5003BF4A" w14:textId="5719475A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7F5989" w:rsidRPr="00A746DC" w14:paraId="45176BF2" w14:textId="77777777" w:rsidTr="00456A9D">
        <w:tc>
          <w:tcPr>
            <w:tcW w:w="1666" w:type="pct"/>
          </w:tcPr>
          <w:p w14:paraId="4618A87E" w14:textId="259AD028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0.050</w:t>
            </w:r>
          </w:p>
        </w:tc>
        <w:tc>
          <w:tcPr>
            <w:tcW w:w="1667" w:type="pct"/>
            <w:vAlign w:val="center"/>
          </w:tcPr>
          <w:p w14:paraId="1B686F9C" w14:textId="71CEC5A5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08E7B28" w14:textId="015F0277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0.05</w:t>
            </w:r>
          </w:p>
        </w:tc>
      </w:tr>
      <w:tr w:rsidR="007F5989" w:rsidRPr="00A746DC" w14:paraId="61976E3E" w14:textId="77777777" w:rsidTr="00456A9D">
        <w:tc>
          <w:tcPr>
            <w:tcW w:w="1666" w:type="pct"/>
          </w:tcPr>
          <w:p w14:paraId="13CD2A51" w14:textId="3EB67AF8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0.050</w:t>
            </w:r>
          </w:p>
        </w:tc>
        <w:tc>
          <w:tcPr>
            <w:tcW w:w="1667" w:type="pct"/>
            <w:vAlign w:val="center"/>
          </w:tcPr>
          <w:p w14:paraId="2E950885" w14:textId="0BBD03C4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2674957C" w14:textId="34E65B64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0.00</w:t>
            </w:r>
          </w:p>
        </w:tc>
      </w:tr>
      <w:tr w:rsidR="007F5989" w:rsidRPr="00A746DC" w14:paraId="19CCB7FF" w14:textId="77777777" w:rsidTr="00456A9D">
        <w:tc>
          <w:tcPr>
            <w:tcW w:w="1666" w:type="pct"/>
          </w:tcPr>
          <w:p w14:paraId="31C3D8AB" w14:textId="63EEE5F4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0.050</w:t>
            </w:r>
          </w:p>
        </w:tc>
        <w:tc>
          <w:tcPr>
            <w:tcW w:w="1667" w:type="pct"/>
            <w:vAlign w:val="center"/>
          </w:tcPr>
          <w:p w14:paraId="096D2335" w14:textId="37F6272B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AEC6432" w14:textId="14D1066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0.05</w:t>
            </w:r>
          </w:p>
        </w:tc>
      </w:tr>
      <w:tr w:rsidR="007F5989" w:rsidRPr="00A746DC" w14:paraId="1E128011" w14:textId="77777777" w:rsidTr="00456A9D">
        <w:tc>
          <w:tcPr>
            <w:tcW w:w="1666" w:type="pct"/>
          </w:tcPr>
          <w:p w14:paraId="5CC8FDCB" w14:textId="029F8D4A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0.100</w:t>
            </w:r>
          </w:p>
        </w:tc>
        <w:tc>
          <w:tcPr>
            <w:tcW w:w="1667" w:type="pct"/>
            <w:vAlign w:val="center"/>
          </w:tcPr>
          <w:p w14:paraId="5DBB5F57" w14:textId="14F35B79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78458529" w14:textId="6EBD2218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0.10</w:t>
            </w:r>
          </w:p>
        </w:tc>
      </w:tr>
      <w:tr w:rsidR="007F5989" w:rsidRPr="00A746DC" w14:paraId="120DBD0F" w14:textId="77777777" w:rsidTr="00456A9D">
        <w:tc>
          <w:tcPr>
            <w:tcW w:w="1666" w:type="pct"/>
          </w:tcPr>
          <w:p w14:paraId="6290DD78" w14:textId="09A66041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0.100</w:t>
            </w:r>
          </w:p>
        </w:tc>
        <w:tc>
          <w:tcPr>
            <w:tcW w:w="1667" w:type="pct"/>
            <w:vAlign w:val="center"/>
          </w:tcPr>
          <w:p w14:paraId="46C7BD8E" w14:textId="0C7AD921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77BFBEF5" w14:textId="547A61F8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0.10</w:t>
            </w:r>
          </w:p>
        </w:tc>
      </w:tr>
      <w:tr w:rsidR="007F5989" w:rsidRPr="00A746DC" w14:paraId="42A01F1F" w14:textId="77777777" w:rsidTr="00456A9D">
        <w:tc>
          <w:tcPr>
            <w:tcW w:w="1666" w:type="pct"/>
          </w:tcPr>
          <w:p w14:paraId="355D5F41" w14:textId="4E22E0AD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0.100</w:t>
            </w:r>
          </w:p>
        </w:tc>
        <w:tc>
          <w:tcPr>
            <w:tcW w:w="1667" w:type="pct"/>
            <w:vAlign w:val="center"/>
          </w:tcPr>
          <w:p w14:paraId="341AAC43" w14:textId="72957115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7E4F4893" w14:textId="765E3889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0.10</w:t>
            </w:r>
          </w:p>
        </w:tc>
      </w:tr>
      <w:tr w:rsidR="007F5989" w:rsidRPr="00A746DC" w14:paraId="61F1BEE8" w14:textId="77777777" w:rsidTr="00456A9D">
        <w:tc>
          <w:tcPr>
            <w:tcW w:w="1666" w:type="pct"/>
          </w:tcPr>
          <w:p w14:paraId="756B7341" w14:textId="724EE083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0.151</w:t>
            </w:r>
          </w:p>
        </w:tc>
        <w:tc>
          <w:tcPr>
            <w:tcW w:w="1667" w:type="pct"/>
            <w:vAlign w:val="center"/>
          </w:tcPr>
          <w:p w14:paraId="13D6BB83" w14:textId="05B98A3E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2FE43C80" w14:textId="361E37D4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0.15</w:t>
            </w:r>
          </w:p>
        </w:tc>
      </w:tr>
      <w:tr w:rsidR="007F5989" w:rsidRPr="00A746DC" w14:paraId="163DBF50" w14:textId="77777777" w:rsidTr="00456A9D">
        <w:tc>
          <w:tcPr>
            <w:tcW w:w="1666" w:type="pct"/>
          </w:tcPr>
          <w:p w14:paraId="169B3FCD" w14:textId="67BB4BC4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0.151</w:t>
            </w:r>
          </w:p>
        </w:tc>
        <w:tc>
          <w:tcPr>
            <w:tcW w:w="1667" w:type="pct"/>
            <w:vAlign w:val="center"/>
          </w:tcPr>
          <w:p w14:paraId="1235C445" w14:textId="274A3AC8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33B73374" w14:textId="6D177027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0.15</w:t>
            </w:r>
          </w:p>
        </w:tc>
      </w:tr>
      <w:tr w:rsidR="007F5989" w:rsidRPr="00A746DC" w14:paraId="5CFBC891" w14:textId="77777777" w:rsidTr="00456A9D">
        <w:tc>
          <w:tcPr>
            <w:tcW w:w="1666" w:type="pct"/>
          </w:tcPr>
          <w:p w14:paraId="229E703F" w14:textId="6EF40560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0.151</w:t>
            </w:r>
          </w:p>
        </w:tc>
        <w:tc>
          <w:tcPr>
            <w:tcW w:w="1667" w:type="pct"/>
            <w:vAlign w:val="center"/>
          </w:tcPr>
          <w:p w14:paraId="59E10F31" w14:textId="40CE4F7D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2A10AE4F" w14:textId="414E5F5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0.15</w:t>
            </w:r>
          </w:p>
        </w:tc>
      </w:tr>
      <w:tr w:rsidR="007F5989" w:rsidRPr="00A746DC" w14:paraId="47B53B30" w14:textId="77777777" w:rsidTr="00456A9D">
        <w:tc>
          <w:tcPr>
            <w:tcW w:w="1666" w:type="pct"/>
          </w:tcPr>
          <w:p w14:paraId="46012C7F" w14:textId="04319E20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0.201</w:t>
            </w:r>
          </w:p>
        </w:tc>
        <w:tc>
          <w:tcPr>
            <w:tcW w:w="1667" w:type="pct"/>
            <w:vAlign w:val="center"/>
          </w:tcPr>
          <w:p w14:paraId="424A4189" w14:textId="3BB20D60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35C0FCF6" w14:textId="74EADF0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0.20</w:t>
            </w:r>
          </w:p>
        </w:tc>
      </w:tr>
      <w:tr w:rsidR="007F5989" w:rsidRPr="00A746DC" w14:paraId="59026DF0" w14:textId="77777777" w:rsidTr="00456A9D">
        <w:tc>
          <w:tcPr>
            <w:tcW w:w="1666" w:type="pct"/>
          </w:tcPr>
          <w:p w14:paraId="58EB4052" w14:textId="55AAA198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0.201</w:t>
            </w:r>
          </w:p>
        </w:tc>
        <w:tc>
          <w:tcPr>
            <w:tcW w:w="1667" w:type="pct"/>
            <w:vAlign w:val="center"/>
          </w:tcPr>
          <w:p w14:paraId="0EAC87C4" w14:textId="0579B239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BE13031" w14:textId="42364A8B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0.20</w:t>
            </w:r>
          </w:p>
        </w:tc>
      </w:tr>
      <w:tr w:rsidR="007F5989" w:rsidRPr="00A746DC" w14:paraId="27FE57E5" w14:textId="77777777" w:rsidTr="00456A9D">
        <w:tc>
          <w:tcPr>
            <w:tcW w:w="1666" w:type="pct"/>
          </w:tcPr>
          <w:p w14:paraId="7C4B9226" w14:textId="1C9C2D09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0.201</w:t>
            </w:r>
          </w:p>
        </w:tc>
        <w:tc>
          <w:tcPr>
            <w:tcW w:w="1667" w:type="pct"/>
            <w:vAlign w:val="center"/>
          </w:tcPr>
          <w:p w14:paraId="4D407B7C" w14:textId="0D605474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DCE2215" w14:textId="3C3B52A0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0.20</w:t>
            </w:r>
          </w:p>
        </w:tc>
      </w:tr>
      <w:tr w:rsidR="007F5989" w:rsidRPr="00A746DC" w14:paraId="6CB026AF" w14:textId="77777777" w:rsidTr="00456A9D">
        <w:tc>
          <w:tcPr>
            <w:tcW w:w="1666" w:type="pct"/>
          </w:tcPr>
          <w:p w14:paraId="7B953CF7" w14:textId="5F64F9B5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0.254</w:t>
            </w:r>
          </w:p>
        </w:tc>
        <w:tc>
          <w:tcPr>
            <w:tcW w:w="1667" w:type="pct"/>
            <w:vAlign w:val="center"/>
          </w:tcPr>
          <w:p w14:paraId="637EC4FB" w14:textId="187BAC53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157B464" w14:textId="2F6A07CA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0.30</w:t>
            </w:r>
          </w:p>
        </w:tc>
      </w:tr>
      <w:tr w:rsidR="007F5989" w:rsidRPr="00A746DC" w14:paraId="3F054176" w14:textId="77777777" w:rsidTr="00456A9D">
        <w:tc>
          <w:tcPr>
            <w:tcW w:w="1666" w:type="pct"/>
          </w:tcPr>
          <w:p w14:paraId="7D004978" w14:textId="23732F99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0.254</w:t>
            </w:r>
          </w:p>
        </w:tc>
        <w:tc>
          <w:tcPr>
            <w:tcW w:w="1667" w:type="pct"/>
            <w:vAlign w:val="center"/>
          </w:tcPr>
          <w:p w14:paraId="3CC8F6EB" w14:textId="098EB52A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4B56C38" w14:textId="171B088B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0.25</w:t>
            </w:r>
          </w:p>
        </w:tc>
      </w:tr>
      <w:tr w:rsidR="007F5989" w:rsidRPr="00A746DC" w14:paraId="00D12D07" w14:textId="77777777" w:rsidTr="00456A9D">
        <w:tc>
          <w:tcPr>
            <w:tcW w:w="1666" w:type="pct"/>
            <w:tcBorders>
              <w:bottom w:val="single" w:sz="4" w:space="0" w:color="auto"/>
            </w:tcBorders>
          </w:tcPr>
          <w:p w14:paraId="2289DAB4" w14:textId="30FDF5A4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0.254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7AD30A5" w14:textId="2A5F21BF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A300F8B" w14:textId="0196F49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0.30</w:t>
            </w:r>
          </w:p>
        </w:tc>
      </w:tr>
    </w:tbl>
    <w:p w14:paraId="498FDE90" w14:textId="77777777" w:rsidR="00B14BF2" w:rsidRPr="00BD0B77" w:rsidRDefault="00B14BF2" w:rsidP="00490F85">
      <w:pPr>
        <w:rPr>
          <w:szCs w:val="18"/>
        </w:rPr>
      </w:pPr>
    </w:p>
    <w:p w14:paraId="73E6162E" w14:textId="1921D800" w:rsidR="00E63E97" w:rsidRPr="00BD0B77" w:rsidRDefault="0014073E" w:rsidP="00084889">
      <w:pPr>
        <w:spacing w:after="160" w:line="259" w:lineRule="auto"/>
        <w:jc w:val="center"/>
        <w:rPr>
          <w:b/>
          <w:szCs w:val="18"/>
        </w:rPr>
      </w:pPr>
      <w:r w:rsidRPr="00BD0B77">
        <w:rPr>
          <w:rFonts w:cs="Arial"/>
          <w:iCs/>
          <w:noProof/>
          <w:color w:val="000000" w:themeColor="text1"/>
          <w:szCs w:val="18"/>
        </w:rPr>
        <w:drawing>
          <wp:inline distT="0" distB="0" distL="0" distR="0" wp14:anchorId="2FB5DF8D" wp14:editId="775638B5">
            <wp:extent cx="4572000" cy="3337560"/>
            <wp:effectExtent l="0" t="0" r="0" b="0"/>
            <wp:docPr id="2" name="Chart 2" descr="Plot of data used to determine limit of detection and quantitat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E2BD3" w14:textId="25318835" w:rsidR="007E51FE" w:rsidRPr="00BD0B77" w:rsidRDefault="00CA71E1" w:rsidP="00B14BF2">
      <w:pPr>
        <w:rPr>
          <w:rFonts w:cs="Arial"/>
          <w:iCs/>
          <w:szCs w:val="18"/>
        </w:rPr>
      </w:pPr>
      <w:r w:rsidRPr="00BD0B77">
        <w:rPr>
          <w:b/>
          <w:iCs/>
          <w:szCs w:val="18"/>
        </w:rPr>
        <w:t xml:space="preserve">Figure </w:t>
      </w:r>
      <w:r w:rsidR="0043333C">
        <w:rPr>
          <w:b/>
          <w:iCs/>
          <w:szCs w:val="18"/>
        </w:rPr>
        <w:t>1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Plot of data used to determine th</w:t>
      </w:r>
      <w:r w:rsidR="00756641">
        <w:rPr>
          <w:iCs/>
          <w:szCs w:val="18"/>
        </w:rPr>
        <w:t>e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for </w:t>
      </w:r>
      <w:r w:rsidR="00414924">
        <w:rPr>
          <w:iCs/>
          <w:szCs w:val="18"/>
        </w:rPr>
        <w:t>chlorine</w:t>
      </w:r>
      <w:r w:rsidR="00AE0D0F">
        <w:rPr>
          <w:iCs/>
          <w:szCs w:val="18"/>
        </w:rPr>
        <w:t xml:space="preserve"> </w:t>
      </w:r>
      <w:r w:rsidRPr="00BD0B77">
        <w:rPr>
          <w:iCs/>
          <w:szCs w:val="18"/>
        </w:rPr>
        <w:t>(</w:t>
      </w:r>
      <m:oMath>
        <m:r>
          <w:rPr>
            <w:rFonts w:ascii="Cambria Math" w:hAnsi="Cambria Math"/>
            <w:szCs w:val="18"/>
          </w:rPr>
          <m:t xml:space="preserve">y=1.11x-0.0120,  </m:t>
        </m:r>
        <m:sSub>
          <m:sSubPr>
            <m:ctrlPr>
              <w:rPr>
                <w:rFonts w:ascii="Cambria Math" w:hAnsi="Cambria Math"/>
                <w:i/>
                <w:iCs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x</m:t>
                </m:r>
              </m:den>
            </m:f>
          </m:sub>
        </m:sSub>
        <m:r>
          <w:rPr>
            <w:rFonts w:ascii="Cambria Math" w:hAnsi="Cambria Math"/>
            <w:szCs w:val="18"/>
          </w:rPr>
          <m:t>= 0.0178</m:t>
        </m:r>
      </m:oMath>
      <w:r w:rsidRPr="00BD0B77">
        <w:rPr>
          <w:rFonts w:cs="Arial"/>
          <w:iCs/>
          <w:szCs w:val="18"/>
        </w:rPr>
        <w:t xml:space="preserve">, LOD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</w:t>
      </w:r>
      <w:r w:rsidR="00AC48C5">
        <w:rPr>
          <w:rFonts w:cs="Arial"/>
          <w:iCs/>
          <w:szCs w:val="18"/>
        </w:rPr>
        <w:t>05</w:t>
      </w:r>
      <w:r w:rsidR="001A1EE9">
        <w:rPr>
          <w:rFonts w:cs="Arial"/>
          <w:iCs/>
          <w:szCs w:val="18"/>
        </w:rPr>
        <w:t>3</w:t>
      </w:r>
      <w:r w:rsidR="00BB0AFC">
        <w:rPr>
          <w:rFonts w:cs="Arial"/>
          <w:iCs/>
          <w:szCs w:val="18"/>
        </w:rPr>
        <w:t>0</w:t>
      </w:r>
      <w:r w:rsidR="001A1EE9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ppm</w:t>
      </w:r>
      <w:r w:rsidRPr="00BD0B77">
        <w:rPr>
          <w:rFonts w:cs="Arial"/>
          <w:iCs/>
          <w:szCs w:val="18"/>
        </w:rPr>
        <w:t xml:space="preserve">, </w:t>
      </w:r>
      <w:r w:rsidR="00D544AD">
        <w:rPr>
          <w:rFonts w:cs="Arial"/>
          <w:iCs/>
          <w:szCs w:val="18"/>
        </w:rPr>
        <w:t>RL</w:t>
      </w:r>
      <w:r w:rsidRPr="00BD0B77">
        <w:rPr>
          <w:rFonts w:cs="Arial"/>
          <w:iCs/>
          <w:szCs w:val="18"/>
        </w:rPr>
        <w:t xml:space="preserve">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</w:t>
      </w:r>
      <w:r w:rsidR="00AC48C5">
        <w:rPr>
          <w:rFonts w:cs="Arial"/>
          <w:iCs/>
          <w:szCs w:val="18"/>
        </w:rPr>
        <w:t>2</w:t>
      </w:r>
      <w:r w:rsidR="00E81895">
        <w:rPr>
          <w:rFonts w:cs="Arial"/>
          <w:iCs/>
          <w:szCs w:val="18"/>
        </w:rPr>
        <w:t>0</w:t>
      </w:r>
      <w:r w:rsidR="00E33F00">
        <w:rPr>
          <w:rFonts w:cs="Arial"/>
          <w:iCs/>
          <w:szCs w:val="18"/>
        </w:rPr>
        <w:t xml:space="preserve"> ppm</w:t>
      </w:r>
      <w:r w:rsidRPr="00BD0B77">
        <w:rPr>
          <w:rFonts w:cs="Arial"/>
          <w:iCs/>
          <w:szCs w:val="18"/>
        </w:rPr>
        <w:t>)</w:t>
      </w:r>
      <w:r w:rsidR="00D16AFE">
        <w:rPr>
          <w:rFonts w:cs="Arial"/>
          <w:iCs/>
          <w:szCs w:val="18"/>
        </w:rPr>
        <w:t>.</w:t>
      </w:r>
    </w:p>
    <w:p w14:paraId="7C2877FC" w14:textId="63D1ED99" w:rsidR="00662A03" w:rsidRDefault="000E3DD8" w:rsidP="00BC6C12">
      <w:pPr>
        <w:pStyle w:val="Heading2"/>
      </w:pPr>
      <w:r>
        <w:t>Working Range</w:t>
      </w:r>
      <w:r w:rsidR="00DD0F0C" w:rsidRPr="00BD0B77">
        <w:t xml:space="preserve"> </w:t>
      </w:r>
    </w:p>
    <w:p w14:paraId="4DF1546A" w14:textId="2C63C715" w:rsidR="001971FA" w:rsidRDefault="00015CBC" w:rsidP="00D818D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working range </w:t>
      </w:r>
      <w:r w:rsidRPr="00BD0B77">
        <w:rPr>
          <w:rFonts w:eastAsia="Calibri" w:cs="Times New Roman"/>
          <w:szCs w:val="18"/>
        </w:rPr>
        <w:t xml:space="preserve">was </w:t>
      </w:r>
      <w:r w:rsidR="00BA1724">
        <w:rPr>
          <w:rFonts w:eastAsia="Calibri" w:cs="Times New Roman"/>
          <w:szCs w:val="18"/>
        </w:rPr>
        <w:t xml:space="preserve">tested </w:t>
      </w:r>
      <w:r w:rsidRPr="00BD0B77">
        <w:rPr>
          <w:rFonts w:eastAsia="Calibri" w:cs="Times New Roman"/>
          <w:szCs w:val="18"/>
        </w:rPr>
        <w:t>by sampling dynamically generated controlled test atmospheres</w:t>
      </w:r>
      <w:r w:rsidR="001F524B">
        <w:rPr>
          <w:rFonts w:eastAsia="Calibri" w:cs="Times New Roman"/>
          <w:szCs w:val="18"/>
        </w:rPr>
        <w:t xml:space="preserve"> </w:t>
      </w:r>
      <w:r w:rsidR="00BA7ABB">
        <w:rPr>
          <w:rFonts w:eastAsia="Calibri" w:cs="Times New Roman"/>
          <w:szCs w:val="18"/>
        </w:rPr>
        <w:t>where the</w:t>
      </w:r>
      <w:r w:rsidRPr="00BD0B77">
        <w:rPr>
          <w:rFonts w:eastAsia="Calibri" w:cs="Times New Roman"/>
          <w:szCs w:val="18"/>
        </w:rPr>
        <w:t xml:space="preserve">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 xml:space="preserve">were </w:t>
      </w:r>
      <w:r w:rsidR="00627C7A">
        <w:rPr>
          <w:rFonts w:eastAsia="Calibri" w:cs="Times New Roman"/>
          <w:szCs w:val="18"/>
        </w:rPr>
        <w:t>48</w:t>
      </w:r>
      <w:r w:rsidRPr="00BD0B77">
        <w:rPr>
          <w:rFonts w:eastAsia="Calibri" w:cs="Times New Roman"/>
          <w:szCs w:val="18"/>
        </w:rPr>
        <w:t>% and 2</w:t>
      </w:r>
      <w:r w:rsidR="00627C7A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</w:t>
      </w:r>
      <w:r w:rsidR="00A95010" w:rsidRPr="00BD0B77">
        <w:rPr>
          <w:rFonts w:eastAsia="Calibri" w:cs="Times New Roman"/>
          <w:szCs w:val="18"/>
        </w:rPr>
        <w:t>C</w:t>
      </w:r>
      <w:r w:rsidR="00A95010">
        <w:rPr>
          <w:rFonts w:eastAsia="Calibri" w:cs="Times New Roman"/>
          <w:szCs w:val="18"/>
        </w:rPr>
        <w:t>.</w:t>
      </w:r>
      <w:r w:rsidR="00A95010" w:rsidRPr="00BD0B77">
        <w:rPr>
          <w:rFonts w:eastAsia="Calibri" w:cs="Times New Roman"/>
          <w:szCs w:val="18"/>
        </w:rPr>
        <w:t xml:space="preserve"> </w:t>
      </w:r>
      <w:r w:rsidR="002F0441">
        <w:rPr>
          <w:rFonts w:eastAsia="Calibri" w:cs="Times New Roman"/>
          <w:szCs w:val="18"/>
        </w:rPr>
        <w:t xml:space="preserve">Three monitors were used </w:t>
      </w:r>
      <w:r w:rsidR="002F0441" w:rsidRPr="00BD0B77">
        <w:rPr>
          <w:rFonts w:eastAsia="Calibri" w:cs="Times New Roman"/>
          <w:szCs w:val="18"/>
        </w:rPr>
        <w:t xml:space="preserve">at </w:t>
      </w:r>
      <w:r w:rsidR="002F0441">
        <w:rPr>
          <w:rFonts w:eastAsia="Calibri" w:cs="Times New Roman"/>
          <w:szCs w:val="18"/>
        </w:rPr>
        <w:t>ten</w:t>
      </w:r>
      <w:r w:rsidR="007B469D">
        <w:rPr>
          <w:rFonts w:eastAsia="Calibri" w:cs="Times New Roman"/>
          <w:szCs w:val="18"/>
        </w:rPr>
        <w:t xml:space="preserve"> evenly spaced</w:t>
      </w:r>
      <w:r w:rsidR="002F0441" w:rsidRPr="00BD0B77">
        <w:rPr>
          <w:rFonts w:eastAsia="Calibri" w:cs="Times New Roman"/>
          <w:szCs w:val="18"/>
        </w:rPr>
        <w:t xml:space="preserve"> </w:t>
      </w:r>
      <w:r w:rsidR="002F0441" w:rsidRPr="00BD0B77">
        <w:rPr>
          <w:rFonts w:eastAsia="Calibri" w:cs="Times New Roman"/>
          <w:szCs w:val="18"/>
        </w:rPr>
        <w:lastRenderedPageBreak/>
        <w:t xml:space="preserve">levels across a concentration range </w:t>
      </w:r>
      <w:r w:rsidR="002F0441" w:rsidRPr="00BD0B77">
        <w:rPr>
          <w:szCs w:val="18"/>
        </w:rPr>
        <w:t>of</w:t>
      </w:r>
      <w:r w:rsidR="002F0441" w:rsidRPr="00BD0B77">
        <w:rPr>
          <w:rFonts w:eastAsia="Calibri" w:cs="Times New Roman"/>
          <w:szCs w:val="18"/>
        </w:rPr>
        <w:t xml:space="preserve"> </w:t>
      </w:r>
      <w:r w:rsidR="005D52E5">
        <w:rPr>
          <w:rFonts w:eastAsia="Calibri" w:cs="Times New Roman"/>
          <w:szCs w:val="18"/>
        </w:rPr>
        <w:t xml:space="preserve">the </w:t>
      </w:r>
      <w:r w:rsidR="00BF78E8">
        <w:rPr>
          <w:rFonts w:eastAsia="Calibri" w:cs="Times New Roman"/>
          <w:szCs w:val="18"/>
        </w:rPr>
        <w:t>RL</w:t>
      </w:r>
      <w:r w:rsidR="005D52E5">
        <w:rPr>
          <w:rFonts w:eastAsia="Calibri" w:cs="Times New Roman"/>
          <w:szCs w:val="18"/>
        </w:rPr>
        <w:t xml:space="preserve"> to </w:t>
      </w:r>
      <w:r w:rsidR="002322D6">
        <w:rPr>
          <w:rFonts w:eastAsia="Calibri" w:cs="Times New Roman"/>
          <w:szCs w:val="18"/>
        </w:rPr>
        <w:t>9</w:t>
      </w:r>
      <w:r w:rsidR="005D52E5">
        <w:rPr>
          <w:rFonts w:eastAsia="Calibri" w:cs="Times New Roman"/>
          <w:szCs w:val="18"/>
        </w:rPr>
        <w:t xml:space="preserve">0% </w:t>
      </w:r>
      <w:r w:rsidR="005F3DF7">
        <w:rPr>
          <w:rFonts w:eastAsia="Calibri" w:cs="Times New Roman"/>
          <w:szCs w:val="18"/>
        </w:rPr>
        <w:t xml:space="preserve">of the </w:t>
      </w:r>
      <w:r w:rsidR="000D2F4F">
        <w:rPr>
          <w:rFonts w:eastAsia="Calibri" w:cs="Times New Roman"/>
          <w:szCs w:val="18"/>
        </w:rPr>
        <w:t>max</w:t>
      </w:r>
      <w:r w:rsidR="00B735A4">
        <w:rPr>
          <w:rFonts w:eastAsia="Calibri" w:cs="Times New Roman"/>
          <w:szCs w:val="18"/>
        </w:rPr>
        <w:t>imum indication value</w:t>
      </w:r>
      <w:r w:rsidR="001052EA">
        <w:rPr>
          <w:rFonts w:eastAsia="Calibri" w:cs="Times New Roman"/>
          <w:szCs w:val="18"/>
        </w:rPr>
        <w:t xml:space="preserve"> of </w:t>
      </w:r>
      <w:r w:rsidR="000877D6">
        <w:rPr>
          <w:rFonts w:eastAsia="Calibri" w:cs="Times New Roman"/>
          <w:szCs w:val="18"/>
        </w:rPr>
        <w:t>2</w:t>
      </w:r>
      <w:r w:rsidR="001052EA">
        <w:rPr>
          <w:rFonts w:eastAsia="Calibri" w:cs="Times New Roman"/>
          <w:szCs w:val="18"/>
        </w:rPr>
        <w:t>0 ppm</w:t>
      </w:r>
      <w:r w:rsidR="002F0441" w:rsidRPr="00BD0B77">
        <w:rPr>
          <w:rFonts w:eastAsia="Calibri" w:cs="Times New Roman"/>
          <w:szCs w:val="18"/>
        </w:rPr>
        <w:t>.</w:t>
      </w:r>
      <w:r w:rsidR="009B5E4F">
        <w:rPr>
          <w:rFonts w:eastAsia="Calibri" w:cs="Times New Roman"/>
          <w:szCs w:val="18"/>
        </w:rPr>
        <w:t xml:space="preserve"> </w:t>
      </w:r>
      <w:r w:rsidR="00B66F0E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66F0E">
        <w:rPr>
          <w:rFonts w:eastAsia="Calibri" w:cs="Times New Roman"/>
          <w:szCs w:val="18"/>
        </w:rPr>
        <w:t xml:space="preserve">for </w:t>
      </w:r>
      <w:r w:rsidR="003369E7">
        <w:rPr>
          <w:rFonts w:eastAsia="Calibri" w:cs="Times New Roman"/>
          <w:szCs w:val="18"/>
        </w:rPr>
        <w:t>3</w:t>
      </w:r>
      <w:r w:rsidR="00B2474D">
        <w:rPr>
          <w:rFonts w:eastAsia="Calibri" w:cs="Times New Roman"/>
          <w:szCs w:val="18"/>
        </w:rPr>
        <w:t xml:space="preserve"> minutes.</w:t>
      </w:r>
      <w:r w:rsidR="00CD15EE" w:rsidRPr="00CD15EE">
        <w:rPr>
          <w:szCs w:val="18"/>
        </w:rPr>
        <w:t xml:space="preserve"> </w:t>
      </w:r>
      <w:r w:rsidR="00CD15EE" w:rsidRPr="00BD0B77">
        <w:rPr>
          <w:szCs w:val="18"/>
        </w:rPr>
        <w:t xml:space="preserve">Results obtained are </w:t>
      </w:r>
      <w:r w:rsidR="0095636A">
        <w:rPr>
          <w:szCs w:val="18"/>
        </w:rPr>
        <w:t>provided</w:t>
      </w:r>
      <w:r w:rsidR="00CD15EE" w:rsidRPr="00BD0B77">
        <w:rPr>
          <w:szCs w:val="18"/>
        </w:rPr>
        <w:t xml:space="preserve"> in Table </w:t>
      </w:r>
      <w:r w:rsidR="00CC2931">
        <w:rPr>
          <w:szCs w:val="18"/>
        </w:rPr>
        <w:t>3</w:t>
      </w:r>
      <w:r w:rsidR="00B2474D">
        <w:rPr>
          <w:szCs w:val="18"/>
        </w:rPr>
        <w:t>.</w:t>
      </w:r>
    </w:p>
    <w:p w14:paraId="643BDF9A" w14:textId="77777777" w:rsidR="00F028CB" w:rsidRDefault="00F028CB" w:rsidP="00D818D7">
      <w:pPr>
        <w:rPr>
          <w:szCs w:val="18"/>
        </w:rPr>
      </w:pPr>
    </w:p>
    <w:p w14:paraId="289E0760" w14:textId="73812596" w:rsidR="00F028CB" w:rsidRPr="00BD0B77" w:rsidRDefault="00F028CB" w:rsidP="00F028CB">
      <w:pPr>
        <w:rPr>
          <w:szCs w:val="18"/>
        </w:rPr>
      </w:pPr>
      <w:r w:rsidRPr="00BD0B77">
        <w:rPr>
          <w:b/>
          <w:iCs/>
          <w:szCs w:val="18"/>
        </w:rPr>
        <w:t xml:space="preserve">Table </w:t>
      </w:r>
      <w:r>
        <w:rPr>
          <w:b/>
          <w:iCs/>
          <w:szCs w:val="18"/>
        </w:rPr>
        <w:t>3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</w:t>
      </w:r>
      <w:r>
        <w:rPr>
          <w:iCs/>
          <w:szCs w:val="18"/>
        </w:rPr>
        <w:t xml:space="preserve">Working range </w:t>
      </w:r>
      <w:r w:rsidRPr="00BD0B77">
        <w:rPr>
          <w:iCs/>
          <w:szCs w:val="18"/>
        </w:rPr>
        <w:t xml:space="preserve">data for </w:t>
      </w:r>
      <w:r>
        <w:rPr>
          <w:iCs/>
          <w:szCs w:val="18"/>
        </w:rPr>
        <w:t>chlorine</w:t>
      </w:r>
      <w:r w:rsidR="005D0741">
        <w:rPr>
          <w:iCs/>
          <w:szCs w:val="18"/>
        </w:rPr>
        <w:t xml:space="preserve"> </w:t>
      </w:r>
      <w:r>
        <w:rPr>
          <w:iCs/>
          <w:szCs w:val="18"/>
        </w:rPr>
        <w:t xml:space="preserve">(ppm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</w:t>
      </w:r>
      <w:r w:rsidRPr="00BD0B77">
        <w:rPr>
          <w:szCs w:val="18"/>
        </w:rPr>
        <w:t>6</w:t>
      </w:r>
      <w:r w:rsidR="00965FEF">
        <w:rPr>
          <w:szCs w:val="18"/>
        </w:rPr>
        <w:t>52</w:t>
      </w:r>
      <w:r w:rsidRPr="00BD0B77">
        <w:rPr>
          <w:szCs w:val="18"/>
        </w:rPr>
        <w:t xml:space="preserve"> mmHg and 2</w:t>
      </w:r>
      <w:r w:rsidR="003C5666">
        <w:rPr>
          <w:szCs w:val="18"/>
        </w:rPr>
        <w:t>1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F028CB" w:rsidRPr="00A746DC" w14:paraId="77626864" w14:textId="77777777" w:rsidTr="007D28F7">
        <w:trPr>
          <w:tblHeader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8DA938" w14:textId="77777777" w:rsidR="00F028CB" w:rsidRDefault="00F028CB" w:rsidP="007D28F7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42A19DCA" w14:textId="77777777" w:rsidR="00F028CB" w:rsidRPr="00BD0B77" w:rsidRDefault="00F028CB" w:rsidP="007D28F7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D2F1D0F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monitor 1 </w:t>
            </w:r>
          </w:p>
          <w:p w14:paraId="237A97A7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94EC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2</w:t>
            </w:r>
          </w:p>
          <w:p w14:paraId="1715DE81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BA41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monitor 3 </w:t>
            </w:r>
          </w:p>
          <w:p w14:paraId="1FC71CB7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4A56ECD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mean</w:t>
            </w:r>
          </w:p>
          <w:p w14:paraId="49986B8A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(%)</w:t>
            </w:r>
          </w:p>
        </w:tc>
      </w:tr>
      <w:tr w:rsidR="00491401" w:rsidRPr="00A746DC" w14:paraId="5CA180DD" w14:textId="77777777" w:rsidTr="007D28F7"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54BCDAD" w14:textId="0B1477E9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40C38">
              <w:t>0.201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81E1761" w14:textId="019159EE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D1418">
              <w:t>99.5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5739A30" w14:textId="17D2307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99.5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EEEF4E2" w14:textId="453F481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99.5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0356CF3" w14:textId="3BA74ABC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99.5</w:t>
            </w:r>
          </w:p>
        </w:tc>
      </w:tr>
      <w:tr w:rsidR="00491401" w:rsidRPr="00A746DC" w14:paraId="36194C97" w14:textId="77777777" w:rsidTr="007D28F7">
        <w:trPr>
          <w:trHeight w:val="90"/>
        </w:trPr>
        <w:tc>
          <w:tcPr>
            <w:tcW w:w="1000" w:type="pct"/>
            <w:tcMar>
              <w:left w:w="72" w:type="dxa"/>
              <w:right w:w="72" w:type="dxa"/>
            </w:tcMar>
          </w:tcPr>
          <w:p w14:paraId="3AD98F47" w14:textId="271CD0A6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40C38">
              <w:t>1.99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475A6D56" w14:textId="08E2F2A5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D1418">
              <w:t>95.5</w:t>
            </w:r>
          </w:p>
        </w:tc>
        <w:tc>
          <w:tcPr>
            <w:tcW w:w="1000" w:type="pct"/>
          </w:tcPr>
          <w:p w14:paraId="73214E36" w14:textId="1A7E3864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103.0</w:t>
            </w:r>
          </w:p>
        </w:tc>
        <w:tc>
          <w:tcPr>
            <w:tcW w:w="1000" w:type="pct"/>
          </w:tcPr>
          <w:p w14:paraId="5FC262E1" w14:textId="56ABA43A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105.5</w:t>
            </w:r>
          </w:p>
        </w:tc>
        <w:tc>
          <w:tcPr>
            <w:tcW w:w="1000" w:type="pct"/>
          </w:tcPr>
          <w:p w14:paraId="3F5835EB" w14:textId="1E76714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101.3</w:t>
            </w:r>
          </w:p>
        </w:tc>
      </w:tr>
      <w:tr w:rsidR="00491401" w:rsidRPr="00A746DC" w14:paraId="3611B1A6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039C1CFE" w14:textId="38ACCBFD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40C38">
              <w:t>3.99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710F17A" w14:textId="491C76DD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D1418">
              <w:t>96.5</w:t>
            </w:r>
          </w:p>
        </w:tc>
        <w:tc>
          <w:tcPr>
            <w:tcW w:w="1000" w:type="pct"/>
          </w:tcPr>
          <w:p w14:paraId="000C8774" w14:textId="41702248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102.8</w:t>
            </w:r>
          </w:p>
        </w:tc>
        <w:tc>
          <w:tcPr>
            <w:tcW w:w="1000" w:type="pct"/>
          </w:tcPr>
          <w:p w14:paraId="7BB50E1B" w14:textId="7BE97F46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105.3</w:t>
            </w:r>
          </w:p>
        </w:tc>
        <w:tc>
          <w:tcPr>
            <w:tcW w:w="1000" w:type="pct"/>
          </w:tcPr>
          <w:p w14:paraId="6BEB1F03" w14:textId="155D577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101.5</w:t>
            </w:r>
          </w:p>
        </w:tc>
      </w:tr>
      <w:tr w:rsidR="00491401" w:rsidRPr="00A746DC" w14:paraId="4A017EE6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5FD8F502" w14:textId="0D9ADFF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6.03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213C476A" w14:textId="5AF793C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97.0</w:t>
            </w:r>
          </w:p>
        </w:tc>
        <w:tc>
          <w:tcPr>
            <w:tcW w:w="1000" w:type="pct"/>
          </w:tcPr>
          <w:p w14:paraId="208C6063" w14:textId="11B58E14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104.5</w:t>
            </w:r>
          </w:p>
        </w:tc>
        <w:tc>
          <w:tcPr>
            <w:tcW w:w="1000" w:type="pct"/>
          </w:tcPr>
          <w:p w14:paraId="445A7641" w14:textId="2735980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107.0</w:t>
            </w:r>
          </w:p>
        </w:tc>
        <w:tc>
          <w:tcPr>
            <w:tcW w:w="1000" w:type="pct"/>
          </w:tcPr>
          <w:p w14:paraId="5D776F9B" w14:textId="7110F14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102.8</w:t>
            </w:r>
          </w:p>
        </w:tc>
      </w:tr>
      <w:tr w:rsidR="00491401" w:rsidRPr="00A746DC" w14:paraId="5134EBEB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366E257B" w14:textId="465614B9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8.03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3AA0B70D" w14:textId="15DF1EDF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97.1</w:t>
            </w:r>
          </w:p>
        </w:tc>
        <w:tc>
          <w:tcPr>
            <w:tcW w:w="1000" w:type="pct"/>
          </w:tcPr>
          <w:p w14:paraId="429B3F9F" w14:textId="1C526DF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104.0</w:t>
            </w:r>
          </w:p>
        </w:tc>
        <w:tc>
          <w:tcPr>
            <w:tcW w:w="1000" w:type="pct"/>
          </w:tcPr>
          <w:p w14:paraId="58E47EB1" w14:textId="2B44580D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106.5</w:t>
            </w:r>
          </w:p>
        </w:tc>
        <w:tc>
          <w:tcPr>
            <w:tcW w:w="1000" w:type="pct"/>
          </w:tcPr>
          <w:p w14:paraId="50DD3486" w14:textId="6EB62C0C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102.5</w:t>
            </w:r>
          </w:p>
        </w:tc>
      </w:tr>
      <w:tr w:rsidR="00491401" w:rsidRPr="00A746DC" w14:paraId="5C9B1BAB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764B7E25" w14:textId="66DD312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9.9</w:t>
            </w:r>
            <w:r>
              <w:t>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4933413C" w14:textId="37B096E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95.4</w:t>
            </w:r>
          </w:p>
        </w:tc>
        <w:tc>
          <w:tcPr>
            <w:tcW w:w="1000" w:type="pct"/>
          </w:tcPr>
          <w:p w14:paraId="4E5A74EF" w14:textId="6958D705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101.9</w:t>
            </w:r>
          </w:p>
        </w:tc>
        <w:tc>
          <w:tcPr>
            <w:tcW w:w="1000" w:type="pct"/>
          </w:tcPr>
          <w:p w14:paraId="7F44E25E" w14:textId="2B84947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104.9</w:t>
            </w:r>
          </w:p>
        </w:tc>
        <w:tc>
          <w:tcPr>
            <w:tcW w:w="1000" w:type="pct"/>
          </w:tcPr>
          <w:p w14:paraId="10AD1F6C" w14:textId="5CA0641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100.7</w:t>
            </w:r>
          </w:p>
        </w:tc>
      </w:tr>
      <w:tr w:rsidR="00491401" w:rsidRPr="00A746DC" w14:paraId="784F0252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45815A1E" w14:textId="77BD37A4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12.0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0E6B196D" w14:textId="0DC7793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99.2</w:t>
            </w:r>
          </w:p>
        </w:tc>
        <w:tc>
          <w:tcPr>
            <w:tcW w:w="1000" w:type="pct"/>
          </w:tcPr>
          <w:p w14:paraId="3DBB2CFC" w14:textId="4548543F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105.8</w:t>
            </w:r>
          </w:p>
        </w:tc>
        <w:tc>
          <w:tcPr>
            <w:tcW w:w="1000" w:type="pct"/>
          </w:tcPr>
          <w:p w14:paraId="50B996D6" w14:textId="367C24B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108.3</w:t>
            </w:r>
          </w:p>
        </w:tc>
        <w:tc>
          <w:tcPr>
            <w:tcW w:w="1000" w:type="pct"/>
          </w:tcPr>
          <w:p w14:paraId="7ADC8108" w14:textId="73A3D5A3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104.4</w:t>
            </w:r>
          </w:p>
        </w:tc>
      </w:tr>
      <w:tr w:rsidR="00491401" w:rsidRPr="00A746DC" w14:paraId="0BD82C9F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0A18EBB8" w14:textId="4B2750E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13.9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7917A2EB" w14:textId="512D3E0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98.6</w:t>
            </w:r>
          </w:p>
        </w:tc>
        <w:tc>
          <w:tcPr>
            <w:tcW w:w="1000" w:type="pct"/>
          </w:tcPr>
          <w:p w14:paraId="1AD2109A" w14:textId="43F954F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105.0</w:t>
            </w:r>
          </w:p>
        </w:tc>
        <w:tc>
          <w:tcPr>
            <w:tcW w:w="1000" w:type="pct"/>
          </w:tcPr>
          <w:p w14:paraId="07D3A7E9" w14:textId="011CCC7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107.9</w:t>
            </w:r>
          </w:p>
        </w:tc>
        <w:tc>
          <w:tcPr>
            <w:tcW w:w="1000" w:type="pct"/>
          </w:tcPr>
          <w:p w14:paraId="5DDD3F74" w14:textId="3062151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103.8</w:t>
            </w:r>
          </w:p>
        </w:tc>
      </w:tr>
      <w:tr w:rsidR="00491401" w:rsidRPr="00A746DC" w14:paraId="0D8DEB13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7F347D51" w14:textId="23DC47B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16.0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BB8770D" w14:textId="6C640885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98.1</w:t>
            </w:r>
          </w:p>
        </w:tc>
        <w:tc>
          <w:tcPr>
            <w:tcW w:w="1000" w:type="pct"/>
          </w:tcPr>
          <w:p w14:paraId="0EBBF37C" w14:textId="43C6D61E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105.0</w:t>
            </w:r>
          </w:p>
        </w:tc>
        <w:tc>
          <w:tcPr>
            <w:tcW w:w="1000" w:type="pct"/>
          </w:tcPr>
          <w:p w14:paraId="5B7893A4" w14:textId="317F786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107.5</w:t>
            </w:r>
          </w:p>
        </w:tc>
        <w:tc>
          <w:tcPr>
            <w:tcW w:w="1000" w:type="pct"/>
          </w:tcPr>
          <w:p w14:paraId="3BC4F23D" w14:textId="4E9CC47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103.5</w:t>
            </w:r>
          </w:p>
        </w:tc>
      </w:tr>
      <w:tr w:rsidR="00491401" w:rsidRPr="00A746DC" w14:paraId="77C7E077" w14:textId="77777777" w:rsidTr="007D28F7"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7FF45F" w14:textId="4957384D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18.0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CEAA63" w14:textId="7E0174E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98.3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66B9BEA" w14:textId="181904D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94934E6" w14:textId="1B49C75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107.8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87F540A" w14:textId="3377CC8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103.7</w:t>
            </w:r>
          </w:p>
        </w:tc>
      </w:tr>
    </w:tbl>
    <w:p w14:paraId="739B67B5" w14:textId="11808373" w:rsidR="00006624" w:rsidRPr="00BD0B77" w:rsidRDefault="000D71A1" w:rsidP="00DA6F30">
      <w:pPr>
        <w:pStyle w:val="Heading2"/>
      </w:pPr>
      <w:r w:rsidRPr="00BD0B77">
        <w:t>Method Precision</w:t>
      </w:r>
      <w:r w:rsidR="000E659A">
        <w:t xml:space="preserve"> and B</w:t>
      </w:r>
      <w:r w:rsidR="006E0241">
        <w:t>ias</w:t>
      </w:r>
    </w:p>
    <w:p w14:paraId="21F6F9DD" w14:textId="4CFF161A" w:rsidR="00BB5945" w:rsidRDefault="00006624" w:rsidP="0000662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 8-hour TWA method precision</w:t>
      </w:r>
      <w:r w:rsidR="003D19BE" w:rsidRPr="00BD0B77">
        <w:rPr>
          <w:rFonts w:eastAsia="Calibri" w:cs="Times New Roman"/>
          <w:szCs w:val="18"/>
        </w:rPr>
        <w:t xml:space="preserve"> and bias</w:t>
      </w:r>
      <w:r w:rsidRPr="00BD0B77">
        <w:rPr>
          <w:rFonts w:eastAsia="Calibri" w:cs="Times New Roman"/>
          <w:szCs w:val="18"/>
        </w:rPr>
        <w:t xml:space="preserve"> was determined by </w:t>
      </w:r>
      <w:r w:rsidR="001627DF"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</w:t>
      </w:r>
      <w:r w:rsidR="009A0590" w:rsidRPr="00BD0B77">
        <w:rPr>
          <w:rFonts w:eastAsia="Calibri" w:cs="Times New Roman"/>
          <w:szCs w:val="18"/>
        </w:rPr>
        <w:t xml:space="preserve"> </w:t>
      </w:r>
      <w:r w:rsidR="00740BDD">
        <w:rPr>
          <w:rFonts w:eastAsia="Calibri" w:cs="Times New Roman"/>
          <w:szCs w:val="18"/>
        </w:rPr>
        <w:t>for 240 minutes</w:t>
      </w:r>
      <w:r w:rsidR="00EF3E7C" w:rsidRPr="00BD0B77">
        <w:rPr>
          <w:rFonts w:eastAsia="Calibri" w:cs="Times New Roman"/>
          <w:szCs w:val="18"/>
        </w:rPr>
        <w:t>.</w:t>
      </w:r>
      <w:r w:rsidR="00517DEC" w:rsidRPr="00BD0B77">
        <w:rPr>
          <w:rFonts w:eastAsia="Calibri" w:cs="Times New Roman"/>
          <w:szCs w:val="18"/>
        </w:rPr>
        <w:t xml:space="preserve"> </w:t>
      </w:r>
      <w:r w:rsidR="00D76BE0">
        <w:rPr>
          <w:rFonts w:eastAsia="Calibri" w:cs="Times New Roman"/>
          <w:szCs w:val="18"/>
        </w:rPr>
        <w:t>Three monitors</w:t>
      </w:r>
      <w:r w:rsidR="00517DEC" w:rsidRPr="00BD0B77">
        <w:rPr>
          <w:rFonts w:eastAsia="Calibri" w:cs="Times New Roman"/>
          <w:szCs w:val="18"/>
        </w:rPr>
        <w:t xml:space="preserve"> were </w:t>
      </w:r>
      <w:r w:rsidR="00D76BE0">
        <w:rPr>
          <w:rFonts w:eastAsia="Calibri" w:cs="Times New Roman"/>
          <w:szCs w:val="18"/>
        </w:rPr>
        <w:t xml:space="preserve">used </w:t>
      </w:r>
      <w:r w:rsidR="004C61F3" w:rsidRPr="00BD0B77">
        <w:rPr>
          <w:rFonts w:eastAsia="Calibri" w:cs="Times New Roman"/>
          <w:szCs w:val="18"/>
        </w:rPr>
        <w:t>at</w:t>
      </w:r>
      <w:r w:rsidR="00BB5945" w:rsidRPr="00BD0B77">
        <w:rPr>
          <w:rFonts w:eastAsia="Calibri" w:cs="Times New Roman"/>
          <w:szCs w:val="18"/>
        </w:rPr>
        <w:t xml:space="preserve"> five levels</w:t>
      </w:r>
      <w:r w:rsidRPr="00BD0B77">
        <w:rPr>
          <w:rFonts w:eastAsia="Calibri" w:cs="Times New Roman"/>
          <w:szCs w:val="18"/>
        </w:rPr>
        <w:t xml:space="preserve"> across a </w:t>
      </w:r>
      <w:r w:rsidR="000E7796" w:rsidRPr="00BD0B77">
        <w:rPr>
          <w:rFonts w:eastAsia="Calibri" w:cs="Times New Roman"/>
          <w:szCs w:val="18"/>
        </w:rPr>
        <w:t>concentration</w:t>
      </w:r>
      <w:r w:rsidR="00223881" w:rsidRPr="00BD0B77">
        <w:rPr>
          <w:rFonts w:eastAsia="Calibri" w:cs="Times New Roman"/>
          <w:szCs w:val="18"/>
        </w:rPr>
        <w:t xml:space="preserve"> range</w:t>
      </w:r>
      <w:r w:rsidR="000E7796" w:rsidRPr="00BD0B77">
        <w:rPr>
          <w:rFonts w:eastAsia="Calibri" w:cs="Times New Roman"/>
          <w:szCs w:val="18"/>
        </w:rPr>
        <w:t xml:space="preserve"> </w:t>
      </w:r>
      <w:r w:rsidR="000805F7"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 w:rsidR="008363BF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 to </w:t>
      </w:r>
      <w:r w:rsidR="00D76BE0">
        <w:rPr>
          <w:rFonts w:eastAsia="Calibri" w:cs="Times New Roman"/>
          <w:szCs w:val="18"/>
        </w:rPr>
        <w:t>5</w:t>
      </w:r>
      <w:r w:rsidR="00D44E8C">
        <w:rPr>
          <w:rFonts w:eastAsia="Calibri" w:cs="Arial"/>
          <w:szCs w:val="18"/>
        </w:rPr>
        <w:t>×</w:t>
      </w:r>
      <w:r w:rsidR="004F30CA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 8-</w:t>
      </w:r>
      <w:r w:rsidR="002F338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 xml:space="preserve">our TWA </w:t>
      </w:r>
      <w:r w:rsidR="008E37A4" w:rsidRPr="00BD0B77">
        <w:rPr>
          <w:rFonts w:eastAsia="Calibri" w:cs="Times New Roman"/>
          <w:szCs w:val="18"/>
        </w:rPr>
        <w:t>T</w:t>
      </w:r>
      <w:r w:rsidR="000F3A3A"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2772E4" w:rsidRPr="00BD0B77">
        <w:rPr>
          <w:rFonts w:eastAsia="Calibri" w:cs="Times New Roman"/>
          <w:szCs w:val="18"/>
        </w:rPr>
        <w:t xml:space="preserve">The results of these </w:t>
      </w:r>
      <w:r w:rsidR="00D76BE0">
        <w:rPr>
          <w:rFonts w:eastAsia="Calibri" w:cs="Times New Roman"/>
          <w:szCs w:val="18"/>
        </w:rPr>
        <w:t>tests</w:t>
      </w:r>
      <w:r w:rsidR="00490A2B" w:rsidRPr="00BD0B77">
        <w:rPr>
          <w:rFonts w:eastAsia="Calibri" w:cs="Times New Roman"/>
          <w:szCs w:val="18"/>
        </w:rPr>
        <w:t xml:space="preserve"> are provided in Table </w:t>
      </w:r>
      <w:r w:rsidR="006D007F">
        <w:rPr>
          <w:rFonts w:eastAsia="Calibri" w:cs="Times New Roman"/>
          <w:szCs w:val="18"/>
        </w:rPr>
        <w:t>4</w:t>
      </w:r>
      <w:r w:rsidR="002772E4" w:rsidRPr="00BD0B77">
        <w:rPr>
          <w:rFonts w:eastAsia="Calibri" w:cs="Times New Roman"/>
          <w:szCs w:val="18"/>
        </w:rPr>
        <w:t xml:space="preserve">, </w:t>
      </w:r>
      <w:r w:rsidR="00731423" w:rsidRPr="00BD0B77">
        <w:rPr>
          <w:rFonts w:eastAsia="Calibri" w:cs="Times New Roman"/>
          <w:szCs w:val="18"/>
        </w:rPr>
        <w:t xml:space="preserve">along with the </w:t>
      </w:r>
      <w:r w:rsidR="00792D2F" w:rsidRPr="00BD0B77">
        <w:rPr>
          <w:rFonts w:eastAsia="Calibri" w:cs="Times New Roman"/>
          <w:szCs w:val="18"/>
        </w:rPr>
        <w:t>conce</w:t>
      </w:r>
      <w:r w:rsidR="00D81C5E">
        <w:rPr>
          <w:rFonts w:eastAsia="Calibri" w:cs="Times New Roman"/>
          <w:szCs w:val="18"/>
        </w:rPr>
        <w:t>ntr</w:t>
      </w:r>
      <w:r w:rsidR="00792D2F" w:rsidRPr="00BD0B77">
        <w:rPr>
          <w:rFonts w:eastAsia="Calibri" w:cs="Times New Roman"/>
          <w:szCs w:val="18"/>
        </w:rPr>
        <w:t>ation</w:t>
      </w:r>
      <w:r w:rsidR="00731423" w:rsidRPr="00BD0B77">
        <w:rPr>
          <w:rFonts w:eastAsia="Calibri" w:cs="Times New Roman"/>
          <w:szCs w:val="18"/>
        </w:rPr>
        <w:t>, temperature</w:t>
      </w:r>
      <w:r w:rsidR="00792D2F" w:rsidRPr="00BD0B77">
        <w:rPr>
          <w:rFonts w:eastAsia="Calibri" w:cs="Times New Roman"/>
          <w:szCs w:val="18"/>
        </w:rPr>
        <w:t>, and relative humidity</w:t>
      </w:r>
      <w:r w:rsidR="00490A2B" w:rsidRPr="00BD0B77">
        <w:rPr>
          <w:rFonts w:eastAsia="Calibri" w:cs="Times New Roman"/>
          <w:szCs w:val="18"/>
        </w:rPr>
        <w:t xml:space="preserve"> of each test atmosphere. </w:t>
      </w:r>
      <w:r w:rsidR="00015321" w:rsidRPr="00BD0B77">
        <w:rPr>
          <w:rFonts w:eastAsia="Calibri" w:cs="Times New Roman"/>
          <w:szCs w:val="18"/>
        </w:rPr>
        <w:t xml:space="preserve">The </w:t>
      </w:r>
      <w:r w:rsidR="00456BCF" w:rsidRPr="00BD0B77">
        <w:rPr>
          <w:rFonts w:eastAsia="Calibri" w:cs="Times New Roman"/>
          <w:szCs w:val="18"/>
        </w:rPr>
        <w:t xml:space="preserve">coefficient of variation of the </w:t>
      </w:r>
      <w:r w:rsidR="000C39B0" w:rsidRPr="00BD0B77">
        <w:rPr>
          <w:rFonts w:eastAsia="Calibri" w:cs="Times New Roman"/>
          <w:szCs w:val="18"/>
        </w:rPr>
        <w:t>means of the five levels</w:t>
      </w:r>
      <w:r w:rsidR="0030214C" w:rsidRPr="00BD0B77">
        <w:rPr>
          <w:rFonts w:eastAsia="Calibri" w:cs="Times New Roman"/>
          <w:szCs w:val="18"/>
        </w:rPr>
        <w:t xml:space="preserve"> tested</w:t>
      </w:r>
      <w:r w:rsidR="004D1931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m_TWA</m:t>
            </m:r>
          </m:sub>
        </m:sSub>
      </m:oMath>
      <w:r w:rsidR="004D1931" w:rsidRPr="00BD0B77">
        <w:rPr>
          <w:rFonts w:eastAsia="Calibri" w:cs="Times New Roman"/>
          <w:szCs w:val="18"/>
        </w:rPr>
        <w:t>)</w:t>
      </w:r>
      <w:r w:rsidR="000C39B0" w:rsidRPr="00BD0B77">
        <w:rPr>
          <w:rFonts w:eastAsia="Calibri" w:cs="Times New Roman"/>
          <w:szCs w:val="18"/>
        </w:rPr>
        <w:t xml:space="preserve"> was </w:t>
      </w:r>
      <w:r w:rsidR="00042420">
        <w:rPr>
          <w:rFonts w:eastAsia="Calibri" w:cs="Times New Roman"/>
          <w:szCs w:val="18"/>
        </w:rPr>
        <w:t>4.9</w:t>
      </w:r>
      <w:r w:rsidR="004D1931" w:rsidRPr="00BD0B77">
        <w:rPr>
          <w:rFonts w:eastAsia="Calibri" w:cs="Times New Roman"/>
          <w:szCs w:val="18"/>
        </w:rPr>
        <w:t>%</w:t>
      </w:r>
      <w:r w:rsidR="003F39C6" w:rsidRPr="00BD0B77">
        <w:rPr>
          <w:rFonts w:eastAsia="Calibri" w:cs="Times New Roman"/>
          <w:szCs w:val="18"/>
        </w:rPr>
        <w:t xml:space="preserve">, and the pooled </w:t>
      </w:r>
      <w:r w:rsidR="008D64B0" w:rsidRPr="00BD0B77">
        <w:rPr>
          <w:rFonts w:eastAsia="Calibri" w:cs="Times New Roman"/>
          <w:szCs w:val="18"/>
        </w:rPr>
        <w:t>coeffic</w:t>
      </w:r>
      <w:r w:rsidR="00385249" w:rsidRPr="00BD0B77">
        <w:rPr>
          <w:rFonts w:eastAsia="Calibri" w:cs="Times New Roman"/>
          <w:szCs w:val="18"/>
        </w:rPr>
        <w:t>ient of variation</w:t>
      </w:r>
      <w:r w:rsidR="00D40F9D" w:rsidRPr="00BD0B77">
        <w:rPr>
          <w:rFonts w:eastAsia="Calibri" w:cs="Times New Roman"/>
          <w:szCs w:val="18"/>
        </w:rPr>
        <w:t xml:space="preserve"> of </w:t>
      </w:r>
      <w:r w:rsidR="00233988">
        <w:rPr>
          <w:rFonts w:eastAsia="Calibri" w:cs="Times New Roman"/>
          <w:szCs w:val="18"/>
        </w:rPr>
        <w:t xml:space="preserve">each of </w:t>
      </w:r>
      <w:r w:rsidR="002052E9">
        <w:rPr>
          <w:rFonts w:eastAsia="Calibri" w:cs="Times New Roman"/>
          <w:szCs w:val="18"/>
        </w:rPr>
        <w:t xml:space="preserve">the </w:t>
      </w:r>
      <w:r w:rsidR="0030214C"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pl_TWA</m:t>
            </m:r>
          </m:sub>
        </m:sSub>
      </m:oMath>
      <w:r w:rsidR="0030214C" w:rsidRPr="00BD0B77">
        <w:rPr>
          <w:rFonts w:eastAsia="Calibri" w:cs="Times New Roman"/>
          <w:szCs w:val="18"/>
        </w:rPr>
        <w:t xml:space="preserve">) was </w:t>
      </w:r>
      <w:r w:rsidR="00042420">
        <w:rPr>
          <w:rFonts w:eastAsia="Calibri" w:cs="Times New Roman"/>
          <w:szCs w:val="18"/>
        </w:rPr>
        <w:t>3.0</w:t>
      </w:r>
      <w:r w:rsidR="000D79B9" w:rsidRPr="00BD0B77">
        <w:rPr>
          <w:rFonts w:eastAsia="Calibri" w:cs="Times New Roman"/>
          <w:szCs w:val="18"/>
        </w:rPr>
        <w:t>%.</w:t>
      </w:r>
      <w:r w:rsidR="00092F98" w:rsidRPr="00BD0B77">
        <w:rPr>
          <w:rFonts w:eastAsia="Calibri" w:cs="Times New Roman"/>
          <w:szCs w:val="18"/>
        </w:rPr>
        <w:t xml:space="preserve"> </w:t>
      </w:r>
      <w:r w:rsidR="00AF077C" w:rsidRPr="00BD0B77">
        <w:rPr>
          <w:rFonts w:eastAsia="Calibri" w:cs="Times New Roman"/>
          <w:szCs w:val="18"/>
        </w:rPr>
        <w:t xml:space="preserve">The </w:t>
      </w:r>
      <w:r w:rsidR="00F24ECB" w:rsidRPr="00BD0B77">
        <w:rPr>
          <w:rFonts w:eastAsia="Calibri" w:cs="Times New Roman"/>
          <w:szCs w:val="18"/>
        </w:rPr>
        <w:t xml:space="preserve">resulting </w:t>
      </w:r>
      <w:r w:rsidR="00A41AB4" w:rsidRPr="00BD0B77">
        <w:rPr>
          <w:rFonts w:eastAsia="Calibri" w:cs="Times New Roman"/>
          <w:szCs w:val="18"/>
        </w:rPr>
        <w:t xml:space="preserve">8-hour TWA </w:t>
      </w:r>
      <w:r w:rsidR="00155CF5" w:rsidRPr="00BD0B77">
        <w:rPr>
          <w:rFonts w:eastAsia="Calibri" w:cs="Times New Roman"/>
          <w:szCs w:val="18"/>
        </w:rPr>
        <w:t xml:space="preserve">method precision </w:t>
      </w:r>
      <w:r w:rsidR="00737052" w:rsidRPr="00BD0B77">
        <w:rPr>
          <w:rFonts w:eastAsia="Calibri" w:cs="Times New Roman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mp_TWA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="00155CF5" w:rsidRPr="00BD0B77">
        <w:rPr>
          <w:rFonts w:eastAsia="Calibri" w:cs="Times New Roman"/>
          <w:szCs w:val="18"/>
        </w:rPr>
        <w:t xml:space="preserve">for </w:t>
      </w:r>
      <w:r w:rsidR="00414924">
        <w:rPr>
          <w:rFonts w:eastAsia="Calibri" w:cs="Times New Roman"/>
          <w:szCs w:val="18"/>
        </w:rPr>
        <w:t>chlorine</w:t>
      </w:r>
      <w:r w:rsidR="00C01D0B" w:rsidRPr="00BD0B77">
        <w:rPr>
          <w:rFonts w:eastAsia="Calibri" w:cs="Times New Roman"/>
          <w:szCs w:val="18"/>
        </w:rPr>
        <w:t xml:space="preserve"> was determined to be</w:t>
      </w:r>
      <w:r w:rsidR="008E37A4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5.4</w:t>
      </w:r>
      <w:r w:rsidR="008E37A4" w:rsidRPr="00BD0B77">
        <w:rPr>
          <w:rFonts w:eastAsia="Calibri" w:cs="Times New Roman"/>
          <w:szCs w:val="18"/>
        </w:rPr>
        <w:t>%.</w:t>
      </w:r>
      <w:r w:rsidR="00155CF5" w:rsidRPr="00BD0B77">
        <w:rPr>
          <w:rFonts w:eastAsia="Calibri" w:cs="Times New Roman"/>
          <w:szCs w:val="18"/>
        </w:rPr>
        <w:t xml:space="preserve"> </w:t>
      </w:r>
      <w:r w:rsidR="009C6EC8" w:rsidRPr="00BD0B77">
        <w:rPr>
          <w:rFonts w:eastAsia="Calibri" w:cs="Times New Roman"/>
          <w:szCs w:val="18"/>
        </w:rPr>
        <w:t>Th</w:t>
      </w:r>
      <w:r w:rsidR="00C528BD" w:rsidRPr="00BD0B77">
        <w:rPr>
          <w:rFonts w:eastAsia="Calibri" w:cs="Times New Roman"/>
          <w:szCs w:val="18"/>
        </w:rPr>
        <w:t xml:space="preserve">e mean recovery of </w:t>
      </w:r>
      <w:r w:rsidR="009E3736">
        <w:rPr>
          <w:rFonts w:eastAsia="Calibri" w:cs="Times New Roman"/>
          <w:szCs w:val="18"/>
        </w:rPr>
        <w:t>all fifteen results</w:t>
      </w:r>
      <w:r w:rsidR="00556F74" w:rsidRPr="00BD0B77">
        <w:rPr>
          <w:rFonts w:eastAsia="Calibri" w:cs="Times New Roman"/>
          <w:szCs w:val="18"/>
        </w:rPr>
        <w:t xml:space="preserve"> was</w:t>
      </w:r>
      <w:r w:rsidR="00F07F71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105.</w:t>
      </w:r>
      <w:r w:rsidR="00380054">
        <w:rPr>
          <w:rFonts w:eastAsia="Calibri" w:cs="Times New Roman"/>
          <w:szCs w:val="18"/>
        </w:rPr>
        <w:t>2</w:t>
      </w:r>
      <w:r w:rsidR="00570BF8" w:rsidRPr="00BD0B77">
        <w:rPr>
          <w:rFonts w:eastAsia="Calibri" w:cs="Times New Roman"/>
          <w:szCs w:val="18"/>
        </w:rPr>
        <w:t>%</w:t>
      </w:r>
      <w:r w:rsidR="007A37C6" w:rsidRPr="00BD0B77">
        <w:rPr>
          <w:rFonts w:eastAsia="Calibri" w:cs="Times New Roman"/>
          <w:szCs w:val="18"/>
        </w:rPr>
        <w:t>,</w:t>
      </w:r>
      <w:r w:rsidR="00B160F4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resulting in a</w:t>
      </w:r>
      <w:r w:rsidR="00570BF8" w:rsidRPr="00BD0B77">
        <w:rPr>
          <w:rFonts w:eastAsia="Calibri" w:cs="Times New Roman"/>
          <w:szCs w:val="18"/>
        </w:rPr>
        <w:t xml:space="preserve"> method </w:t>
      </w:r>
      <w:r w:rsidR="0049412F" w:rsidRPr="00BD0B77">
        <w:rPr>
          <w:rFonts w:eastAsia="Calibri" w:cs="Times New Roman"/>
          <w:szCs w:val="18"/>
        </w:rPr>
        <w:t>bias</w:t>
      </w:r>
      <w:r w:rsidR="00D030D9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mp_TWA</m:t>
            </m:r>
          </m:sub>
        </m:sSub>
      </m:oMath>
      <w:r w:rsidR="00D030D9" w:rsidRPr="00BD0B77">
        <w:rPr>
          <w:rFonts w:eastAsia="Calibri" w:cs="Times New Roman"/>
          <w:szCs w:val="18"/>
        </w:rPr>
        <w:t>)</w:t>
      </w:r>
      <w:r w:rsidR="002F7F20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of</w:t>
      </w:r>
      <w:r w:rsidR="0049412F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5.</w:t>
      </w:r>
      <w:r w:rsidR="00380054">
        <w:rPr>
          <w:rFonts w:eastAsia="Calibri" w:cs="Times New Roman"/>
          <w:szCs w:val="18"/>
        </w:rPr>
        <w:t>2</w:t>
      </w:r>
      <w:r w:rsidR="0049412F" w:rsidRPr="00BD0B77">
        <w:rPr>
          <w:rFonts w:eastAsia="Calibri" w:cs="Times New Roman"/>
          <w:szCs w:val="18"/>
        </w:rPr>
        <w:t>%</w:t>
      </w:r>
      <w:r w:rsidR="00BC1B36" w:rsidRPr="00BD0B77">
        <w:rPr>
          <w:rFonts w:eastAsia="Calibri" w:cs="Times New Roman"/>
          <w:szCs w:val="18"/>
        </w:rPr>
        <w:t xml:space="preserve"> and </w:t>
      </w:r>
      <w:r w:rsidR="00BC3C98" w:rsidRPr="00BD0B77">
        <w:rPr>
          <w:rFonts w:eastAsia="Calibri" w:cs="Times New Roman"/>
          <w:szCs w:val="18"/>
        </w:rPr>
        <w:t xml:space="preserve">a </w:t>
      </w:r>
      <w:r w:rsidR="00BC1B36" w:rsidRPr="00BD0B77">
        <w:rPr>
          <w:rFonts w:eastAsia="Calibri" w:cs="Times New Roman"/>
          <w:szCs w:val="18"/>
        </w:rPr>
        <w:t>percent coefficient of variation</w:t>
      </w:r>
      <w:r w:rsidR="00FC5BBE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mb_TWA</m:t>
            </m:r>
          </m:sub>
        </m:sSub>
      </m:oMath>
      <w:r w:rsidR="00FC5BBE" w:rsidRPr="00BD0B77">
        <w:rPr>
          <w:rFonts w:eastAsia="Calibri" w:cs="Times New Roman"/>
          <w:szCs w:val="18"/>
        </w:rPr>
        <w:t>)</w:t>
      </w:r>
      <w:r w:rsidR="00BC1B36" w:rsidRPr="00BD0B77">
        <w:rPr>
          <w:rFonts w:eastAsia="Calibri" w:cs="Times New Roman"/>
          <w:szCs w:val="18"/>
        </w:rPr>
        <w:t xml:space="preserve"> </w:t>
      </w:r>
      <w:r w:rsidR="00BC3C98" w:rsidRPr="00BD0B77">
        <w:rPr>
          <w:rFonts w:eastAsia="Calibri" w:cs="Times New Roman"/>
          <w:szCs w:val="18"/>
        </w:rPr>
        <w:t>of</w:t>
      </w:r>
      <w:r w:rsidR="0046036B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5.2</w:t>
      </w:r>
      <w:r w:rsidR="0046036B" w:rsidRPr="00BD0B77">
        <w:rPr>
          <w:rFonts w:eastAsia="Calibri" w:cs="Times New Roman"/>
          <w:szCs w:val="18"/>
        </w:rPr>
        <w:t>%</w:t>
      </w:r>
      <w:r w:rsidR="00FC5BBE" w:rsidRPr="00BD0B77">
        <w:rPr>
          <w:rFonts w:eastAsia="Calibri" w:cs="Times New Roman"/>
          <w:szCs w:val="18"/>
        </w:rPr>
        <w:t>.</w:t>
      </w:r>
      <w:r w:rsidR="00674277" w:rsidRPr="00BD0B77">
        <w:rPr>
          <w:rFonts w:eastAsia="Calibri" w:cs="Times New Roman"/>
          <w:szCs w:val="18"/>
        </w:rPr>
        <w:t xml:space="preserve"> </w:t>
      </w:r>
    </w:p>
    <w:p w14:paraId="2CF273A8" w14:textId="77777777" w:rsidR="00B1385A" w:rsidRPr="00BD0B77" w:rsidRDefault="00B1385A" w:rsidP="00B1385A">
      <w:pPr>
        <w:rPr>
          <w:rFonts w:eastAsiaTheme="minorEastAsia"/>
          <w:szCs w:val="18"/>
        </w:rPr>
      </w:pPr>
    </w:p>
    <w:p w14:paraId="6C4BC301" w14:textId="6D73C872" w:rsidR="00B1385A" w:rsidRPr="00BD0B77" w:rsidRDefault="00B1385A" w:rsidP="001628E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D007F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2266B0" w:rsidRPr="00BD0B77">
        <w:rPr>
          <w:szCs w:val="18"/>
        </w:rPr>
        <w:t>Method pr</w:t>
      </w:r>
      <w:r w:rsidR="001A1F9D" w:rsidRPr="00BD0B77">
        <w:rPr>
          <w:szCs w:val="18"/>
        </w:rPr>
        <w:t>ecision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>
        <w:rPr>
          <w:szCs w:val="18"/>
        </w:rPr>
        <w:t xml:space="preserve"> </w:t>
      </w:r>
      <w:r w:rsidRPr="00BD0B77">
        <w:rPr>
          <w:szCs w:val="18"/>
        </w:rPr>
        <w:t>(8-</w:t>
      </w:r>
      <w:r w:rsidR="007A2CA8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082678">
        <w:rPr>
          <w:szCs w:val="18"/>
        </w:rPr>
        <w:t xml:space="preserve">, </w:t>
      </w:r>
      <w:r w:rsidR="00082678">
        <w:rPr>
          <w:iCs/>
          <w:szCs w:val="18"/>
        </w:rPr>
        <w:t xml:space="preserve">ppm values listed </w:t>
      </w:r>
      <w:r w:rsidR="00082678" w:rsidRPr="00BD0B77">
        <w:rPr>
          <w:szCs w:val="18"/>
        </w:rPr>
        <w:t>at</w:t>
      </w:r>
      <w:r w:rsidR="00082678">
        <w:rPr>
          <w:szCs w:val="18"/>
        </w:rPr>
        <w:t xml:space="preserve"> 760</w:t>
      </w:r>
      <w:r w:rsidR="00082678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082678" w:rsidRPr="00BD0B77">
        <w:rPr>
          <w:szCs w:val="18"/>
        </w:rPr>
        <w:t xml:space="preserve"> </w:t>
      </w:r>
      <w:r w:rsidR="00082678" w:rsidRPr="00BD0B77">
        <w:rPr>
          <w:rFonts w:cs="Arial"/>
          <w:szCs w:val="18"/>
        </w:rPr>
        <w:t>°</w:t>
      </w:r>
      <w:r w:rsidR="00082678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11C81" w:rsidRPr="00A746DC" w14:paraId="41564B11" w14:textId="77777777" w:rsidTr="00DA053A">
        <w:trPr>
          <w:trHeight w:hRule="exact" w:val="5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5B20AB" w14:textId="1991BD74" w:rsidR="004617E7" w:rsidRPr="00BD0B77" w:rsidRDefault="00EC7A3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  <w:r w:rsidR="004617E7" w:rsidRPr="00BD0B77">
              <w:rPr>
                <w:szCs w:val="18"/>
              </w:rPr>
              <w:t xml:space="preserve"> </w:t>
            </w:r>
          </w:p>
          <w:p w14:paraId="3184E870" w14:textId="16B45630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944C08" w14:textId="77777777" w:rsidR="00966662" w:rsidRPr="00BD0B77" w:rsidRDefault="00642390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</w:t>
            </w:r>
            <w:r w:rsidR="004617E7" w:rsidRPr="00BD0B77">
              <w:rPr>
                <w:szCs w:val="18"/>
              </w:rPr>
              <w:t>emp</w:t>
            </w:r>
          </w:p>
          <w:p w14:paraId="7114EB6C" w14:textId="61D410C5" w:rsidR="004617E7" w:rsidRPr="00BD0B77" w:rsidRDefault="00752186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="00377BD9" w:rsidRPr="00BD0B77">
              <w:rPr>
                <w:rFonts w:eastAsia="Calibri" w:cs="Times New Roman"/>
                <w:szCs w:val="18"/>
              </w:rPr>
              <w:t>(</w:t>
            </w:r>
            <w:r w:rsidR="00377BD9"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="00377BD9"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="00377BD9" w:rsidRPr="00BD0B77">
              <w:rPr>
                <w:rFonts w:eastAsia="Calibri" w:cs="Times New Roman"/>
                <w:szCs w:val="18"/>
              </w:rPr>
              <w:fldChar w:fldCharType="end"/>
            </w:r>
            <w:r w:rsidR="00377BD9"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525FF9" w14:textId="77777777" w:rsidR="00752186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58664DAC" w14:textId="4797A99A" w:rsidR="00E11C81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988824" w14:textId="46EFC3B3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1</w:t>
            </w:r>
          </w:p>
          <w:p w14:paraId="58ABBB4C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3D33DE" w14:textId="4EB701E0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2</w:t>
            </w:r>
          </w:p>
          <w:p w14:paraId="79FB9CA5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4B54D58" w14:textId="1C9E34B5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3</w:t>
            </w:r>
          </w:p>
          <w:p w14:paraId="7A64F5EB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220A51" w14:textId="77777777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7F29BF8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E71884" w:rsidRPr="00A746DC" w14:paraId="1C9CAA39" w14:textId="77777777" w:rsidTr="00DA053A">
        <w:trPr>
          <w:trHeight w:hRule="exact" w:val="245"/>
        </w:trPr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8A9A14" w14:textId="370C53DE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0.202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45AF02" w14:textId="2002EBBC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62ED8BA" w14:textId="530498E5" w:rsidR="00E71884" w:rsidRPr="00BD0B77" w:rsidRDefault="00563F35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257ACFA" w14:textId="3E5E88B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893D713" w14:textId="3844B84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AAECF18" w14:textId="28B34132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BE0DD76" w14:textId="74094E45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</w:t>
            </w:r>
            <w:r w:rsidR="00887DBF">
              <w:t>.0</w:t>
            </w:r>
          </w:p>
        </w:tc>
      </w:tr>
      <w:tr w:rsidR="00E71884" w:rsidRPr="00A746DC" w14:paraId="31B50A69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413B0295" w14:textId="407B812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0.505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DED89C" w14:textId="7DE27F5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054B40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0ABF0C56" w14:textId="33A04489" w:rsidR="00E71884" w:rsidRPr="00BD0B77" w:rsidRDefault="00054B40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328A146" w14:textId="4D8794F3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103.0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BFFB01" w14:textId="3238DC61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94.5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0D49E0" w14:textId="0F4D2064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94.3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AD3FD9B" w14:textId="67F47A61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97.3</w:t>
            </w:r>
          </w:p>
        </w:tc>
      </w:tr>
      <w:tr w:rsidR="00E71884" w:rsidRPr="00A746DC" w14:paraId="0D812567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95D3597" w14:textId="371D3C9D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0.992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DD945B" w14:textId="09A476A6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6A2ABAC7" w14:textId="5C1D7C7B" w:rsidR="00E71884" w:rsidRPr="00BD0B77" w:rsidRDefault="0047776C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91513B" w14:textId="2C7D5B1B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101.0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3E62D08" w14:textId="4EAC3AF7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109.0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05A7BA1" w14:textId="137018DB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108.0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7E9C03F" w14:textId="13E772AF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106</w:t>
            </w:r>
            <w:r w:rsidR="00887DBF">
              <w:t>.0</w:t>
            </w:r>
          </w:p>
        </w:tc>
      </w:tr>
      <w:tr w:rsidR="00E71884" w:rsidRPr="00A746DC" w14:paraId="48D8B40D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E84A534" w14:textId="78F46C7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1.91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C28BFD" w14:textId="268EAA6D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036EA9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1A38C1B" w14:textId="3895F997" w:rsidR="00E71884" w:rsidRPr="00BD0B77" w:rsidRDefault="00036EA9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F81496C" w14:textId="394C4904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112.0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DEA65E9" w14:textId="339DA981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112.0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45485E4" w14:textId="41046903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110.0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43DFB26" w14:textId="0A3AAC5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111.3</w:t>
            </w:r>
          </w:p>
        </w:tc>
      </w:tr>
      <w:tr w:rsidR="00E71884" w:rsidRPr="00A746DC" w14:paraId="4203DEF9" w14:textId="77777777" w:rsidTr="00DA053A">
        <w:trPr>
          <w:trHeight w:hRule="exact" w:val="245"/>
        </w:trPr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028FF" w14:textId="5E9504C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5.05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B1830C" w14:textId="45F4F8C5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4F07C4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8289582" w14:textId="1D451A29" w:rsidR="00E71884" w:rsidRPr="00BD0B77" w:rsidRDefault="004F07C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FD36FC" w14:textId="4B772E1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106.0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43309EF" w14:textId="74061FC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103.0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510EBFE" w14:textId="1E7B3CEC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104.0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90C2568" w14:textId="4F3B6E77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104.3</w:t>
            </w:r>
          </w:p>
        </w:tc>
      </w:tr>
    </w:tbl>
    <w:p w14:paraId="24260849" w14:textId="18C95FF9" w:rsidR="004564E8" w:rsidRDefault="004564E8" w:rsidP="004564E8">
      <w:pPr>
        <w:rPr>
          <w:szCs w:val="18"/>
        </w:rPr>
      </w:pPr>
    </w:p>
    <w:p w14:paraId="71294773" w14:textId="4D16C9B1" w:rsidR="00B31661" w:rsidRDefault="00B31661" w:rsidP="00B31661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</w:t>
      </w:r>
      <w:r>
        <w:rPr>
          <w:rFonts w:eastAsia="Calibri" w:cs="Times New Roman"/>
          <w:szCs w:val="18"/>
        </w:rPr>
        <w:t xml:space="preserve"> ceiling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>
        <w:rPr>
          <w:rFonts w:eastAsia="Calibri" w:cs="Times New Roman"/>
          <w:szCs w:val="18"/>
        </w:rPr>
        <w:t xml:space="preserve"> for </w:t>
      </w:r>
      <w:r w:rsidR="007F44B3">
        <w:rPr>
          <w:rFonts w:eastAsia="Calibri" w:cs="Times New Roman"/>
          <w:szCs w:val="18"/>
        </w:rPr>
        <w:t>3</w:t>
      </w:r>
      <w:r w:rsidR="00D95AF0">
        <w:rPr>
          <w:rFonts w:eastAsia="Calibri" w:cs="Times New Roman"/>
          <w:szCs w:val="18"/>
        </w:rPr>
        <w:t xml:space="preserve"> minutes.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</w:t>
      </w:r>
      <w:r w:rsidR="006A0E6D">
        <w:rPr>
          <w:rFonts w:eastAsia="Calibri" w:cs="Times New Roman"/>
          <w:szCs w:val="18"/>
        </w:rPr>
        <w:t xml:space="preserve"> 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Pr="0004117B">
        <w:rPr>
          <w:rFonts w:eastAsia="Calibri" w:cs="Times New Roman"/>
          <w:szCs w:val="18"/>
        </w:rPr>
        <w:t xml:space="preserve">The results of these tests are provided in Table </w:t>
      </w:r>
      <w:r w:rsidR="006D007F">
        <w:rPr>
          <w:rFonts w:eastAsia="Calibri" w:cs="Times New Roman"/>
          <w:szCs w:val="18"/>
        </w:rPr>
        <w:t>5</w:t>
      </w:r>
      <w:r w:rsidRPr="0004117B">
        <w:rPr>
          <w:rFonts w:eastAsia="Calibri" w:cs="Times New Roman"/>
          <w:szCs w:val="18"/>
        </w:rPr>
        <w:t>, along with the concentration, temperature, and relative humidity of each test atmosphere</w:t>
      </w:r>
      <w:r w:rsidRPr="00BD0B77">
        <w:rPr>
          <w:rFonts w:eastAsia="Calibri" w:cs="Times New Roman"/>
          <w:szCs w:val="18"/>
        </w:rPr>
        <w:t>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301AD5">
        <w:rPr>
          <w:rFonts w:eastAsia="Calibri" w:cs="Times New Roman"/>
          <w:szCs w:val="18"/>
        </w:rPr>
        <w:t>1.</w:t>
      </w:r>
      <w:r w:rsidR="0051730A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51730A">
        <w:rPr>
          <w:rFonts w:eastAsia="Calibri" w:cs="Times New Roman"/>
          <w:szCs w:val="18"/>
        </w:rPr>
        <w:t>5.</w:t>
      </w:r>
      <w:r w:rsidR="008F7B22">
        <w:rPr>
          <w:rFonts w:eastAsia="Calibri" w:cs="Times New Roman"/>
          <w:szCs w:val="18"/>
        </w:rPr>
        <w:t>3</w:t>
      </w:r>
      <w:r w:rsidRPr="00BD0B77">
        <w:rPr>
          <w:rFonts w:eastAsia="Calibri" w:cs="Times New Roman"/>
          <w:szCs w:val="18"/>
        </w:rPr>
        <w:t>%. The resulting</w:t>
      </w:r>
      <w:r w:rsidR="00732449">
        <w:rPr>
          <w:rFonts w:eastAsia="Calibri" w:cs="Times New Roman"/>
          <w:szCs w:val="18"/>
        </w:rPr>
        <w:t xml:space="preserve"> ceiling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mp_CLG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>
        <w:rPr>
          <w:rFonts w:eastAsia="Calibri" w:cs="Times New Roman"/>
          <w:szCs w:val="18"/>
        </w:rPr>
        <w:t>chlorine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51730A">
        <w:rPr>
          <w:rFonts w:eastAsia="Calibri" w:cs="Times New Roman"/>
          <w:szCs w:val="18"/>
        </w:rPr>
        <w:t>4.</w:t>
      </w:r>
      <w:r w:rsidR="005C11E0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</w:t>
      </w:r>
      <w:r w:rsidR="0051730A">
        <w:rPr>
          <w:rFonts w:eastAsia="Calibri" w:cs="Times New Roman"/>
          <w:szCs w:val="18"/>
        </w:rPr>
        <w:t>98.</w:t>
      </w:r>
      <w:r w:rsidR="00FA1B2E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%, resulting in </w:t>
      </w:r>
      <w:proofErr w:type="gramStart"/>
      <w:r w:rsidRPr="00BD0B77">
        <w:rPr>
          <w:rFonts w:eastAsia="Calibri" w:cs="Times New Roman"/>
          <w:szCs w:val="18"/>
        </w:rPr>
        <w:t>a method</w:t>
      </w:r>
      <w:proofErr w:type="gramEnd"/>
      <w:r w:rsidRPr="00BD0B77">
        <w:rPr>
          <w:rFonts w:eastAsia="Calibri" w:cs="Times New Roman"/>
          <w:szCs w:val="18"/>
        </w:rPr>
        <w:t xml:space="preserve">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51730A">
        <w:rPr>
          <w:rFonts w:eastAsia="Calibri" w:cs="Times New Roman"/>
          <w:szCs w:val="18"/>
        </w:rPr>
        <w:t>1.</w:t>
      </w:r>
      <w:r w:rsidR="00A642CB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4732F9">
        <w:rPr>
          <w:rFonts w:eastAsia="Calibri" w:cs="Times New Roman"/>
          <w:szCs w:val="18"/>
        </w:rPr>
        <w:t>4.</w:t>
      </w:r>
      <w:r w:rsidR="00A642CB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 xml:space="preserve">%. </w:t>
      </w:r>
    </w:p>
    <w:p w14:paraId="2D29BCED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2F417A7A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0C30F756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43453D57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3EF073D3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529481C1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57A6F991" w14:textId="77777777" w:rsidR="00B31661" w:rsidRDefault="00B31661" w:rsidP="00B31661">
      <w:pPr>
        <w:spacing w:line="259" w:lineRule="auto"/>
        <w:jc w:val="left"/>
        <w:rPr>
          <w:rFonts w:eastAsia="Calibri" w:cs="Times New Roman"/>
          <w:szCs w:val="18"/>
        </w:rPr>
      </w:pPr>
    </w:p>
    <w:p w14:paraId="678A38EB" w14:textId="77777777" w:rsidR="00FF442D" w:rsidRDefault="00FF442D" w:rsidP="00B31661">
      <w:pPr>
        <w:spacing w:line="259" w:lineRule="auto"/>
        <w:jc w:val="left"/>
        <w:rPr>
          <w:rFonts w:eastAsia="Calibri" w:cs="Times New Roman"/>
          <w:szCs w:val="18"/>
        </w:rPr>
      </w:pPr>
    </w:p>
    <w:p w14:paraId="3BC11401" w14:textId="18063519" w:rsidR="00B31661" w:rsidRPr="00BD0B77" w:rsidRDefault="00B31661" w:rsidP="00B31661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6D007F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>
        <w:rPr>
          <w:szCs w:val="18"/>
        </w:rPr>
        <w:t>chlorine</w:t>
      </w:r>
      <w:r w:rsidRPr="00BD0B77">
        <w:rPr>
          <w:szCs w:val="18"/>
        </w:rPr>
        <w:t xml:space="preserve"> (</w:t>
      </w:r>
      <w:r w:rsidR="00613FC8">
        <w:rPr>
          <w:szCs w:val="18"/>
        </w:rPr>
        <w:t>ceiling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B31661" w:rsidRPr="00A746DC" w14:paraId="7C0E5E61" w14:textId="77777777" w:rsidTr="007D28F7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9294C84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40696235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5E967A4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0639D6FF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3F9B4FF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4DA19BF6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BE919FD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896CEC9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C87C09F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EF5782A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A0FCC63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1B209F60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8EDC33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CA25E73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2237DD" w:rsidRPr="00A746DC" w14:paraId="3FBE8210" w14:textId="77777777" w:rsidTr="007D28F7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47B223" w14:textId="1031AB7D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0.757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89CF25" w14:textId="074D18FC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54DC7D88" w14:textId="1A6A579D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9C8A200" w14:textId="4F17C0D7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91.9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0FB9A71" w14:textId="5D4DDA6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97.6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F609C9F" w14:textId="0EC0D3FA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97.6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6542BF" w14:textId="1690CB8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95.7</w:t>
            </w:r>
          </w:p>
        </w:tc>
      </w:tr>
      <w:tr w:rsidR="002237DD" w:rsidRPr="00A746DC" w14:paraId="230DE7DF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A907024" w14:textId="2D70799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0.908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22ABDC3" w14:textId="05E2C6A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1CBED3E2" w14:textId="1F76BC40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FD34A1C" w14:textId="4BDCCC3D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91.0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47CEF92D" w14:textId="709423F6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3A077D" w14:textId="7E34927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100.6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4F3E45F0" w14:textId="41E3FA6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97.4</w:t>
            </w:r>
          </w:p>
        </w:tc>
      </w:tr>
      <w:tr w:rsidR="002237DD" w:rsidRPr="00A746DC" w14:paraId="1ACC95BE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7852E20" w14:textId="27EB187F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B4772D7" w14:textId="62997B1F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F0D8D8D" w14:textId="3490F8E4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45FC4658" w14:textId="620A4883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91.3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A237C00" w14:textId="3F8CB68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E590AA1" w14:textId="144383A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104.0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8F99B6D" w14:textId="7D1E8E5B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98.4</w:t>
            </w:r>
          </w:p>
        </w:tc>
      </w:tr>
      <w:tr w:rsidR="002237DD" w:rsidRPr="00A746DC" w14:paraId="073F4DE9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599584A" w14:textId="2AC62122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6DCE68C" w14:textId="0AB5B4AE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38576A0" w14:textId="67F6DFAB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224DC4C" w14:textId="18484075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95.4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B243955" w14:textId="26DD84AC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103.7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7B85707" w14:textId="1B378EDB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103.7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5EFAFFC" w14:textId="3D702F44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100.9</w:t>
            </w:r>
          </w:p>
        </w:tc>
      </w:tr>
      <w:tr w:rsidR="002237DD" w:rsidRPr="00A746DC" w14:paraId="6DB3CB31" w14:textId="77777777" w:rsidTr="007D28F7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9CA4C2" w14:textId="1F1B304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1.26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697A65" w14:textId="1260A86F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5F895F50" w14:textId="006022B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1A6C2F" w14:textId="13D21707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92.9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4B52508" w14:textId="7DCA1A6A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45A9B91" w14:textId="4D646186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103.2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0EE6AA" w14:textId="1EFE25D4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98.7</w:t>
            </w:r>
          </w:p>
        </w:tc>
      </w:tr>
    </w:tbl>
    <w:p w14:paraId="3422EF0E" w14:textId="77777777" w:rsidR="00B31661" w:rsidRDefault="00B31661" w:rsidP="00945F7B">
      <w:pPr>
        <w:rPr>
          <w:rFonts w:eastAsia="Calibri" w:cs="Times New Roman"/>
          <w:szCs w:val="18"/>
        </w:rPr>
      </w:pPr>
    </w:p>
    <w:p w14:paraId="00B80790" w14:textId="5B46587C" w:rsidR="00AA6E4A" w:rsidRDefault="002545E4" w:rsidP="00945F7B">
      <w:pPr>
        <w:rPr>
          <w:rFonts w:eastAsia="Calibri" w:cs="Times New Roman"/>
          <w:szCs w:val="18"/>
        </w:rPr>
      </w:pPr>
      <w:bookmarkStart w:id="5" w:name="_Hlk196900570"/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>
        <w:rPr>
          <w:rFonts w:eastAsia="Calibri" w:cs="Times New Roman"/>
          <w:szCs w:val="18"/>
        </w:rPr>
        <w:t xml:space="preserve"> </w:t>
      </w:r>
      <w:r w:rsidR="0084699B">
        <w:rPr>
          <w:rFonts w:eastAsia="Calibri" w:cs="Times New Roman"/>
          <w:szCs w:val="18"/>
        </w:rPr>
        <w:t xml:space="preserve">for </w:t>
      </w:r>
      <w:r w:rsidR="00AF3FFE">
        <w:rPr>
          <w:rFonts w:eastAsia="Calibri" w:cs="Times New Roman"/>
          <w:szCs w:val="18"/>
        </w:rPr>
        <w:t>3</w:t>
      </w:r>
      <w:r w:rsidR="00D95AF0">
        <w:rPr>
          <w:rFonts w:eastAsia="Calibri" w:cs="Times New Roman"/>
          <w:szCs w:val="18"/>
        </w:rPr>
        <w:t xml:space="preserve"> minutes.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04117B" w:rsidRPr="0004117B">
        <w:rPr>
          <w:rFonts w:eastAsia="Calibri" w:cs="Times New Roman"/>
          <w:szCs w:val="18"/>
        </w:rPr>
        <w:t xml:space="preserve">The results of these tests are provided in Table </w:t>
      </w:r>
      <w:r w:rsidR="006D007F">
        <w:rPr>
          <w:rFonts w:eastAsia="Calibri" w:cs="Times New Roman"/>
          <w:szCs w:val="18"/>
        </w:rPr>
        <w:t>6</w:t>
      </w:r>
      <w:r w:rsidR="0004117B" w:rsidRPr="0004117B">
        <w:rPr>
          <w:rFonts w:eastAsia="Calibri" w:cs="Times New Roman"/>
          <w:szCs w:val="18"/>
        </w:rPr>
        <w:t>, along with the concentration, temperature, and relative humidity of each test atmosphere</w:t>
      </w:r>
      <w:r w:rsidRPr="00BD0B77">
        <w:rPr>
          <w:rFonts w:eastAsia="Calibri" w:cs="Times New Roman"/>
          <w:szCs w:val="18"/>
        </w:rPr>
        <w:t>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9678F5">
        <w:rPr>
          <w:rFonts w:eastAsia="Calibri" w:cs="Times New Roman"/>
          <w:szCs w:val="18"/>
        </w:rPr>
        <w:t>1.</w:t>
      </w:r>
      <w:r w:rsidR="004724F0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9678F5">
        <w:rPr>
          <w:rFonts w:eastAsia="Calibri" w:cs="Times New Roman"/>
          <w:szCs w:val="18"/>
        </w:rPr>
        <w:t>4.</w:t>
      </w:r>
      <w:r w:rsidR="0069032F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 xml:space="preserve">%. The resulting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mp_IDLH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414924">
        <w:rPr>
          <w:rFonts w:eastAsia="Calibri" w:cs="Times New Roman"/>
          <w:szCs w:val="18"/>
        </w:rPr>
        <w:t>chlorine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9678F5">
        <w:rPr>
          <w:rFonts w:eastAsia="Calibri" w:cs="Times New Roman"/>
          <w:szCs w:val="18"/>
        </w:rPr>
        <w:t>4.2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</w:t>
      </w:r>
      <w:r w:rsidR="00821AE8">
        <w:rPr>
          <w:rFonts w:eastAsia="Calibri" w:cs="Times New Roman"/>
          <w:szCs w:val="18"/>
        </w:rPr>
        <w:t>10</w:t>
      </w:r>
      <w:r w:rsidR="00794A1C">
        <w:rPr>
          <w:rFonts w:eastAsia="Calibri" w:cs="Times New Roman"/>
          <w:szCs w:val="18"/>
        </w:rPr>
        <w:t>3</w:t>
      </w:r>
      <w:r w:rsidR="00821AE8">
        <w:rPr>
          <w:rFonts w:eastAsia="Calibri" w:cs="Times New Roman"/>
          <w:szCs w:val="18"/>
        </w:rPr>
        <w:t>.</w:t>
      </w:r>
      <w:r w:rsidR="00380054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794A1C">
        <w:rPr>
          <w:rFonts w:eastAsia="Calibri" w:cs="Times New Roman"/>
          <w:szCs w:val="18"/>
        </w:rPr>
        <w:t>3</w:t>
      </w:r>
      <w:r w:rsidR="00821AE8">
        <w:rPr>
          <w:rFonts w:eastAsia="Calibri" w:cs="Times New Roman"/>
          <w:szCs w:val="18"/>
        </w:rPr>
        <w:t>.</w:t>
      </w:r>
      <w:r w:rsidR="00D9345B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821AE8">
        <w:rPr>
          <w:rFonts w:eastAsia="Calibri" w:cs="Times New Roman"/>
          <w:szCs w:val="18"/>
        </w:rPr>
        <w:t>4.3</w:t>
      </w:r>
      <w:r w:rsidRPr="00BD0B77">
        <w:rPr>
          <w:rFonts w:eastAsia="Calibri" w:cs="Times New Roman"/>
          <w:szCs w:val="18"/>
        </w:rPr>
        <w:t xml:space="preserve">%. </w:t>
      </w:r>
    </w:p>
    <w:p w14:paraId="52066C18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78283281" w14:textId="43496482" w:rsidR="002545E4" w:rsidRPr="00BD0B77" w:rsidRDefault="002545E4" w:rsidP="0029255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D007F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(</w:t>
      </w:r>
      <w:r>
        <w:rPr>
          <w:szCs w:val="18"/>
        </w:rPr>
        <w:t xml:space="preserve">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2545E4" w:rsidRPr="00A746DC" w14:paraId="60A4E443" w14:textId="77777777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26745A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134A7358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37B7DC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369531F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4A994D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48BEB41F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10EAD1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F0D40CC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7BA906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5103FF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73D402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75991762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D22EF75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104921D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83C5B" w:rsidRPr="00A746DC" w14:paraId="1315F50A" w14:textId="77777777" w:rsidTr="007D28F7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D5DB65" w14:textId="155578BF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7.42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74E919A" w14:textId="387D91FE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C34879A" w14:textId="493DA1B7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64303CC" w14:textId="27A33763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96.1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3F595AF" w14:textId="3B908F61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102.6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F7C159E" w14:textId="33D961D8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105.5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6562D55" w14:textId="358B5AA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101.4</w:t>
            </w:r>
          </w:p>
        </w:tc>
      </w:tr>
      <w:tr w:rsidR="00383C5B" w:rsidRPr="00A746DC" w14:paraId="46B48D16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C664E55" w14:textId="6E5F2AFC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8.97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BD7FA95" w14:textId="13E04CA5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</w:tcPr>
          <w:p w14:paraId="77B4E896" w14:textId="6DFE3553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24BC71D" w14:textId="3E20D769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97.0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02290DB" w14:textId="0CF4B9D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103.8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91BFC00" w14:textId="2389B5F6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106.7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319F48B1" w14:textId="75165DD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102.5</w:t>
            </w:r>
          </w:p>
        </w:tc>
      </w:tr>
      <w:tr w:rsidR="00383C5B" w:rsidRPr="00A746DC" w14:paraId="5023EFE0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7955638" w14:textId="7E8B60E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9.94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71951EC" w14:textId="4BD3C2B5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</w:tcPr>
          <w:p w14:paraId="0168B1B1" w14:textId="074CE6AD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8757672" w14:textId="761A887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98.9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D4DAE29" w14:textId="72F1761F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105.6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81F2974" w14:textId="344D751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109.7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0E864579" w14:textId="1A9156CF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104.7</w:t>
            </w:r>
          </w:p>
        </w:tc>
      </w:tr>
      <w:tr w:rsidR="00383C5B" w:rsidRPr="00A746DC" w14:paraId="2A5C72C3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DB631B4" w14:textId="7D0CC943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19D8B40" w14:textId="4F4C551C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</w:tcPr>
          <w:p w14:paraId="33F3ED51" w14:textId="7F2C8F7A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FE418D0" w14:textId="54BC152B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99.1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C98BBFA" w14:textId="4E8507E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106.4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704C8B" w14:textId="608C4D3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108.2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13571D2" w14:textId="017AB78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104.6</w:t>
            </w:r>
          </w:p>
        </w:tc>
      </w:tr>
      <w:tr w:rsidR="00383C5B" w:rsidRPr="00A746DC" w14:paraId="4E024C22" w14:textId="77777777" w:rsidTr="007D28F7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AB64DA" w14:textId="5047D4C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548DA02" w14:textId="090B48E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6E05E43" w14:textId="0BCDA679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88CFA85" w14:textId="5BDEB41E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98.4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73936A" w14:textId="09B0BE17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104.8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3EB0DD7" w14:textId="5C793977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108.1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7EE41E" w14:textId="319E848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103.8</w:t>
            </w:r>
          </w:p>
        </w:tc>
      </w:tr>
    </w:tbl>
    <w:bookmarkEnd w:id="5"/>
    <w:p w14:paraId="2A8C192C" w14:textId="518C2ADD" w:rsidR="00F9144F" w:rsidRDefault="001A6ABA" w:rsidP="00E24551">
      <w:pPr>
        <w:pStyle w:val="Heading2"/>
      </w:pPr>
      <w:r>
        <w:t xml:space="preserve">Effect of </w:t>
      </w:r>
      <w:r w:rsidR="00F9144F">
        <w:t>Face Velocity</w:t>
      </w:r>
    </w:p>
    <w:p w14:paraId="24D556A4" w14:textId="5E7D11EE" w:rsidR="001925AC" w:rsidRPr="009F1DEA" w:rsidRDefault="008543DB" w:rsidP="001925AC">
      <w:bookmarkStart w:id="6" w:name="_Hlk137463182"/>
      <w:r>
        <w:rPr>
          <w:rFonts w:eastAsia="Calibri" w:cs="Times New Roman"/>
          <w:szCs w:val="18"/>
        </w:rPr>
        <w:t xml:space="preserve">The determination of the effect of face velocity was not </w:t>
      </w:r>
      <w:r w:rsidR="00086188">
        <w:rPr>
          <w:rFonts w:eastAsia="Calibri" w:cs="Times New Roman"/>
          <w:szCs w:val="18"/>
        </w:rPr>
        <w:t xml:space="preserve">performed due to the </w:t>
      </w:r>
      <w:r w:rsidR="00E4519F">
        <w:rPr>
          <w:rFonts w:eastAsia="Calibri" w:cs="Times New Roman"/>
          <w:szCs w:val="18"/>
        </w:rPr>
        <w:t>fixed</w:t>
      </w:r>
      <w:r w:rsidR="006D32EF">
        <w:rPr>
          <w:rFonts w:eastAsia="Calibri" w:cs="Times New Roman"/>
          <w:szCs w:val="18"/>
        </w:rPr>
        <w:t xml:space="preserve"> </w:t>
      </w:r>
      <w:r w:rsidR="00F02685">
        <w:rPr>
          <w:rFonts w:eastAsia="Calibri" w:cs="Times New Roman"/>
          <w:szCs w:val="18"/>
        </w:rPr>
        <w:t xml:space="preserve">gas </w:t>
      </w:r>
      <w:r w:rsidR="006D32EF">
        <w:rPr>
          <w:rFonts w:eastAsia="Calibri" w:cs="Times New Roman"/>
          <w:szCs w:val="18"/>
        </w:rPr>
        <w:t>flow</w:t>
      </w:r>
      <w:r w:rsidR="00F02685">
        <w:rPr>
          <w:rFonts w:eastAsia="Calibri" w:cs="Times New Roman"/>
          <w:szCs w:val="18"/>
        </w:rPr>
        <w:t xml:space="preserve"> rate provided by the external pump </w:t>
      </w:r>
      <w:r w:rsidR="00445260">
        <w:rPr>
          <w:rFonts w:eastAsia="Calibri" w:cs="Times New Roman"/>
          <w:szCs w:val="18"/>
        </w:rPr>
        <w:t>during monitoring.</w:t>
      </w:r>
    </w:p>
    <w:bookmarkEnd w:id="6"/>
    <w:p w14:paraId="487E4644" w14:textId="4B4D5F44" w:rsidR="00767D83" w:rsidRDefault="00767D83" w:rsidP="00E24551">
      <w:pPr>
        <w:pStyle w:val="Heading2"/>
      </w:pPr>
      <w:r>
        <w:t>Effect of Orientation</w:t>
      </w:r>
    </w:p>
    <w:p w14:paraId="465AE877" w14:textId="19A26718" w:rsidR="00837F63" w:rsidRPr="009F1DEA" w:rsidRDefault="00F02685" w:rsidP="009808CB">
      <w:r w:rsidRPr="00F02685">
        <w:rPr>
          <w:rFonts w:eastAsia="Calibri" w:cs="Times New Roman"/>
          <w:szCs w:val="18"/>
        </w:rPr>
        <w:t xml:space="preserve">The determination of the effect of </w:t>
      </w:r>
      <w:r w:rsidR="00C84787">
        <w:rPr>
          <w:rFonts w:eastAsia="Calibri" w:cs="Times New Roman"/>
          <w:szCs w:val="18"/>
        </w:rPr>
        <w:t>or</w:t>
      </w:r>
      <w:r w:rsidR="00975F13">
        <w:rPr>
          <w:rFonts w:eastAsia="Calibri" w:cs="Times New Roman"/>
          <w:szCs w:val="18"/>
        </w:rPr>
        <w:t>ientation</w:t>
      </w:r>
      <w:r w:rsidRPr="00F02685">
        <w:rPr>
          <w:rFonts w:eastAsia="Calibri" w:cs="Times New Roman"/>
          <w:szCs w:val="18"/>
        </w:rPr>
        <w:t xml:space="preserve"> was not performed due to the </w:t>
      </w:r>
      <w:r w:rsidR="00BC36BB">
        <w:rPr>
          <w:rFonts w:eastAsia="Calibri" w:cs="Times New Roman"/>
          <w:szCs w:val="18"/>
        </w:rPr>
        <w:t xml:space="preserve">fixed </w:t>
      </w:r>
      <w:r w:rsidRPr="00F02685">
        <w:rPr>
          <w:rFonts w:eastAsia="Calibri" w:cs="Times New Roman"/>
          <w:szCs w:val="18"/>
        </w:rPr>
        <w:t xml:space="preserve">gas flow </w:t>
      </w:r>
      <w:r w:rsidR="00975F13">
        <w:rPr>
          <w:rFonts w:eastAsia="Calibri" w:cs="Times New Roman"/>
          <w:szCs w:val="18"/>
        </w:rPr>
        <w:t>direction</w:t>
      </w:r>
      <w:r w:rsidRPr="00F02685">
        <w:rPr>
          <w:rFonts w:eastAsia="Calibri" w:cs="Times New Roman"/>
          <w:szCs w:val="18"/>
        </w:rPr>
        <w:t xml:space="preserve"> </w:t>
      </w:r>
      <w:r w:rsidR="00060CA0">
        <w:rPr>
          <w:rFonts w:eastAsia="Calibri" w:cs="Times New Roman"/>
          <w:szCs w:val="18"/>
        </w:rPr>
        <w:t>provided by</w:t>
      </w:r>
      <w:r w:rsidRPr="00F02685">
        <w:rPr>
          <w:rFonts w:eastAsia="Calibri" w:cs="Times New Roman"/>
          <w:szCs w:val="18"/>
        </w:rPr>
        <w:t xml:space="preserve"> the external pump during monitoring.</w:t>
      </w:r>
    </w:p>
    <w:p w14:paraId="0AA59A9E" w14:textId="77777777" w:rsidR="000C085A" w:rsidRPr="00BD0B77" w:rsidRDefault="000C085A" w:rsidP="000C085A">
      <w:pPr>
        <w:pStyle w:val="Heading2"/>
        <w:rPr>
          <w:rFonts w:eastAsiaTheme="minorEastAsia"/>
        </w:rPr>
      </w:pPr>
      <w:bookmarkStart w:id="7" w:name="_Hlk137471269"/>
      <w:r w:rsidRPr="00BD0B77">
        <w:rPr>
          <w:rFonts w:eastAsiaTheme="minorEastAsia"/>
        </w:rPr>
        <w:t>Effect of Humidity</w:t>
      </w:r>
    </w:p>
    <w:p w14:paraId="0E294457" w14:textId="0D029F85" w:rsidR="000C085A" w:rsidRDefault="000C085A" w:rsidP="000C085A">
      <w:pPr>
        <w:rPr>
          <w:szCs w:val="18"/>
        </w:rPr>
      </w:pPr>
      <w:bookmarkStart w:id="8" w:name="_Hlk205278591"/>
      <w:r w:rsidRPr="00BD0B77">
        <w:rPr>
          <w:rFonts w:eastAsia="Calibri" w:cs="Times New Roman"/>
          <w:szCs w:val="18"/>
        </w:rPr>
        <w:t>The 8-hour TWA effect</w:t>
      </w:r>
      <w:r w:rsidR="00384A1A">
        <w:rPr>
          <w:rFonts w:eastAsia="Calibri" w:cs="Times New Roman"/>
          <w:szCs w:val="18"/>
        </w:rPr>
        <w:t>s</w:t>
      </w:r>
      <w:r w:rsidRPr="00BD0B77">
        <w:rPr>
          <w:rFonts w:eastAsia="Calibri" w:cs="Times New Roman"/>
          <w:szCs w:val="18"/>
        </w:rPr>
        <w:t xml:space="preserve"> of </w:t>
      </w:r>
      <w:r w:rsidR="00A64497">
        <w:rPr>
          <w:rFonts w:eastAsia="Calibri" w:cs="Times New Roman"/>
          <w:szCs w:val="18"/>
        </w:rPr>
        <w:t xml:space="preserve">low and high </w:t>
      </w:r>
      <w:r w:rsidRPr="00BD0B77">
        <w:rPr>
          <w:rFonts w:eastAsia="Calibri" w:cs="Times New Roman"/>
          <w:szCs w:val="18"/>
        </w:rPr>
        <w:t xml:space="preserve">humidity </w:t>
      </w:r>
      <w:r w:rsidR="00384A1A">
        <w:rPr>
          <w:rFonts w:eastAsia="Calibri" w:cs="Times New Roman"/>
          <w:szCs w:val="18"/>
        </w:rPr>
        <w:t>were</w:t>
      </w:r>
      <w:r w:rsidRPr="00BD0B77">
        <w:rPr>
          <w:rFonts w:eastAsia="Calibri" w:cs="Times New Roman"/>
          <w:szCs w:val="18"/>
        </w:rPr>
        <w:t xml:space="preserve"> tested by </w:t>
      </w:r>
      <w:r>
        <w:rPr>
          <w:rFonts w:eastAsia="Calibri" w:cs="Times New Roman"/>
          <w:szCs w:val="18"/>
        </w:rPr>
        <w:t>monitoring</w:t>
      </w:r>
      <w:r w:rsidR="003D1F81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dynamically generated controlled</w:t>
      </w:r>
      <w:r w:rsidR="003D1F81">
        <w:rPr>
          <w:rFonts w:eastAsia="Calibri" w:cs="Times New Roman"/>
          <w:szCs w:val="18"/>
        </w:rPr>
        <w:t xml:space="preserve"> dry and humid</w:t>
      </w:r>
      <w:r w:rsidRPr="00BD0B77">
        <w:rPr>
          <w:rFonts w:eastAsia="Calibri" w:cs="Times New Roman"/>
          <w:szCs w:val="18"/>
        </w:rPr>
        <w:t xml:space="preserve"> test atmosphere</w:t>
      </w:r>
      <w:r w:rsidR="007E112F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 w:rsidR="00414924">
        <w:rPr>
          <w:szCs w:val="18"/>
        </w:rPr>
        <w:t>chlorine</w:t>
      </w:r>
      <w:r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nominally at </w:t>
      </w:r>
      <w:r>
        <w:t xml:space="preserve">the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7E112F">
        <w:rPr>
          <w:rFonts w:eastAsia="Calibri" w:cs="Times New Roman"/>
          <w:szCs w:val="18"/>
        </w:rPr>
        <w:t>for 240 min</w:t>
      </w:r>
      <w:r w:rsidR="00C377C1">
        <w:rPr>
          <w:rFonts w:eastAsia="Calibri" w:cs="Times New Roman"/>
          <w:szCs w:val="18"/>
        </w:rPr>
        <w:t>utes</w:t>
      </w:r>
      <w:r w:rsidR="00E27F99">
        <w:rPr>
          <w:rFonts w:eastAsia="Calibri" w:cs="Times New Roman"/>
          <w:szCs w:val="18"/>
        </w:rPr>
        <w:t>, respectively</w:t>
      </w:r>
      <w:r w:rsidRPr="00BD0B77">
        <w:rPr>
          <w:rFonts w:eastAsia="Calibri" w:cs="Times New Roman"/>
          <w:szCs w:val="18"/>
        </w:rPr>
        <w:t>.</w:t>
      </w:r>
      <w:r w:rsidR="0085609C">
        <w:rPr>
          <w:rFonts w:eastAsia="Calibri" w:cs="Times New Roman"/>
          <w:szCs w:val="18"/>
        </w:rPr>
        <w:t xml:space="preserve"> </w:t>
      </w:r>
      <w:r w:rsidR="00CE5474" w:rsidRPr="0046405C">
        <w:rPr>
          <w:rFonts w:eastAsia="Calibri" w:cs="Times New Roman"/>
          <w:szCs w:val="18"/>
        </w:rPr>
        <w:t xml:space="preserve">The results of these tests are provided in Table </w:t>
      </w:r>
      <w:r w:rsidR="00CE5474">
        <w:rPr>
          <w:rFonts w:eastAsia="Calibri" w:cs="Times New Roman"/>
          <w:szCs w:val="18"/>
        </w:rPr>
        <w:t>7</w:t>
      </w:r>
      <w:r w:rsidR="00CE5474" w:rsidRPr="0046405C">
        <w:rPr>
          <w:rFonts w:eastAsia="Calibri" w:cs="Times New Roman"/>
          <w:szCs w:val="18"/>
        </w:rPr>
        <w:t xml:space="preserve">, along with the concentration of each test atmosphere. </w:t>
      </w:r>
      <w:r w:rsidRPr="00BD0B77">
        <w:rPr>
          <w:rFonts w:eastAsia="Calibri" w:cs="Times New Roman"/>
          <w:szCs w:val="18"/>
        </w:rPr>
        <w:t>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h_TWA</m:t>
            </m:r>
          </m:sub>
        </m:sSub>
      </m:oMath>
      <w:r w:rsidRPr="00BD0B77">
        <w:rPr>
          <w:rFonts w:eastAsia="Calibri" w:cs="Arial"/>
          <w:szCs w:val="18"/>
        </w:rPr>
        <w:t xml:space="preserve">), calculated as the absolute difference between the mean </w:t>
      </w:r>
      <w:r w:rsidR="003F391E">
        <w:rPr>
          <w:rFonts w:eastAsia="Calibri" w:cs="Arial"/>
          <w:szCs w:val="18"/>
        </w:rPr>
        <w:t>humid</w:t>
      </w:r>
      <w:r w:rsidRPr="00BD0B77">
        <w:rPr>
          <w:rFonts w:eastAsia="Calibri" w:cs="Arial"/>
          <w:szCs w:val="18"/>
        </w:rPr>
        <w:t xml:space="preserve"> recovery and the mean </w:t>
      </w:r>
      <w:r w:rsidR="003F391E">
        <w:rPr>
          <w:rFonts w:eastAsia="Calibri" w:cs="Arial"/>
          <w:szCs w:val="18"/>
        </w:rPr>
        <w:t xml:space="preserve">dry </w:t>
      </w:r>
      <w:r w:rsidRPr="00BD0B77">
        <w:rPr>
          <w:rFonts w:eastAsia="Calibri" w:cs="Arial"/>
          <w:szCs w:val="18"/>
        </w:rPr>
        <w:t>recovery</w:t>
      </w:r>
      <w:r w:rsidR="00C9554C">
        <w:rPr>
          <w:rFonts w:eastAsia="Calibri" w:cs="Arial"/>
          <w:szCs w:val="18"/>
        </w:rPr>
        <w:t xml:space="preserve"> </w:t>
      </w:r>
      <w:r w:rsidRPr="00BD0B77">
        <w:rPr>
          <w:szCs w:val="18"/>
        </w:rPr>
        <w:t xml:space="preserve">was </w:t>
      </w:r>
      <w:r w:rsidR="00260965">
        <w:rPr>
          <w:szCs w:val="18"/>
        </w:rPr>
        <w:t>1.7</w:t>
      </w:r>
      <w:r w:rsidRPr="00BD0B77">
        <w:rPr>
          <w:szCs w:val="18"/>
        </w:rPr>
        <w:t>%.</w:t>
      </w:r>
    </w:p>
    <w:p w14:paraId="3B6E40FC" w14:textId="77777777" w:rsidR="00B45333" w:rsidRDefault="00B45333" w:rsidP="000C085A">
      <w:pPr>
        <w:rPr>
          <w:szCs w:val="18"/>
        </w:rPr>
      </w:pPr>
    </w:p>
    <w:p w14:paraId="4AA1E930" w14:textId="6B048CFE" w:rsidR="00B45333" w:rsidRPr="00487106" w:rsidRDefault="00B45333" w:rsidP="00B45333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CE5474">
        <w:rPr>
          <w:b/>
          <w:szCs w:val="18"/>
        </w:rPr>
        <w:t>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F27CBF">
        <w:rPr>
          <w:szCs w:val="18"/>
        </w:rPr>
        <w:t>Humidity</w:t>
      </w:r>
      <w:r w:rsidRPr="00BD0B77">
        <w:rPr>
          <w:szCs w:val="18"/>
        </w:rPr>
        <w:t xml:space="preserve"> data for </w:t>
      </w:r>
      <w:r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710"/>
        <w:gridCol w:w="1275"/>
        <w:gridCol w:w="1275"/>
        <w:gridCol w:w="1275"/>
        <w:gridCol w:w="1275"/>
        <w:gridCol w:w="1275"/>
        <w:gridCol w:w="1275"/>
      </w:tblGrid>
      <w:tr w:rsidR="00F57D0E" w:rsidRPr="00A746DC" w14:paraId="33446BB9" w14:textId="77777777" w:rsidTr="005279C2">
        <w:trPr>
          <w:trHeight w:hRule="exact" w:val="523"/>
        </w:trPr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118C55A" w14:textId="7C5AF338" w:rsidR="005279C2" w:rsidRDefault="00392F70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r</w:t>
            </w:r>
            <w:r w:rsidR="00F57D0E">
              <w:rPr>
                <w:szCs w:val="18"/>
              </w:rPr>
              <w:t xml:space="preserve">elative </w:t>
            </w:r>
            <w:r>
              <w:rPr>
                <w:szCs w:val="18"/>
              </w:rPr>
              <w:t>h</w:t>
            </w:r>
            <w:r w:rsidR="00F57D0E">
              <w:rPr>
                <w:szCs w:val="18"/>
              </w:rPr>
              <w:t>umidity</w:t>
            </w:r>
            <w:r w:rsidR="005279C2">
              <w:rPr>
                <w:szCs w:val="18"/>
              </w:rPr>
              <w:t xml:space="preserve"> </w:t>
            </w:r>
          </w:p>
          <w:p w14:paraId="407BBD2A" w14:textId="4359A4EC" w:rsidR="00F57D0E" w:rsidRDefault="005279C2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(%)</w:t>
            </w:r>
          </w:p>
          <w:p w14:paraId="6614CF38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83305EF" w14:textId="77777777" w:rsidR="00F57D0E" w:rsidRPr="00F57D0E" w:rsidRDefault="00F57D0E" w:rsidP="00F57D0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F57D0E">
              <w:rPr>
                <w:szCs w:val="18"/>
              </w:rPr>
              <w:t>temp</w:t>
            </w:r>
          </w:p>
          <w:p w14:paraId="7AD08558" w14:textId="68777C43" w:rsidR="00F57D0E" w:rsidRPr="00C66AE9" w:rsidRDefault="00F57D0E" w:rsidP="00F57D0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F57D0E">
              <w:rPr>
                <w:szCs w:val="18"/>
              </w:rPr>
              <w:t xml:space="preserve"> 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75E84D0" w14:textId="77777777" w:rsidR="00F57D0E" w:rsidRPr="00C66AE9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101A07DE" w14:textId="77777777" w:rsidR="00F57D0E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AC7D21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61493EA4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F509BF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4083BB01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A9EE4E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A27F11D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959CA03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04A7C530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57D0E" w:rsidRPr="00A746DC" w14:paraId="3D9D320F" w14:textId="77777777" w:rsidTr="005279C2">
        <w:trPr>
          <w:trHeight w:hRule="exact" w:val="245"/>
        </w:trPr>
        <w:tc>
          <w:tcPr>
            <w:tcW w:w="91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E57544" w14:textId="22E02151" w:rsidR="00F57D0E" w:rsidRPr="00BD2142" w:rsidRDefault="008322D9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722E8EAB" w14:textId="07BEB358" w:rsidR="00F57D0E" w:rsidRDefault="00626FF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7D0A279" w14:textId="7A67FB87" w:rsidR="00F57D0E" w:rsidRDefault="00FB4141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0.964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9F5BD98" w14:textId="77C71C7B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98.7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3774E8E" w14:textId="0AF510BE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98.8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30D6B5D" w14:textId="234C5210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99.6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4DC9718" w14:textId="5C016BB7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99.0</w:t>
            </w:r>
          </w:p>
        </w:tc>
      </w:tr>
      <w:tr w:rsidR="00F57D0E" w:rsidRPr="00A746DC" w14:paraId="32EE152B" w14:textId="77777777" w:rsidTr="005279C2">
        <w:trPr>
          <w:trHeight w:hRule="exact" w:val="245"/>
        </w:trPr>
        <w:tc>
          <w:tcPr>
            <w:tcW w:w="91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F2C38E" w14:textId="3CE4FDF7" w:rsidR="00F57D0E" w:rsidRPr="00BD2142" w:rsidRDefault="008322D9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6728C1E" w14:textId="36A5831C" w:rsidR="00F57D0E" w:rsidRDefault="00FB4141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944F907" w14:textId="3A81939A" w:rsidR="00F57D0E" w:rsidRDefault="00FB4141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0.984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6123E3D" w14:textId="46FC082A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102.6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4EA6296" w14:textId="201C48D0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101.4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D4BF5A" w14:textId="515575F9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98.1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2BDB5A4" w14:textId="39CAE7F5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100.7</w:t>
            </w:r>
          </w:p>
        </w:tc>
      </w:tr>
    </w:tbl>
    <w:p w14:paraId="72AEDC1F" w14:textId="77777777" w:rsidR="00B45333" w:rsidRDefault="00B45333" w:rsidP="00B45333"/>
    <w:bookmarkEnd w:id="8"/>
    <w:p w14:paraId="7892F7C4" w14:textId="01CA8BA6" w:rsidR="0096179D" w:rsidRPr="0096179D" w:rsidRDefault="0096179D" w:rsidP="0096179D">
      <w:pPr>
        <w:rPr>
          <w:szCs w:val="18"/>
        </w:rPr>
      </w:pPr>
      <w:r w:rsidRPr="0096179D">
        <w:rPr>
          <w:szCs w:val="18"/>
        </w:rPr>
        <w:lastRenderedPageBreak/>
        <w:t xml:space="preserve">The </w:t>
      </w:r>
      <w:r>
        <w:rPr>
          <w:szCs w:val="18"/>
        </w:rPr>
        <w:t>ceiling</w:t>
      </w:r>
      <w:r w:rsidRPr="0096179D">
        <w:rPr>
          <w:szCs w:val="18"/>
        </w:rPr>
        <w:t xml:space="preserve"> effects of low and high humidity were tested by monitoring dynamically generated controlled dry and humid test atmosphere containing chlorine nominally at the </w:t>
      </w:r>
      <w:r w:rsidR="00C377C1">
        <w:rPr>
          <w:szCs w:val="18"/>
        </w:rPr>
        <w:t>ceiling</w:t>
      </w:r>
      <w:r w:rsidRPr="0096179D">
        <w:rPr>
          <w:szCs w:val="18"/>
        </w:rPr>
        <w:t xml:space="preserve"> T</w:t>
      </w:r>
      <w:r w:rsidRPr="0096179D">
        <w:rPr>
          <w:szCs w:val="18"/>
          <w:vertAlign w:val="subscript"/>
        </w:rPr>
        <w:t>C</w:t>
      </w:r>
      <w:r w:rsidRPr="0096179D">
        <w:rPr>
          <w:szCs w:val="18"/>
        </w:rPr>
        <w:t xml:space="preserve"> for </w:t>
      </w:r>
      <w:r w:rsidR="00C377C1">
        <w:rPr>
          <w:szCs w:val="18"/>
        </w:rPr>
        <w:t>3</w:t>
      </w:r>
      <w:r w:rsidRPr="0096179D">
        <w:rPr>
          <w:szCs w:val="18"/>
        </w:rPr>
        <w:t xml:space="preserve"> </w:t>
      </w:r>
      <w:r w:rsidR="00C377C1">
        <w:rPr>
          <w:szCs w:val="18"/>
        </w:rPr>
        <w:t>minutes</w:t>
      </w:r>
      <w:r w:rsidRPr="0096179D">
        <w:rPr>
          <w:szCs w:val="18"/>
        </w:rPr>
        <w:t xml:space="preserve">, respectively. The results of these tests are provided in Table </w:t>
      </w:r>
      <w:r>
        <w:rPr>
          <w:szCs w:val="18"/>
        </w:rPr>
        <w:t>8</w:t>
      </w:r>
      <w:r w:rsidRPr="0096179D">
        <w:rPr>
          <w:szCs w:val="18"/>
        </w:rPr>
        <w:t>, along with the concentration of each test atmosphere. The effect of humidity 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∆</m:t>
            </m:r>
          </m:e>
          <m:sub>
            <m:r>
              <w:rPr>
                <w:rFonts w:ascii="Cambria Math" w:hAnsi="Cambria Math"/>
                <w:szCs w:val="18"/>
              </w:rPr>
              <m:t>h_CLG</m:t>
            </m:r>
          </m:sub>
        </m:sSub>
      </m:oMath>
      <w:r w:rsidRPr="0096179D">
        <w:rPr>
          <w:szCs w:val="18"/>
        </w:rPr>
        <w:t xml:space="preserve">), calculated as the absolute difference between the mean humid recovery and the mean dry recovery was </w:t>
      </w:r>
      <w:r w:rsidR="000B23E1">
        <w:rPr>
          <w:szCs w:val="18"/>
        </w:rPr>
        <w:t>5.3</w:t>
      </w:r>
      <w:r w:rsidRPr="0096179D">
        <w:rPr>
          <w:szCs w:val="18"/>
        </w:rPr>
        <w:t>%.</w:t>
      </w:r>
    </w:p>
    <w:p w14:paraId="39381F34" w14:textId="77777777" w:rsidR="0096179D" w:rsidRPr="0096179D" w:rsidRDefault="0096179D" w:rsidP="0096179D">
      <w:pPr>
        <w:rPr>
          <w:szCs w:val="18"/>
        </w:rPr>
      </w:pPr>
    </w:p>
    <w:p w14:paraId="3911D140" w14:textId="4E806BAF" w:rsidR="0096179D" w:rsidRPr="0096179D" w:rsidRDefault="0096179D" w:rsidP="0096179D">
      <w:pPr>
        <w:rPr>
          <w:szCs w:val="18"/>
        </w:rPr>
      </w:pPr>
      <w:r w:rsidRPr="0096179D">
        <w:rPr>
          <w:b/>
          <w:szCs w:val="18"/>
        </w:rPr>
        <w:t xml:space="preserve">Table </w:t>
      </w:r>
      <w:r>
        <w:rPr>
          <w:b/>
          <w:szCs w:val="18"/>
        </w:rPr>
        <w:t>8</w:t>
      </w:r>
      <w:r w:rsidRPr="0096179D">
        <w:rPr>
          <w:b/>
          <w:szCs w:val="18"/>
        </w:rPr>
        <w:t>.</w:t>
      </w:r>
      <w:r w:rsidRPr="0096179D">
        <w:rPr>
          <w:szCs w:val="18"/>
        </w:rPr>
        <w:t xml:space="preserve"> Humidity data for chlorine (</w:t>
      </w:r>
      <w:r w:rsidR="004A223B">
        <w:rPr>
          <w:szCs w:val="18"/>
        </w:rPr>
        <w:t>Ceiling</w:t>
      </w:r>
      <w:r w:rsidRPr="0096179D">
        <w:rPr>
          <w:szCs w:val="18"/>
        </w:rPr>
        <w:t xml:space="preserve">, </w:t>
      </w:r>
      <w:r w:rsidRPr="0096179D">
        <w:rPr>
          <w:iCs/>
          <w:szCs w:val="18"/>
        </w:rPr>
        <w:t xml:space="preserve">ppm values listed </w:t>
      </w:r>
      <w:r w:rsidRPr="0096179D">
        <w:rPr>
          <w:szCs w:val="18"/>
        </w:rPr>
        <w:t>at 760 mmHg and 25 °C).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710"/>
        <w:gridCol w:w="1275"/>
        <w:gridCol w:w="1275"/>
        <w:gridCol w:w="1275"/>
        <w:gridCol w:w="1275"/>
        <w:gridCol w:w="1275"/>
        <w:gridCol w:w="1275"/>
      </w:tblGrid>
      <w:tr w:rsidR="0096179D" w:rsidRPr="0096179D" w14:paraId="3AA1A671" w14:textId="77777777" w:rsidTr="00E5099C">
        <w:trPr>
          <w:trHeight w:hRule="exact" w:val="523"/>
        </w:trPr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956966" w14:textId="2B678C3F" w:rsidR="0096179D" w:rsidRPr="0096179D" w:rsidRDefault="00392F70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r</w:t>
            </w:r>
            <w:r w:rsidR="0096179D" w:rsidRPr="0096179D">
              <w:rPr>
                <w:szCs w:val="18"/>
              </w:rPr>
              <w:t xml:space="preserve">elative </w:t>
            </w:r>
            <w:r>
              <w:rPr>
                <w:szCs w:val="18"/>
              </w:rPr>
              <w:t>h</w:t>
            </w:r>
            <w:r w:rsidR="0096179D" w:rsidRPr="0096179D">
              <w:rPr>
                <w:szCs w:val="18"/>
              </w:rPr>
              <w:t>umidity</w:t>
            </w:r>
          </w:p>
          <w:p w14:paraId="2DF97680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  <w:p w14:paraId="5643DD7F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0495388B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temp</w:t>
            </w:r>
          </w:p>
          <w:p w14:paraId="6BA6D315" w14:textId="1F65BBF0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79FCBB5F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proofErr w:type="spellStart"/>
            <w:r w:rsidRPr="0096179D">
              <w:rPr>
                <w:szCs w:val="18"/>
              </w:rPr>
              <w:t>concn</w:t>
            </w:r>
            <w:proofErr w:type="spellEnd"/>
          </w:p>
          <w:p w14:paraId="6FAD1755" w14:textId="1CE79FE2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(ppm)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E650067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monitor 1</w:t>
            </w:r>
          </w:p>
          <w:p w14:paraId="63CD583E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BF20C8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monitor 2</w:t>
            </w:r>
          </w:p>
          <w:p w14:paraId="5A5985D3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76FE271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monitor 3</w:t>
            </w:r>
          </w:p>
          <w:p w14:paraId="5A4EED61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0F58466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mean</w:t>
            </w:r>
          </w:p>
          <w:p w14:paraId="05E4EE96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</w:tr>
      <w:tr w:rsidR="0096179D" w:rsidRPr="0096179D" w14:paraId="5D3DC2B8" w14:textId="77777777" w:rsidTr="00E5099C">
        <w:trPr>
          <w:trHeight w:hRule="exact" w:val="245"/>
        </w:trPr>
        <w:tc>
          <w:tcPr>
            <w:tcW w:w="91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67B0E7F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9E808FD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75AD8622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0.964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CFFB759" w14:textId="756E9804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98.</w:t>
            </w:r>
            <w:r w:rsidR="004A223B">
              <w:rPr>
                <w:szCs w:val="18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9298183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98.8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85A508F" w14:textId="69B3E66C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98.8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BD17336" w14:textId="5CB71D1D" w:rsidR="0096179D" w:rsidRPr="0096179D" w:rsidRDefault="00D67928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98.8</w:t>
            </w:r>
          </w:p>
        </w:tc>
      </w:tr>
      <w:tr w:rsidR="0096179D" w:rsidRPr="0096179D" w14:paraId="7AE2784E" w14:textId="77777777" w:rsidTr="00E5099C">
        <w:trPr>
          <w:trHeight w:hRule="exact" w:val="245"/>
        </w:trPr>
        <w:tc>
          <w:tcPr>
            <w:tcW w:w="91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5640076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81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8726CC3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8C329AB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0.984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2223AC5" w14:textId="6DB57324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105.7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6357381" w14:textId="340B4601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105.7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B9CF0D5" w14:textId="04B62B62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CFF478" w14:textId="147AE9E8" w:rsidR="0096179D" w:rsidRPr="0096179D" w:rsidRDefault="00D67928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104.1</w:t>
            </w:r>
          </w:p>
        </w:tc>
      </w:tr>
    </w:tbl>
    <w:p w14:paraId="6AECC330" w14:textId="77777777" w:rsidR="00550352" w:rsidRDefault="00550352" w:rsidP="006D19B7">
      <w:pPr>
        <w:rPr>
          <w:szCs w:val="18"/>
        </w:rPr>
      </w:pPr>
    </w:p>
    <w:p w14:paraId="77198F8D" w14:textId="52CA3816" w:rsidR="00AB1C6F" w:rsidRPr="00AB1C6F" w:rsidRDefault="00AB1C6F" w:rsidP="00AB1C6F">
      <w:pPr>
        <w:rPr>
          <w:szCs w:val="18"/>
        </w:rPr>
      </w:pPr>
      <w:r w:rsidRPr="00AB1C6F">
        <w:rPr>
          <w:szCs w:val="18"/>
        </w:rPr>
        <w:t xml:space="preserve">The </w:t>
      </w:r>
      <w:r w:rsidR="00C377C1">
        <w:rPr>
          <w:szCs w:val="18"/>
        </w:rPr>
        <w:t>IDLH</w:t>
      </w:r>
      <w:r w:rsidRPr="00AB1C6F">
        <w:rPr>
          <w:szCs w:val="18"/>
        </w:rPr>
        <w:t xml:space="preserve"> effects of low and high humidity were tested by monitoring dynamically generated controlled dry and humid test atmosphere containing chlorine nominally at the </w:t>
      </w:r>
      <w:r w:rsidR="000C0934">
        <w:rPr>
          <w:szCs w:val="18"/>
        </w:rPr>
        <w:t>IDLH</w:t>
      </w:r>
      <w:r w:rsidRPr="00AB1C6F">
        <w:rPr>
          <w:szCs w:val="18"/>
        </w:rPr>
        <w:t xml:space="preserve"> T</w:t>
      </w:r>
      <w:r w:rsidRPr="00AB1C6F">
        <w:rPr>
          <w:szCs w:val="18"/>
          <w:vertAlign w:val="subscript"/>
        </w:rPr>
        <w:t>C</w:t>
      </w:r>
      <w:r w:rsidRPr="00AB1C6F">
        <w:rPr>
          <w:szCs w:val="18"/>
        </w:rPr>
        <w:t xml:space="preserve"> for </w:t>
      </w:r>
      <w:r w:rsidR="000C0934">
        <w:rPr>
          <w:szCs w:val="18"/>
        </w:rPr>
        <w:t>3 minutes</w:t>
      </w:r>
      <w:r w:rsidRPr="00AB1C6F">
        <w:rPr>
          <w:szCs w:val="18"/>
        </w:rPr>
        <w:t xml:space="preserve">, respectively. The results of these tests are provided in Table </w:t>
      </w:r>
      <w:r w:rsidR="005969FD">
        <w:rPr>
          <w:szCs w:val="18"/>
        </w:rPr>
        <w:t>9</w:t>
      </w:r>
      <w:r w:rsidRPr="00AB1C6F">
        <w:rPr>
          <w:szCs w:val="18"/>
        </w:rPr>
        <w:t>, along with the concentration of each test atmosphere. The effect of humidity 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∆</m:t>
            </m:r>
          </m:e>
          <m:sub>
            <m:r>
              <w:rPr>
                <w:rFonts w:ascii="Cambria Math" w:hAnsi="Cambria Math"/>
                <w:szCs w:val="18"/>
              </w:rPr>
              <m:t>h_IDLH</m:t>
            </m:r>
          </m:sub>
        </m:sSub>
      </m:oMath>
      <w:r w:rsidRPr="00AB1C6F">
        <w:rPr>
          <w:szCs w:val="18"/>
        </w:rPr>
        <w:t xml:space="preserve">), calculated as the absolute difference between the mean humid recovery and the mean dry recovery was </w:t>
      </w:r>
      <w:r w:rsidR="008A1A4C">
        <w:rPr>
          <w:szCs w:val="18"/>
        </w:rPr>
        <w:t>3.4</w:t>
      </w:r>
      <w:r w:rsidRPr="00AB1C6F">
        <w:rPr>
          <w:szCs w:val="18"/>
        </w:rPr>
        <w:t>%.</w:t>
      </w:r>
    </w:p>
    <w:p w14:paraId="2AA4FAE0" w14:textId="77777777" w:rsidR="00AB1C6F" w:rsidRPr="00AB1C6F" w:rsidRDefault="00AB1C6F" w:rsidP="00AB1C6F">
      <w:pPr>
        <w:rPr>
          <w:szCs w:val="18"/>
        </w:rPr>
      </w:pPr>
    </w:p>
    <w:p w14:paraId="16393786" w14:textId="6919BF83" w:rsidR="00AB1C6F" w:rsidRPr="00AB1C6F" w:rsidRDefault="00AB1C6F" w:rsidP="00AB1C6F">
      <w:pPr>
        <w:rPr>
          <w:szCs w:val="18"/>
        </w:rPr>
      </w:pPr>
      <w:r w:rsidRPr="00AB1C6F">
        <w:rPr>
          <w:b/>
          <w:szCs w:val="18"/>
        </w:rPr>
        <w:t xml:space="preserve">Table </w:t>
      </w:r>
      <w:r w:rsidR="005969FD">
        <w:rPr>
          <w:b/>
          <w:szCs w:val="18"/>
        </w:rPr>
        <w:t>9</w:t>
      </w:r>
      <w:r w:rsidRPr="00AB1C6F">
        <w:rPr>
          <w:b/>
          <w:szCs w:val="18"/>
        </w:rPr>
        <w:t>.</w:t>
      </w:r>
      <w:r w:rsidRPr="00AB1C6F">
        <w:rPr>
          <w:szCs w:val="18"/>
        </w:rPr>
        <w:t xml:space="preserve"> Humidity data for chlorine (</w:t>
      </w:r>
      <w:r>
        <w:rPr>
          <w:szCs w:val="18"/>
        </w:rPr>
        <w:t>IDLH</w:t>
      </w:r>
      <w:r w:rsidRPr="00AB1C6F">
        <w:rPr>
          <w:szCs w:val="18"/>
        </w:rPr>
        <w:t xml:space="preserve">, </w:t>
      </w:r>
      <w:r w:rsidRPr="00AB1C6F">
        <w:rPr>
          <w:iCs/>
          <w:szCs w:val="18"/>
        </w:rPr>
        <w:t xml:space="preserve">ppm values listed </w:t>
      </w:r>
      <w:r w:rsidRPr="00AB1C6F">
        <w:rPr>
          <w:szCs w:val="18"/>
        </w:rPr>
        <w:t>at 760 mmHg and 25 °C).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710"/>
        <w:gridCol w:w="1275"/>
        <w:gridCol w:w="1275"/>
        <w:gridCol w:w="1275"/>
        <w:gridCol w:w="1275"/>
        <w:gridCol w:w="1275"/>
        <w:gridCol w:w="1275"/>
      </w:tblGrid>
      <w:tr w:rsidR="00AB1C6F" w:rsidRPr="00AB1C6F" w14:paraId="6769D479" w14:textId="77777777" w:rsidTr="00AB1C6F">
        <w:trPr>
          <w:trHeight w:hRule="exact" w:val="523"/>
        </w:trPr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C13C27C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relative humidity</w:t>
            </w:r>
          </w:p>
          <w:p w14:paraId="0D18C85F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  <w:p w14:paraId="0ACB9645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3F50798F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temp</w:t>
            </w:r>
          </w:p>
          <w:p w14:paraId="0D542809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7090A6E0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proofErr w:type="spellStart"/>
            <w:r w:rsidRPr="00AB1C6F">
              <w:rPr>
                <w:szCs w:val="18"/>
              </w:rPr>
              <w:t>concn</w:t>
            </w:r>
            <w:proofErr w:type="spellEnd"/>
          </w:p>
          <w:p w14:paraId="785ED5C2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(ppm)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B7361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monitor 1</w:t>
            </w:r>
          </w:p>
          <w:p w14:paraId="28C62C7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5A50ECC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monitor 2</w:t>
            </w:r>
          </w:p>
          <w:p w14:paraId="38359714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F1B47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monitor 3</w:t>
            </w:r>
          </w:p>
          <w:p w14:paraId="25A5A0D6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E17F69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mean</w:t>
            </w:r>
          </w:p>
          <w:p w14:paraId="585C4903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</w:tr>
      <w:tr w:rsidR="00AB1C6F" w:rsidRPr="00AB1C6F" w14:paraId="4ACD203B" w14:textId="77777777" w:rsidTr="00AB1C6F">
        <w:trPr>
          <w:trHeight w:hRule="exact" w:val="245"/>
        </w:trPr>
        <w:tc>
          <w:tcPr>
            <w:tcW w:w="91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20924BC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3D32707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268CEC25" w14:textId="5539318B" w:rsidR="00AB1C6F" w:rsidRPr="00AB1C6F" w:rsidRDefault="00C01DC7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9.96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74C0E8D" w14:textId="195C9D41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100.4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BD6F92A" w14:textId="7A24029B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1216DBD" w14:textId="2727BB20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103.4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A7BCF52" w14:textId="6492663E" w:rsidR="00AB1C6F" w:rsidRPr="00AB1C6F" w:rsidRDefault="000F7C5C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101.7</w:t>
            </w:r>
          </w:p>
        </w:tc>
      </w:tr>
      <w:tr w:rsidR="00AB1C6F" w:rsidRPr="00AB1C6F" w14:paraId="3FCB6674" w14:textId="77777777" w:rsidTr="00AB1C6F">
        <w:trPr>
          <w:trHeight w:hRule="exact" w:val="245"/>
        </w:trPr>
        <w:tc>
          <w:tcPr>
            <w:tcW w:w="91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A5A4E0D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81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57121A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0254189" w14:textId="01B74D61" w:rsidR="00AB1C6F" w:rsidRPr="00AB1C6F" w:rsidRDefault="00C01DC7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9.99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0500940" w14:textId="1B3A2E7A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106.1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97FA5FA" w14:textId="2C2486F9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107.1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0F5DD6" w14:textId="7811BE13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102.1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58F9171" w14:textId="2F1F65A6" w:rsidR="00AB1C6F" w:rsidRPr="00AB1C6F" w:rsidRDefault="000F7C5C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105.1</w:t>
            </w:r>
          </w:p>
        </w:tc>
      </w:tr>
    </w:tbl>
    <w:p w14:paraId="0E39A038" w14:textId="77777777" w:rsidR="003D0CD7" w:rsidRPr="00BD0B77" w:rsidRDefault="003D0CD7" w:rsidP="003D0CD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Effect of </w:t>
      </w:r>
      <w:r w:rsidRPr="00BD0B77">
        <w:rPr>
          <w:rFonts w:eastAsiaTheme="minorEastAsia"/>
        </w:rPr>
        <w:t>Interferents</w:t>
      </w:r>
    </w:p>
    <w:p w14:paraId="4D6EE61A" w14:textId="381FEB42" w:rsidR="003D0CD7" w:rsidRDefault="009B4765" w:rsidP="003D0CD7">
      <w:pPr>
        <w:rPr>
          <w:rFonts w:eastAsiaTheme="minorEastAsia"/>
          <w:spacing w:val="-2"/>
          <w:szCs w:val="18"/>
        </w:rPr>
      </w:pPr>
      <w:r>
        <w:rPr>
          <w:rFonts w:eastAsiaTheme="minorEastAsia"/>
          <w:spacing w:val="-2"/>
          <w:szCs w:val="18"/>
        </w:rPr>
        <w:t xml:space="preserve">Any substances that </w:t>
      </w:r>
      <w:r w:rsidR="00BA1303">
        <w:rPr>
          <w:rFonts w:eastAsiaTheme="minorEastAsia"/>
          <w:spacing w:val="-2"/>
          <w:szCs w:val="18"/>
        </w:rPr>
        <w:t>interact</w:t>
      </w:r>
      <w:r w:rsidR="00EA4498">
        <w:rPr>
          <w:rFonts w:eastAsiaTheme="minorEastAsia"/>
          <w:spacing w:val="-2"/>
          <w:szCs w:val="18"/>
        </w:rPr>
        <w:t xml:space="preserve"> with the working electrode </w:t>
      </w:r>
      <w:r w:rsidR="009A761D">
        <w:rPr>
          <w:rFonts w:eastAsiaTheme="minorEastAsia"/>
          <w:spacing w:val="-2"/>
          <w:szCs w:val="18"/>
        </w:rPr>
        <w:t xml:space="preserve">of </w:t>
      </w:r>
      <w:r w:rsidR="00EA4498" w:rsidRPr="00EA4498">
        <w:rPr>
          <w:rFonts w:eastAsiaTheme="minorEastAsia"/>
          <w:spacing w:val="-2"/>
          <w:szCs w:val="18"/>
        </w:rPr>
        <w:t xml:space="preserve">the </w:t>
      </w:r>
      <w:r w:rsidR="00434274">
        <w:rPr>
          <w:rFonts w:eastAsiaTheme="minorEastAsia"/>
          <w:spacing w:val="-2"/>
          <w:szCs w:val="18"/>
        </w:rPr>
        <w:t>C</w:t>
      </w:r>
      <w:r w:rsidR="00D4719A">
        <w:rPr>
          <w:rFonts w:eastAsiaTheme="minorEastAsia"/>
          <w:spacing w:val="-2"/>
          <w:szCs w:val="18"/>
        </w:rPr>
        <w:t>l</w:t>
      </w:r>
      <w:r w:rsidR="00434274" w:rsidRPr="00D4719A">
        <w:rPr>
          <w:rFonts w:eastAsiaTheme="minorEastAsia"/>
          <w:spacing w:val="-2"/>
          <w:szCs w:val="18"/>
          <w:vertAlign w:val="subscript"/>
        </w:rPr>
        <w:t>2</w:t>
      </w:r>
      <w:r w:rsidR="00EA4498" w:rsidRPr="00EA4498">
        <w:rPr>
          <w:rFonts w:eastAsiaTheme="minorEastAsia"/>
          <w:spacing w:val="-2"/>
          <w:szCs w:val="18"/>
        </w:rPr>
        <w:t xml:space="preserve"> electrochemical sensor </w:t>
      </w:r>
      <w:r w:rsidR="002D7191">
        <w:rPr>
          <w:rFonts w:eastAsiaTheme="minorEastAsia"/>
          <w:spacing w:val="-2"/>
          <w:szCs w:val="18"/>
        </w:rPr>
        <w:t xml:space="preserve">can potentially interfere with </w:t>
      </w:r>
      <w:r w:rsidR="0023425A">
        <w:rPr>
          <w:rFonts w:eastAsiaTheme="minorEastAsia"/>
          <w:spacing w:val="-2"/>
          <w:szCs w:val="18"/>
        </w:rPr>
        <w:t>measur</w:t>
      </w:r>
      <w:r w:rsidR="00C616AA">
        <w:rPr>
          <w:rFonts w:eastAsiaTheme="minorEastAsia"/>
          <w:spacing w:val="-2"/>
          <w:szCs w:val="18"/>
        </w:rPr>
        <w:t>ements during</w:t>
      </w:r>
      <w:r w:rsidR="009D1624">
        <w:rPr>
          <w:rFonts w:eastAsiaTheme="minorEastAsia"/>
          <w:spacing w:val="-2"/>
          <w:szCs w:val="18"/>
        </w:rPr>
        <w:t xml:space="preserve"> </w:t>
      </w:r>
      <w:r w:rsidR="00434274">
        <w:rPr>
          <w:rFonts w:eastAsiaTheme="minorEastAsia"/>
          <w:spacing w:val="-2"/>
          <w:szCs w:val="18"/>
        </w:rPr>
        <w:t>C</w:t>
      </w:r>
      <w:r w:rsidR="001A3521">
        <w:rPr>
          <w:rFonts w:eastAsiaTheme="minorEastAsia"/>
          <w:spacing w:val="-2"/>
          <w:szCs w:val="18"/>
        </w:rPr>
        <w:t>l</w:t>
      </w:r>
      <w:r w:rsidR="00434274" w:rsidRPr="001A3521">
        <w:rPr>
          <w:rFonts w:eastAsiaTheme="minorEastAsia"/>
          <w:spacing w:val="-2"/>
          <w:szCs w:val="18"/>
          <w:vertAlign w:val="subscript"/>
        </w:rPr>
        <w:t>2</w:t>
      </w:r>
      <w:r w:rsidR="00C616AA">
        <w:rPr>
          <w:rFonts w:eastAsiaTheme="minorEastAsia"/>
          <w:spacing w:val="-2"/>
          <w:szCs w:val="18"/>
        </w:rPr>
        <w:t xml:space="preserve"> monitoring</w:t>
      </w:r>
      <w:r w:rsidR="009D1624">
        <w:rPr>
          <w:rFonts w:eastAsiaTheme="minorEastAsia"/>
          <w:spacing w:val="-2"/>
          <w:szCs w:val="18"/>
        </w:rPr>
        <w:t>.</w:t>
      </w:r>
      <w:r w:rsidR="00C71791">
        <w:rPr>
          <w:rFonts w:eastAsiaTheme="minorEastAsia"/>
          <w:spacing w:val="-2"/>
          <w:szCs w:val="18"/>
        </w:rPr>
        <w:t xml:space="preserve"> Due to high cross-sensitivities of the sensor to </w:t>
      </w:r>
      <w:r w:rsidR="00202277">
        <w:rPr>
          <w:rFonts w:eastAsiaTheme="minorEastAsia"/>
          <w:spacing w:val="-2"/>
          <w:szCs w:val="18"/>
        </w:rPr>
        <w:t>bromine, fluorine, chlorine dioxide</w:t>
      </w:r>
      <w:r w:rsidR="000D5ACA">
        <w:rPr>
          <w:rFonts w:eastAsiaTheme="minorEastAsia"/>
          <w:spacing w:val="-2"/>
          <w:szCs w:val="18"/>
        </w:rPr>
        <w:t xml:space="preserve"> (positive)</w:t>
      </w:r>
      <w:r w:rsidR="00202277">
        <w:rPr>
          <w:rFonts w:eastAsiaTheme="minorEastAsia"/>
          <w:spacing w:val="-2"/>
          <w:szCs w:val="18"/>
        </w:rPr>
        <w:t xml:space="preserve"> and hydrogen sulfide (negative)</w:t>
      </w:r>
      <w:r w:rsidR="00A21ED4">
        <w:rPr>
          <w:rFonts w:eastAsiaTheme="minorEastAsia"/>
          <w:spacing w:val="-2"/>
          <w:szCs w:val="18"/>
        </w:rPr>
        <w:t xml:space="preserve">, it is necessary to confirm the presence of these </w:t>
      </w:r>
      <w:r w:rsidR="00787F8A">
        <w:rPr>
          <w:rFonts w:eastAsiaTheme="minorEastAsia"/>
          <w:spacing w:val="-2"/>
          <w:szCs w:val="18"/>
        </w:rPr>
        <w:t>substances</w:t>
      </w:r>
      <w:r w:rsidR="00A21ED4">
        <w:rPr>
          <w:rFonts w:eastAsiaTheme="minorEastAsia"/>
          <w:spacing w:val="-2"/>
          <w:szCs w:val="18"/>
        </w:rPr>
        <w:t xml:space="preserve"> in the contaminated air if suspected.</w:t>
      </w:r>
      <w:r w:rsidR="00C331AE">
        <w:rPr>
          <w:rFonts w:eastAsiaTheme="minorEastAsia"/>
          <w:spacing w:val="-2"/>
          <w:szCs w:val="18"/>
        </w:rPr>
        <w:t xml:space="preserve"> </w:t>
      </w:r>
      <w:r w:rsidR="001433FD">
        <w:rPr>
          <w:rFonts w:eastAsiaTheme="minorEastAsia"/>
          <w:spacing w:val="-2"/>
          <w:szCs w:val="18"/>
        </w:rPr>
        <w:t>For Dr</w:t>
      </w:r>
      <w:r w:rsidR="001433FD">
        <w:rPr>
          <w:rFonts w:eastAsiaTheme="minorEastAsia" w:cs="Arial"/>
          <w:spacing w:val="-2"/>
          <w:szCs w:val="18"/>
        </w:rPr>
        <w:t>ä</w:t>
      </w:r>
      <w:r w:rsidR="001433FD">
        <w:rPr>
          <w:rFonts w:eastAsiaTheme="minorEastAsia"/>
          <w:spacing w:val="-2"/>
          <w:szCs w:val="18"/>
        </w:rPr>
        <w:t xml:space="preserve">ger XXS sensors, see </w:t>
      </w:r>
      <w:proofErr w:type="spellStart"/>
      <w:r w:rsidR="001433FD" w:rsidRPr="00A33511">
        <w:rPr>
          <w:rFonts w:eastAsiaTheme="minorEastAsia"/>
          <w:i/>
          <w:iCs/>
          <w:spacing w:val="-2"/>
          <w:szCs w:val="18"/>
        </w:rPr>
        <w:t>Dr</w:t>
      </w:r>
      <w:r w:rsidR="001433FD" w:rsidRPr="00A33511">
        <w:rPr>
          <w:rFonts w:eastAsiaTheme="minorEastAsia" w:cs="Arial"/>
          <w:i/>
          <w:iCs/>
          <w:spacing w:val="-2"/>
          <w:szCs w:val="18"/>
        </w:rPr>
        <w:t>ä</w:t>
      </w:r>
      <w:r w:rsidR="001433FD" w:rsidRPr="00A33511">
        <w:rPr>
          <w:rFonts w:eastAsiaTheme="minorEastAsia"/>
          <w:i/>
          <w:iCs/>
          <w:spacing w:val="-2"/>
          <w:szCs w:val="18"/>
        </w:rPr>
        <w:t>gerSensor</w:t>
      </w:r>
      <w:proofErr w:type="spellEnd"/>
      <w:r w:rsidR="001433FD" w:rsidRPr="00A33511">
        <w:rPr>
          <w:rFonts w:eastAsiaTheme="minorEastAsia"/>
          <w:i/>
          <w:iCs/>
          <w:spacing w:val="-2"/>
          <w:szCs w:val="18"/>
        </w:rPr>
        <w:t xml:space="preserve"> &amp; Portable Instruments Handbook</w:t>
      </w:r>
      <w:r w:rsidR="001433FD">
        <w:rPr>
          <w:rFonts w:eastAsiaTheme="minorEastAsia"/>
          <w:spacing w:val="-2"/>
          <w:szCs w:val="18"/>
        </w:rPr>
        <w:t xml:space="preserve"> for information on cross-sensitivities of selected substances.</w:t>
      </w:r>
      <w:r w:rsidR="001433FD" w:rsidRPr="00E86D69">
        <w:rPr>
          <w:rStyle w:val="EndnoteReference"/>
          <w:rFonts w:eastAsiaTheme="minorEastAsia"/>
          <w:spacing w:val="-2"/>
          <w:szCs w:val="18"/>
          <w:vertAlign w:val="superscript"/>
        </w:rPr>
        <w:endnoteReference w:id="4"/>
      </w:r>
    </w:p>
    <w:bookmarkEnd w:id="7"/>
    <w:p w14:paraId="6CDDEFE5" w14:textId="128A1C9C" w:rsidR="001A6ABA" w:rsidRDefault="001A6ABA" w:rsidP="00E24551">
      <w:pPr>
        <w:pStyle w:val="Heading2"/>
      </w:pPr>
      <w:r>
        <w:t xml:space="preserve">Effect of </w:t>
      </w:r>
      <w:r w:rsidR="00767D83">
        <w:t>Intermittent</w:t>
      </w:r>
      <w:r w:rsidR="00E24551">
        <w:t xml:space="preserve"> Exposure</w:t>
      </w:r>
    </w:p>
    <w:p w14:paraId="3E2727DB" w14:textId="1C153F0E" w:rsidR="00A156CB" w:rsidRDefault="006D08AD" w:rsidP="006D08AD">
      <w:bookmarkStart w:id="9" w:name="_Hlk166244248"/>
      <w:bookmarkStart w:id="10" w:name="_Hlk137470510"/>
      <w:r w:rsidRPr="006D08AD">
        <w:t xml:space="preserve">The </w:t>
      </w:r>
      <w:r w:rsidR="00CB7367">
        <w:t xml:space="preserve">8-hour TWA </w:t>
      </w:r>
      <w:r w:rsidRPr="006D08AD">
        <w:t xml:space="preserve">effect of </w:t>
      </w:r>
      <w:r w:rsidR="00932781">
        <w:t>intermittent exposure</w:t>
      </w:r>
      <w:r w:rsidRPr="006D08AD">
        <w:t xml:space="preserve"> was tested by monitoring a dynamically generated controlled test atmosphere</w:t>
      </w:r>
      <w:r w:rsidR="004B759C">
        <w:t xml:space="preserve"> </w:t>
      </w:r>
      <w:r w:rsidR="00702C96">
        <w:t xml:space="preserve">containing </w:t>
      </w:r>
      <w:r w:rsidR="00414924">
        <w:t>chlorine</w:t>
      </w:r>
      <w:r w:rsidRPr="006D08AD">
        <w:t xml:space="preserve"> nominally at the </w:t>
      </w:r>
      <w:r w:rsidR="001D227E"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="001D227E" w:rsidRPr="00BD0B77">
        <w:rPr>
          <w:rFonts w:eastAsia="Calibri" w:cs="Times New Roman"/>
          <w:szCs w:val="18"/>
        </w:rPr>
        <w:t>our TWA T</w:t>
      </w:r>
      <w:r w:rsidR="001D227E" w:rsidRPr="00BD0B77">
        <w:rPr>
          <w:rFonts w:eastAsia="Calibri" w:cs="Times New Roman"/>
          <w:szCs w:val="18"/>
          <w:vertAlign w:val="subscript"/>
        </w:rPr>
        <w:t>C</w:t>
      </w:r>
      <w:r w:rsidR="001D227E" w:rsidRPr="006D08AD">
        <w:t xml:space="preserve"> </w:t>
      </w:r>
      <w:r w:rsidRPr="006D08AD">
        <w:t xml:space="preserve">(calculated to be </w:t>
      </w:r>
      <w:r w:rsidR="00CC2B30">
        <w:t>0.998</w:t>
      </w:r>
      <w:r w:rsidRPr="006D08AD">
        <w:t xml:space="preserve"> ppm</w:t>
      </w:r>
      <w:r w:rsidR="0083761E">
        <w:t xml:space="preserve"> </w:t>
      </w:r>
      <w:r w:rsidRPr="006D08AD">
        <w:t xml:space="preserve">at 760 mmHg and 25 °C). The relative humidity and temperature of the air sampled were </w:t>
      </w:r>
      <w:r w:rsidR="00DB6B01">
        <w:t>46</w:t>
      </w:r>
      <w:r w:rsidRPr="006D08AD">
        <w:t>% and 2</w:t>
      </w:r>
      <w:r w:rsidR="00DB6B01">
        <w:t>2</w:t>
      </w:r>
      <w:r w:rsidRPr="006D08AD">
        <w:t xml:space="preserve"> °C. </w:t>
      </w:r>
      <w:r w:rsidR="002149D0" w:rsidRPr="004E7219">
        <w:t>All monitors</w:t>
      </w:r>
      <w:r w:rsidR="002644F6" w:rsidRPr="004E7219">
        <w:t xml:space="preserve"> were exposed to </w:t>
      </w:r>
      <w:r w:rsidR="001A712D" w:rsidRPr="004E7219">
        <w:t xml:space="preserve">the </w:t>
      </w:r>
      <w:r w:rsidR="00B04ED5" w:rsidRPr="004E7219">
        <w:t xml:space="preserve">test atmosphere for </w:t>
      </w:r>
      <w:r w:rsidR="005B336E">
        <w:t>7</w:t>
      </w:r>
      <w:r w:rsidR="00EF142F" w:rsidRPr="004E7219">
        <w:t xml:space="preserve"> </w:t>
      </w:r>
      <w:r w:rsidR="00A26D49" w:rsidRPr="004E7219">
        <w:t>second</w:t>
      </w:r>
      <w:r w:rsidR="00DF6B28" w:rsidRPr="004E7219">
        <w:t>s</w:t>
      </w:r>
      <w:r w:rsidR="005C4B7E">
        <w:t xml:space="preserve"> (</w:t>
      </w:r>
      <w:r w:rsidR="005C4B7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t=2.3×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C4B7E">
        <w:rPr>
          <w:szCs w:val="18"/>
        </w:rPr>
        <w:t>)</w:t>
      </w:r>
      <w:r w:rsidR="009C2E4C">
        <w:t xml:space="preserve"> </w:t>
      </w:r>
      <w:r w:rsidR="00EF142F" w:rsidRPr="004E7219">
        <w:t xml:space="preserve">followed by </w:t>
      </w:r>
      <w:r w:rsidR="00C42E4E">
        <w:t>7</w:t>
      </w:r>
      <w:r w:rsidR="008E6E9F">
        <w:t xml:space="preserve"> seconds of </w:t>
      </w:r>
      <w:r w:rsidR="00E95690" w:rsidRPr="004E7219">
        <w:t>clean</w:t>
      </w:r>
      <w:r w:rsidR="00057EC3" w:rsidRPr="004E7219">
        <w:t xml:space="preserve"> air </w:t>
      </w:r>
      <w:r w:rsidR="00A40A3C" w:rsidRPr="004E7219">
        <w:t>recovery</w:t>
      </w:r>
      <w:r w:rsidR="00216C48">
        <w:t xml:space="preserve">, where </w:t>
      </w:r>
      <w:r w:rsidR="00190E31">
        <w:t xml:space="preserve">the </w:t>
      </w:r>
      <w:r w:rsidR="008500DE">
        <w:t xml:space="preserve">exposure </w:t>
      </w:r>
      <w:r w:rsidR="00190E31">
        <w:t xml:space="preserve">cycle </w:t>
      </w:r>
      <w:r w:rsidR="008500DE">
        <w:t xml:space="preserve">was </w:t>
      </w:r>
      <w:r w:rsidR="00190E31">
        <w:t>repeated ten times</w:t>
      </w:r>
      <w:r w:rsidR="00B557CE">
        <w:t xml:space="preserve"> </w:t>
      </w:r>
      <w:r w:rsidR="0084339A">
        <w:t>for</w:t>
      </w:r>
      <w:r w:rsidR="00A40A3C" w:rsidRPr="004E7219">
        <w:t xml:space="preserve"> </w:t>
      </w:r>
      <w:r w:rsidR="00B557CE">
        <w:t xml:space="preserve">a </w:t>
      </w:r>
      <w:r w:rsidR="0028131A">
        <w:t>7</w:t>
      </w:r>
      <w:r w:rsidR="0036522B">
        <w:t>0</w:t>
      </w:r>
      <w:r w:rsidR="00B557CE">
        <w:t>-second intermittent exposure</w:t>
      </w:r>
      <w:r w:rsidR="00DF0824">
        <w:t>.</w:t>
      </w:r>
      <w:r w:rsidR="00C81354">
        <w:t xml:space="preserve"> S</w:t>
      </w:r>
      <w:r w:rsidR="00AB5A3B" w:rsidRPr="004E7219">
        <w:t>ubsequently</w:t>
      </w:r>
      <w:r w:rsidR="00C81354">
        <w:t>, the monitors were</w:t>
      </w:r>
      <w:r w:rsidR="00AB5A3B" w:rsidRPr="004E7219">
        <w:t xml:space="preserve"> exposed</w:t>
      </w:r>
      <w:r w:rsidR="005102C2" w:rsidRPr="004E7219">
        <w:t xml:space="preserve"> to the test atmosphere for </w:t>
      </w:r>
      <w:r w:rsidR="002907A2" w:rsidRPr="004E7219">
        <w:t xml:space="preserve">a </w:t>
      </w:r>
      <w:r w:rsidR="007C0CE7">
        <w:t>7</w:t>
      </w:r>
      <w:r w:rsidR="00D64D3C" w:rsidRPr="004E7219">
        <w:t>0</w:t>
      </w:r>
      <w:r w:rsidR="002907A2" w:rsidRPr="004E7219">
        <w:t>-</w:t>
      </w:r>
      <w:r w:rsidR="00E9065B" w:rsidRPr="004E7219">
        <w:t>second</w:t>
      </w:r>
      <w:r w:rsidR="002907A2" w:rsidRPr="004E7219">
        <w:t xml:space="preserve"> steady exposure</w:t>
      </w:r>
      <w:r w:rsidR="0054130A" w:rsidRPr="004E7219">
        <w:t xml:space="preserve">. </w:t>
      </w:r>
      <w:r w:rsidRPr="006D08AD">
        <w:t xml:space="preserve">Results as a percentage of expected recovery of the three monitors </w:t>
      </w:r>
      <w:r w:rsidR="008F1982">
        <w:t xml:space="preserve">are </w:t>
      </w:r>
      <w:r w:rsidR="00465CCE">
        <w:t>provided</w:t>
      </w:r>
      <w:r w:rsidR="00D95CD0">
        <w:t xml:space="preserve"> in Table </w:t>
      </w:r>
      <w:r w:rsidR="005969FD">
        <w:t>10</w:t>
      </w:r>
      <w:r w:rsidRPr="006D08AD">
        <w:t xml:space="preserve">. The effect of </w:t>
      </w:r>
      <w:r w:rsidR="00D21260">
        <w:t>intermittent exposure</w:t>
      </w:r>
      <w:r w:rsidRPr="006D08AD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ie_TWA</m:t>
            </m:r>
          </m:sub>
        </m:sSub>
      </m:oMath>
      <w:r w:rsidRPr="006D08AD">
        <w:t xml:space="preserve">), calculated as the absolute difference between the mean </w:t>
      </w:r>
      <w:r w:rsidR="002B2044">
        <w:t xml:space="preserve">intermittent </w:t>
      </w:r>
      <w:r w:rsidR="00937388">
        <w:t>exposure</w:t>
      </w:r>
      <w:r w:rsidR="002B2044">
        <w:t xml:space="preserve"> recov</w:t>
      </w:r>
      <w:r w:rsidR="001760E0">
        <w:t>ery</w:t>
      </w:r>
      <w:r w:rsidR="00937388">
        <w:t xml:space="preserve"> </w:t>
      </w:r>
      <w:r w:rsidRPr="006D08AD">
        <w:t>and the mean</w:t>
      </w:r>
      <w:r w:rsidR="00BD2CA1">
        <w:t xml:space="preserve"> </w:t>
      </w:r>
      <w:r w:rsidR="002B2044">
        <w:t xml:space="preserve">steady exposure </w:t>
      </w:r>
      <w:r w:rsidRPr="006D08AD">
        <w:t xml:space="preserve">recovery, was </w:t>
      </w:r>
      <w:r w:rsidR="0015489B">
        <w:t>50</w:t>
      </w:r>
      <w:r w:rsidRPr="006D08AD">
        <w:t>%.</w:t>
      </w:r>
    </w:p>
    <w:p w14:paraId="7164C6DC" w14:textId="77777777" w:rsidR="00C62DBB" w:rsidRDefault="00C62DBB" w:rsidP="006D08AD">
      <w:pPr>
        <w:rPr>
          <w:b/>
          <w:szCs w:val="18"/>
        </w:rPr>
      </w:pPr>
    </w:p>
    <w:p w14:paraId="37103264" w14:textId="572F5A19" w:rsidR="00BD6810" w:rsidRPr="00487106" w:rsidRDefault="00BD6810" w:rsidP="00BD681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Intermittent exposure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D6810" w:rsidRPr="00A746DC" w14:paraId="1B4D2815" w14:textId="77777777" w:rsidTr="00456A9D">
        <w:trPr>
          <w:trHeight w:hRule="exact" w:val="49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69F74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total exposure time (s)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3F32B0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A8834A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6588C4F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E0BA1F8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F5176D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34813F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F326449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B3E2CE4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966422" w:rsidRPr="00A746DC" w14:paraId="30C31D2C" w14:textId="77777777" w:rsidTr="007D28F7">
        <w:trPr>
          <w:trHeight w:hRule="exact" w:val="245"/>
        </w:trPr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076DD7" w14:textId="1A50C4F7" w:rsidR="00966422" w:rsidRPr="00BD2142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  <w:r w:rsidRPr="00BD2142">
              <w:rPr>
                <w:szCs w:val="18"/>
              </w:rPr>
              <w:t>0 (intermittent)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A0DC480" w14:textId="34E31E09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153.1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D380B7C" w14:textId="1D52FABB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149.1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A1D7B98" w14:textId="53D98405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149.5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1B7778" w14:textId="5FF74A70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150.6</w:t>
            </w:r>
          </w:p>
        </w:tc>
      </w:tr>
      <w:tr w:rsidR="00966422" w:rsidRPr="00A746DC" w14:paraId="25AC6D58" w14:textId="77777777" w:rsidTr="00456A9D">
        <w:trPr>
          <w:trHeight w:hRule="exact" w:val="245"/>
        </w:trPr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42EE03" w14:textId="64D371C2" w:rsidR="00966422" w:rsidRPr="00BD2142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  <w:r w:rsidRPr="00BD2142">
              <w:rPr>
                <w:szCs w:val="18"/>
              </w:rPr>
              <w:t>0 (steady)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B1B870" w14:textId="7DFAE6D9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103.1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FD883E" w14:textId="7947F2DD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99.2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60670B" w14:textId="3559792A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100.6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05E1DDD" w14:textId="00DBA579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101.0</w:t>
            </w:r>
          </w:p>
        </w:tc>
      </w:tr>
    </w:tbl>
    <w:bookmarkEnd w:id="9"/>
    <w:bookmarkEnd w:id="10"/>
    <w:p w14:paraId="31A18EBC" w14:textId="694F4B97" w:rsidR="002A6242" w:rsidRPr="002A6242" w:rsidRDefault="002A6242" w:rsidP="002A6242">
      <w:pPr>
        <w:pStyle w:val="Heading2"/>
      </w:pPr>
      <w:r>
        <w:t>Effect of Temperature</w:t>
      </w:r>
    </w:p>
    <w:p w14:paraId="7CC56A12" w14:textId="740EFD7D" w:rsidR="00E97BDC" w:rsidRDefault="003B1129" w:rsidP="00E97BDC">
      <w:bookmarkStart w:id="11" w:name="_Hlk205277811"/>
      <w:r w:rsidRPr="003B1129">
        <w:t xml:space="preserve">The </w:t>
      </w:r>
      <w:r w:rsidR="0039713C">
        <w:t>8-hour TWA</w:t>
      </w:r>
      <w:r w:rsidR="00030B4F">
        <w:t xml:space="preserve"> and ceiling</w:t>
      </w:r>
      <w:r w:rsidR="0039713C">
        <w:t xml:space="preserve"> </w:t>
      </w:r>
      <w:r w:rsidRPr="003B1129">
        <w:t>effect</w:t>
      </w:r>
      <w:r w:rsidR="00391FA7">
        <w:t>s</w:t>
      </w:r>
      <w:r w:rsidRPr="003B1129">
        <w:t xml:space="preserve"> of </w:t>
      </w:r>
      <w:r>
        <w:t>temperature</w:t>
      </w:r>
      <w:r w:rsidRPr="003B1129">
        <w:t xml:space="preserve"> w</w:t>
      </w:r>
      <w:r w:rsidR="00391FA7">
        <w:t>ere</w:t>
      </w:r>
      <w:r w:rsidRPr="003B1129">
        <w:t xml:space="preserve"> tested by</w:t>
      </w:r>
      <w:r w:rsidR="00AB5CA9">
        <w:t xml:space="preserve"> </w:t>
      </w:r>
      <w:r w:rsidR="00172D2D" w:rsidRPr="00172D2D">
        <w:t xml:space="preserve">monitoring a dynamically generated controlled test atmosphere containing </w:t>
      </w:r>
      <w:r w:rsidR="00414924">
        <w:t>chlorine</w:t>
      </w:r>
      <w:r w:rsidR="00172D2D" w:rsidRPr="00172D2D">
        <w:t xml:space="preserve"> nominally at </w:t>
      </w:r>
      <w:r w:rsidR="00056192">
        <w:t xml:space="preserve">the </w:t>
      </w:r>
      <w:r w:rsidR="00056192" w:rsidRPr="00BD0B77">
        <w:rPr>
          <w:rFonts w:eastAsia="Calibri" w:cs="Times New Roman"/>
          <w:szCs w:val="18"/>
        </w:rPr>
        <w:t>8-</w:t>
      </w:r>
      <w:r w:rsidR="00056192">
        <w:rPr>
          <w:rFonts w:eastAsia="Calibri" w:cs="Times New Roman"/>
          <w:szCs w:val="18"/>
        </w:rPr>
        <w:t>h</w:t>
      </w:r>
      <w:r w:rsidR="00056192" w:rsidRPr="00BD0B77">
        <w:rPr>
          <w:rFonts w:eastAsia="Calibri" w:cs="Times New Roman"/>
          <w:szCs w:val="18"/>
        </w:rPr>
        <w:t>our TWA</w:t>
      </w:r>
      <w:r w:rsidR="00865C7D">
        <w:rPr>
          <w:rFonts w:eastAsia="Calibri" w:cs="Times New Roman"/>
          <w:szCs w:val="18"/>
        </w:rPr>
        <w:t xml:space="preserve"> and ceiling</w:t>
      </w:r>
      <w:r w:rsidR="00056192" w:rsidRPr="00BD0B77">
        <w:rPr>
          <w:rFonts w:eastAsia="Calibri" w:cs="Times New Roman"/>
          <w:szCs w:val="18"/>
        </w:rPr>
        <w:t xml:space="preserve"> T</w:t>
      </w:r>
      <w:r w:rsidR="00056192" w:rsidRPr="00BD0B77">
        <w:rPr>
          <w:rFonts w:eastAsia="Calibri" w:cs="Times New Roman"/>
          <w:szCs w:val="18"/>
          <w:vertAlign w:val="subscript"/>
        </w:rPr>
        <w:t>C</w:t>
      </w:r>
      <w:r w:rsidR="00056192" w:rsidRPr="00172D2D">
        <w:t xml:space="preserve"> </w:t>
      </w:r>
      <w:r w:rsidR="00172D2D" w:rsidRPr="00172D2D">
        <w:t>(calculated at 760 mmHg and 25 °C).</w:t>
      </w:r>
      <w:r w:rsidR="002351EC">
        <w:t xml:space="preserve"> </w:t>
      </w:r>
      <w:r w:rsidR="002351EC" w:rsidRPr="006D08AD">
        <w:t xml:space="preserve">The </w:t>
      </w:r>
      <w:r w:rsidR="002351EC" w:rsidRPr="006D08AD">
        <w:lastRenderedPageBreak/>
        <w:t xml:space="preserve">relative humidity and temperature of the air sampled were </w:t>
      </w:r>
      <w:r w:rsidR="005A4C8C">
        <w:t>43</w:t>
      </w:r>
      <w:r w:rsidR="002351EC" w:rsidRPr="006D08AD">
        <w:t>% and 2</w:t>
      </w:r>
      <w:r w:rsidR="00650528">
        <w:t>1</w:t>
      </w:r>
      <w:r w:rsidR="002351EC" w:rsidRPr="006D08AD">
        <w:t xml:space="preserve"> °C.</w:t>
      </w:r>
      <w:r w:rsidR="00172D2D" w:rsidRPr="00172D2D">
        <w:t xml:space="preserve"> </w:t>
      </w:r>
      <w:r w:rsidR="004E6C29">
        <w:t>Prior to obtaining readings, all</w:t>
      </w:r>
      <w:r w:rsidR="001D47D1">
        <w:t xml:space="preserve"> monitors </w:t>
      </w:r>
      <w:r w:rsidR="00023AC9">
        <w:t xml:space="preserve">and external pumps </w:t>
      </w:r>
      <w:r w:rsidR="001D47D1">
        <w:t xml:space="preserve">were </w:t>
      </w:r>
      <w:r w:rsidR="006730A5">
        <w:t>equilibrat</w:t>
      </w:r>
      <w:r w:rsidR="001D47D1">
        <w:t xml:space="preserve">ed </w:t>
      </w:r>
      <w:r w:rsidR="00975C27">
        <w:t>at</w:t>
      </w:r>
      <w:r w:rsidR="001D47D1">
        <w:t xml:space="preserve"> </w:t>
      </w:r>
      <w:r w:rsidR="009D741B">
        <w:t>4</w:t>
      </w:r>
      <w:r w:rsidR="006730A5">
        <w:t xml:space="preserve"> </w:t>
      </w:r>
      <w:r w:rsidR="006730A5" w:rsidRPr="003B1129">
        <w:t>°C</w:t>
      </w:r>
      <w:r w:rsidR="00311E94">
        <w:t>, 2</w:t>
      </w:r>
      <w:r w:rsidR="009D741B">
        <w:t>2</w:t>
      </w:r>
      <w:r w:rsidR="00311E94">
        <w:t xml:space="preserve"> </w:t>
      </w:r>
      <w:r w:rsidR="00311E94" w:rsidRPr="003B1129">
        <w:t>°C</w:t>
      </w:r>
      <w:r w:rsidR="00311E94">
        <w:t>, and</w:t>
      </w:r>
      <w:r w:rsidR="001B1BF1">
        <w:t xml:space="preserve"> </w:t>
      </w:r>
      <w:r w:rsidR="002812F0">
        <w:t>50</w:t>
      </w:r>
      <w:r w:rsidR="00AA0BDF">
        <w:t xml:space="preserve"> </w:t>
      </w:r>
      <w:r w:rsidR="00F7750A" w:rsidRPr="003B1129">
        <w:t>°C</w:t>
      </w:r>
      <w:r w:rsidR="00D57342">
        <w:t xml:space="preserve"> for </w:t>
      </w:r>
      <w:r w:rsidR="00311E94">
        <w:t>one</w:t>
      </w:r>
      <w:r w:rsidR="00975C27">
        <w:t xml:space="preserve"> hour</w:t>
      </w:r>
      <w:r w:rsidR="00F7750A">
        <w:t>.</w:t>
      </w:r>
      <w:r w:rsidR="009B44D1">
        <w:t xml:space="preserve"> </w:t>
      </w:r>
      <w:r w:rsidR="00056192" w:rsidRPr="00056192">
        <w:t xml:space="preserve">Monitor response was determined after exposure to the test atmosphere for </w:t>
      </w:r>
      <w:r w:rsidR="005A4C8C">
        <w:t>3</w:t>
      </w:r>
      <w:r w:rsidR="002812F0">
        <w:t xml:space="preserve"> minutes</w:t>
      </w:r>
      <w:r w:rsidR="00865C7D">
        <w:t>.</w:t>
      </w:r>
      <w:r w:rsidR="00056192">
        <w:t xml:space="preserve"> </w:t>
      </w:r>
      <w:r w:rsidR="009B44D1" w:rsidRPr="009B44D1">
        <w:t xml:space="preserve">The results of these tests are provided in Table </w:t>
      </w:r>
      <w:r w:rsidR="005969FD">
        <w:t>11</w:t>
      </w:r>
      <w:r w:rsidR="009B44D1" w:rsidRPr="009B44D1">
        <w:t>, along with the conc</w:t>
      </w:r>
      <w:r w:rsidR="009B44D1">
        <w:t>entr</w:t>
      </w:r>
      <w:r w:rsidR="009B44D1" w:rsidRPr="009B44D1">
        <w:t>ation of each test atmosphere.</w:t>
      </w:r>
      <w:r w:rsidR="009B44D1">
        <w:t xml:space="preserve"> </w:t>
      </w:r>
      <w:r w:rsidR="00E4325D" w:rsidRPr="00E4325D">
        <w:t xml:space="preserve">The effect of </w:t>
      </w:r>
      <w:r w:rsidR="00E4325D">
        <w:t xml:space="preserve">temperature </w:t>
      </w:r>
      <w:r w:rsidR="00E4325D"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T_TWA</m:t>
            </m:r>
          </m:sub>
        </m:sSub>
      </m:oMath>
      <w:r w:rsidR="006E36B0">
        <w:rPr>
          <w:rFonts w:eastAsiaTheme="minorEastAsia"/>
          <w:szCs w:val="18"/>
        </w:rPr>
        <w:t xml:space="preserve"> and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T_CLG</m:t>
            </m:r>
          </m:sub>
        </m:sSub>
      </m:oMath>
      <w:r w:rsidR="00E4325D" w:rsidRPr="006D08AD">
        <w:t xml:space="preserve">), </w:t>
      </w:r>
      <w:r w:rsidR="00E4325D" w:rsidRPr="00E4325D">
        <w:t xml:space="preserve">calculated as the absolute difference between the </w:t>
      </w:r>
      <w:r w:rsidR="00B438F2">
        <w:t>minimum</w:t>
      </w:r>
      <w:r w:rsidR="00E4325D" w:rsidRPr="00E4325D">
        <w:t xml:space="preserve"> </w:t>
      </w:r>
      <w:r w:rsidR="00C23F2E">
        <w:t xml:space="preserve">mean </w:t>
      </w:r>
      <w:r w:rsidR="00E4325D" w:rsidRPr="00E4325D">
        <w:t xml:space="preserve">recovery and the </w:t>
      </w:r>
      <w:r w:rsidR="00B438F2">
        <w:t>maximum</w:t>
      </w:r>
      <w:r w:rsidR="00E4325D" w:rsidRPr="00E4325D">
        <w:t xml:space="preserve"> </w:t>
      </w:r>
      <w:r w:rsidR="00C23F2E">
        <w:t>mean</w:t>
      </w:r>
      <w:r w:rsidR="00E4325D" w:rsidRPr="00E4325D">
        <w:t xml:space="preserve"> recovery </w:t>
      </w:r>
      <w:r w:rsidR="00B438F2">
        <w:t xml:space="preserve">through </w:t>
      </w:r>
      <w:r w:rsidR="00441A43">
        <w:t>all tested temperatures</w:t>
      </w:r>
      <w:r w:rsidR="00E4325D" w:rsidRPr="00E4325D">
        <w:t xml:space="preserve">, was </w:t>
      </w:r>
      <w:r w:rsidR="009713F8">
        <w:t>6.3</w:t>
      </w:r>
      <w:r w:rsidR="00E4325D" w:rsidRPr="00E4325D">
        <w:t>%</w:t>
      </w:r>
      <w:r w:rsidR="00E86D0C">
        <w:t>.</w:t>
      </w:r>
    </w:p>
    <w:bookmarkEnd w:id="11"/>
    <w:p w14:paraId="6D437732" w14:textId="77777777" w:rsidR="00923B78" w:rsidRDefault="00923B78" w:rsidP="00E97BDC">
      <w:pPr>
        <w:rPr>
          <w:b/>
          <w:szCs w:val="18"/>
        </w:rPr>
      </w:pPr>
    </w:p>
    <w:p w14:paraId="7D22693D" w14:textId="15646828" w:rsidR="00E97BDC" w:rsidRPr="00487106" w:rsidRDefault="00E97BDC" w:rsidP="00E97BD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1433CC"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>(8-hour TWA</w:t>
      </w:r>
      <w:r w:rsidR="00993E6B">
        <w:rPr>
          <w:szCs w:val="18"/>
        </w:rPr>
        <w:t xml:space="preserve"> and </w:t>
      </w:r>
      <w:r w:rsidR="006C055A">
        <w:rPr>
          <w:szCs w:val="18"/>
        </w:rPr>
        <w:t>c</w:t>
      </w:r>
      <w:r w:rsidR="00993E6B">
        <w:rPr>
          <w:szCs w:val="18"/>
        </w:rPr>
        <w:t>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66AE9" w:rsidRPr="00A746DC" w14:paraId="347EC1B7" w14:textId="77777777" w:rsidTr="00064524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53E2C6" w14:textId="75835B7F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C66AE9">
              <w:rPr>
                <w:szCs w:val="18"/>
              </w:rPr>
              <w:t>emperature</w:t>
            </w:r>
          </w:p>
          <w:p w14:paraId="2C2C5427" w14:textId="51EA79EA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4CE3F2D" w14:textId="77777777" w:rsidR="00C66AE9" w:rsidRP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7A29B36" w14:textId="575A812E" w:rsid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BA533E9" w14:textId="2B2AE512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BC54005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5D98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1E613F6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98A60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5251B7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9BEA1E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7166B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705ACF" w:rsidRPr="00A746DC" w14:paraId="0CEA160B" w14:textId="77777777" w:rsidTr="007D28F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DA62A4" w14:textId="7A8C1CED" w:rsidR="00705ACF" w:rsidRPr="00BD2142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01448DF" w14:textId="63D94B41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E0733A0" w14:textId="3EFA59EA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103.0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5545951" w14:textId="42FE3761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94.8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FF34A3E" w14:textId="54C6A400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94.8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3743A37" w14:textId="692A0D82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97.5</w:t>
            </w:r>
          </w:p>
        </w:tc>
      </w:tr>
      <w:tr w:rsidR="00705ACF" w:rsidRPr="00A746DC" w14:paraId="556274D9" w14:textId="77777777" w:rsidTr="007D28F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B5C511B" w14:textId="4E20F7A5" w:rsidR="00705ACF" w:rsidRPr="00BD2142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833" w:type="pct"/>
          </w:tcPr>
          <w:p w14:paraId="6F2C66E5" w14:textId="538661A6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6FA0399E" w14:textId="183C57F9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0CF672B" w14:textId="66DBD7D0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FB5D7BA" w14:textId="7CEF786C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E21E531" w14:textId="56F978E7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</w:t>
            </w:r>
            <w:r w:rsidR="00E84206">
              <w:t>.0</w:t>
            </w:r>
          </w:p>
        </w:tc>
      </w:tr>
      <w:tr w:rsidR="00705ACF" w:rsidRPr="00A746DC" w14:paraId="02621F03" w14:textId="77777777" w:rsidTr="007D28F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875A4" w14:textId="255F7811" w:rsidR="00705ACF" w:rsidRPr="00BD2142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2F5E20F" w14:textId="3C95E030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1.03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EE05E2" w14:textId="7C021B17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97.1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647DEE" w14:textId="6E7BE0B3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93.0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D3FE13C" w14:textId="3548B2C5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97.1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6B0A977" w14:textId="0F2D7997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95.7</w:t>
            </w:r>
          </w:p>
        </w:tc>
      </w:tr>
    </w:tbl>
    <w:p w14:paraId="3D297FD3" w14:textId="77777777" w:rsidR="00E97BDC" w:rsidRDefault="00E97BDC" w:rsidP="00E97BDC"/>
    <w:p w14:paraId="68648F8F" w14:textId="7F365388" w:rsidR="006B3A15" w:rsidRDefault="006B3A15" w:rsidP="006B3A15">
      <w:r w:rsidRPr="003B1129">
        <w:t xml:space="preserve">The </w:t>
      </w:r>
      <w:r>
        <w:t xml:space="preserve">IDLH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>monitoring a dynamically generated controlled test atmosphere</w:t>
      </w:r>
      <w:r>
        <w:t xml:space="preserve"> </w:t>
      </w:r>
      <w:r w:rsidRPr="00172D2D">
        <w:t xml:space="preserve">containing </w:t>
      </w:r>
      <w:r w:rsidR="00414924">
        <w:t>chlorine</w:t>
      </w:r>
      <w:r w:rsidRPr="00172D2D">
        <w:t xml:space="preserve">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72D2D">
        <w:t xml:space="preserve"> (calculated at 760 mmHg and 25 °C). </w:t>
      </w:r>
      <w:r w:rsidRPr="00450147">
        <w:t xml:space="preserve">The relative humidity and temperature of the air sampled were </w:t>
      </w:r>
      <w:r w:rsidR="00751B0C">
        <w:t>43</w:t>
      </w:r>
      <w:r w:rsidRPr="00450147">
        <w:t>% and 2</w:t>
      </w:r>
      <w:r w:rsidR="00983A19">
        <w:t>1</w:t>
      </w:r>
      <w:r w:rsidRPr="00450147">
        <w:t xml:space="preserve"> °C</w:t>
      </w:r>
      <w:r>
        <w:t>. Prior to obtaining readings, all monitors</w:t>
      </w:r>
      <w:r w:rsidR="00023AC9">
        <w:t xml:space="preserve"> and external pumps</w:t>
      </w:r>
      <w:r>
        <w:t xml:space="preserve"> were equilibrated at </w:t>
      </w:r>
      <w:r w:rsidR="00961953">
        <w:t>4</w:t>
      </w:r>
      <w:r>
        <w:t xml:space="preserve"> </w:t>
      </w:r>
      <w:r w:rsidRPr="003B1129">
        <w:t>°C</w:t>
      </w:r>
      <w:r>
        <w:t>, 2</w:t>
      </w:r>
      <w:r w:rsidR="00983A19">
        <w:t>2</w:t>
      </w:r>
      <w:r>
        <w:t xml:space="preserve"> </w:t>
      </w:r>
      <w:r w:rsidRPr="003B1129">
        <w:t>°C</w:t>
      </w:r>
      <w:r>
        <w:t xml:space="preserve">, and </w:t>
      </w:r>
      <w:r w:rsidR="00961953">
        <w:t>50</w:t>
      </w:r>
      <w:r>
        <w:t xml:space="preserve"> </w:t>
      </w:r>
      <w:r w:rsidRPr="003B1129">
        <w:t>°C</w:t>
      </w:r>
      <w:r>
        <w:t xml:space="preserve"> for one hour.</w:t>
      </w:r>
      <w:r w:rsidRPr="00C941CB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 xml:space="preserve">for </w:t>
      </w:r>
      <w:r w:rsidR="00751B0C">
        <w:rPr>
          <w:rFonts w:eastAsia="Calibri" w:cs="Times New Roman"/>
          <w:szCs w:val="18"/>
        </w:rPr>
        <w:t>3</w:t>
      </w:r>
      <w:r w:rsidR="00E744E4">
        <w:rPr>
          <w:rFonts w:eastAsia="Calibri" w:cs="Times New Roman"/>
          <w:szCs w:val="18"/>
        </w:rPr>
        <w:t xml:space="preserve"> minutes.</w:t>
      </w:r>
      <w:r>
        <w:rPr>
          <w:rFonts w:eastAsia="Calibri" w:cs="Times New Roman"/>
          <w:szCs w:val="18"/>
        </w:rPr>
        <w:t xml:space="preserve"> </w:t>
      </w:r>
      <w:r w:rsidRPr="009B44D1">
        <w:t xml:space="preserve">The results of these tests are provided in Table </w:t>
      </w:r>
      <w:r w:rsidR="005969FD">
        <w:t>12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T_IDLH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>
        <w:t>mean</w:t>
      </w:r>
      <w:r w:rsidRPr="00E4325D">
        <w:t xml:space="preserve"> recovery and the </w:t>
      </w:r>
      <w:r>
        <w:t>maximum</w:t>
      </w:r>
      <w:r w:rsidRPr="00E4325D">
        <w:t xml:space="preserve"> </w:t>
      </w:r>
      <w:r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 w:rsidR="009713F8">
        <w:t>5.3</w:t>
      </w:r>
      <w:r>
        <w:t>%</w:t>
      </w:r>
      <w:r w:rsidRPr="00E4325D">
        <w:t>.</w:t>
      </w:r>
    </w:p>
    <w:p w14:paraId="250603EF" w14:textId="77777777" w:rsidR="00164971" w:rsidRDefault="00164971" w:rsidP="006B3A15"/>
    <w:p w14:paraId="75E36432" w14:textId="7DDA4F46" w:rsidR="006B3A15" w:rsidRPr="00487106" w:rsidRDefault="006B3A15" w:rsidP="006B3A1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B3A15" w:rsidRPr="00A746DC" w14:paraId="087545D0" w14:textId="77777777">
        <w:trPr>
          <w:trHeight w:hRule="exact" w:val="514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87BA64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temperature</w:t>
            </w:r>
          </w:p>
          <w:p w14:paraId="05065B49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FE8A189" w14:textId="77777777" w:rsidR="006B3A15" w:rsidRPr="00C66AE9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7A89F070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D9F991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D47F35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C4F04E8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E7C0A0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7998EE7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690BFE0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C1CF84F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E6EB72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4E0559" w:rsidRPr="00A746DC" w14:paraId="7141E60C" w14:textId="77777777" w:rsidTr="007D28F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03EC98" w14:textId="61C70CA6" w:rsidR="004E0559" w:rsidRPr="00BD2142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F984741" w14:textId="171E3510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FF25FC0" w14:textId="6A57BA65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0505279" w14:textId="2A16CD55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104.0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4789A09" w14:textId="104901F0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104.0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1BA404F" w14:textId="246687B0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105.0</w:t>
            </w:r>
          </w:p>
        </w:tc>
      </w:tr>
      <w:tr w:rsidR="004E0559" w:rsidRPr="00A746DC" w14:paraId="4F13DD32" w14:textId="77777777" w:rsidTr="007D28F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82341EA" w14:textId="41C335DE" w:rsidR="004E0559" w:rsidRPr="00BD2142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833" w:type="pct"/>
          </w:tcPr>
          <w:p w14:paraId="4BA462AF" w14:textId="2E8F7E9F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9.97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C6AA1A5" w14:textId="488FE909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106.3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1C8417C" w14:textId="1AC5B0B9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A850658" w14:textId="45554596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C511EB4" w14:textId="12CA10E2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107.0</w:t>
            </w:r>
          </w:p>
        </w:tc>
      </w:tr>
      <w:tr w:rsidR="004E0559" w:rsidRPr="00A746DC" w14:paraId="35B08F7E" w14:textId="77777777" w:rsidTr="007D28F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19A01B" w14:textId="282863A5" w:rsidR="004E0559" w:rsidRPr="00BD2142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A1FF697" w14:textId="4EE3C993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43BCF8" w14:textId="453DA317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CB5662F" w14:textId="56A7EAF9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61E0F16" w14:textId="0898D518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103.0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A359C0E" w14:textId="590FDC48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101.7</w:t>
            </w:r>
          </w:p>
        </w:tc>
      </w:tr>
    </w:tbl>
    <w:p w14:paraId="5008A139" w14:textId="625FD0E7" w:rsidR="006B14A6" w:rsidRDefault="00566DAD" w:rsidP="006B14A6">
      <w:pPr>
        <w:pStyle w:val="Heading2"/>
      </w:pPr>
      <w:r>
        <w:t xml:space="preserve">Effect of </w:t>
      </w:r>
      <w:r w:rsidR="006B14A6">
        <w:t>Oversaturation</w:t>
      </w:r>
    </w:p>
    <w:p w14:paraId="761DF3D3" w14:textId="6EFADE83" w:rsidR="006B14A6" w:rsidRPr="00B42A6B" w:rsidRDefault="006B14A6" w:rsidP="006B14A6">
      <w:r w:rsidRPr="00B42A6B">
        <w:t xml:space="preserve">The effect of </w:t>
      </w:r>
      <w:r>
        <w:t>oversaturation</w:t>
      </w:r>
      <w:r w:rsidRPr="00B42A6B">
        <w:t xml:space="preserve"> was tested by monitoring a dynamically generated controlled test atmosphere</w:t>
      </w:r>
      <w:r w:rsidR="00F661C7">
        <w:t xml:space="preserve"> </w:t>
      </w:r>
      <w:r w:rsidRPr="00B42A6B">
        <w:t xml:space="preserve">containing </w:t>
      </w:r>
      <w:r w:rsidR="00414924">
        <w:t>chlorine</w:t>
      </w:r>
      <w:r w:rsidRPr="00B42A6B">
        <w:t xml:space="preserve"> nominally at </w:t>
      </w:r>
      <w:r w:rsidR="004F4506">
        <w:t>2</w:t>
      </w:r>
      <w:r w:rsidR="004F4506">
        <w:rPr>
          <w:rFonts w:cs="Arial"/>
        </w:rPr>
        <w:t>×</w:t>
      </w:r>
      <w:r w:rsidRPr="00B42A6B">
        <w:t xml:space="preserve"> </w:t>
      </w:r>
      <w:r w:rsidRPr="00933102">
        <w:t>the maximum indication value</w:t>
      </w:r>
      <w:r w:rsidR="006F7A31">
        <w:t xml:space="preserve"> of </w:t>
      </w:r>
      <w:r w:rsidR="00AC4669">
        <w:t>2</w:t>
      </w:r>
      <w:r w:rsidR="006F7A31">
        <w:t>0</w:t>
      </w:r>
      <w:r w:rsidR="00DC74F4">
        <w:t xml:space="preserve"> </w:t>
      </w:r>
      <w:r w:rsidR="006F7A31">
        <w:t xml:space="preserve">ppm </w:t>
      </w:r>
      <w:r w:rsidR="00637C69">
        <w:t xml:space="preserve">for 10 minutes </w:t>
      </w:r>
      <w:r w:rsidR="00BA7761" w:rsidRPr="00F93B01">
        <w:rPr>
          <w:rFonts w:eastAsiaTheme="minorEastAsia"/>
          <w:spacing w:val="-2"/>
          <w:szCs w:val="18"/>
        </w:rPr>
        <w:t xml:space="preserve">(calculated to be </w:t>
      </w:r>
      <w:r w:rsidR="00950BDF">
        <w:rPr>
          <w:rFonts w:eastAsiaTheme="minorEastAsia"/>
          <w:spacing w:val="-2"/>
          <w:szCs w:val="18"/>
        </w:rPr>
        <w:t>40.4</w:t>
      </w:r>
      <w:r w:rsidR="00BA7761" w:rsidRPr="00F93B01">
        <w:rPr>
          <w:rFonts w:eastAsiaTheme="minorEastAsia"/>
          <w:spacing w:val="-2"/>
          <w:szCs w:val="18"/>
        </w:rPr>
        <w:t xml:space="preserve"> ppm at </w:t>
      </w:r>
      <w:r w:rsidR="001D1272">
        <w:rPr>
          <w:rFonts w:eastAsiaTheme="minorEastAsia"/>
          <w:spacing w:val="-2"/>
          <w:szCs w:val="18"/>
        </w:rPr>
        <w:t>6</w:t>
      </w:r>
      <w:r w:rsidR="00FF524D">
        <w:rPr>
          <w:rFonts w:eastAsiaTheme="minorEastAsia"/>
          <w:spacing w:val="-2"/>
          <w:szCs w:val="18"/>
        </w:rPr>
        <w:t>5</w:t>
      </w:r>
      <w:r w:rsidR="00DC74F4">
        <w:rPr>
          <w:rFonts w:eastAsiaTheme="minorEastAsia"/>
          <w:spacing w:val="-2"/>
          <w:szCs w:val="18"/>
        </w:rPr>
        <w:t>2</w:t>
      </w:r>
      <w:r w:rsidR="00BA7761" w:rsidRPr="00F93B01">
        <w:rPr>
          <w:rFonts w:eastAsiaTheme="minorEastAsia"/>
          <w:spacing w:val="-2"/>
          <w:szCs w:val="18"/>
        </w:rPr>
        <w:t xml:space="preserve"> mmHg and </w:t>
      </w:r>
      <w:r w:rsidR="001D1272">
        <w:rPr>
          <w:rFonts w:eastAsiaTheme="minorEastAsia"/>
          <w:spacing w:val="-2"/>
          <w:szCs w:val="18"/>
        </w:rPr>
        <w:t>2</w:t>
      </w:r>
      <w:r w:rsidR="00DC74F4">
        <w:rPr>
          <w:rFonts w:eastAsiaTheme="minorEastAsia"/>
          <w:spacing w:val="-2"/>
          <w:szCs w:val="18"/>
        </w:rPr>
        <w:t>1</w:t>
      </w:r>
      <w:r w:rsidR="00BA7761" w:rsidRPr="00F93B01">
        <w:rPr>
          <w:rFonts w:eastAsiaTheme="minorEastAsia"/>
          <w:spacing w:val="-2"/>
          <w:szCs w:val="18"/>
        </w:rPr>
        <w:t xml:space="preserve"> °C)</w:t>
      </w:r>
      <w:r w:rsidR="00BC2CFA">
        <w:t xml:space="preserve">. </w:t>
      </w:r>
      <w:r w:rsidRPr="00B42A6B">
        <w:t xml:space="preserve">The relative humidity and temperature of the air sampled were </w:t>
      </w:r>
      <w:r w:rsidR="00DC74F4">
        <w:t>52</w:t>
      </w:r>
      <w:r w:rsidRPr="00B42A6B">
        <w:t>% and 2</w:t>
      </w:r>
      <w:r w:rsidR="00DC74F4">
        <w:t>1</w:t>
      </w:r>
      <w:r w:rsidRPr="00B42A6B">
        <w:t xml:space="preserve"> °C. </w:t>
      </w:r>
      <w:r w:rsidRPr="0036361E">
        <w:t xml:space="preserve">After </w:t>
      </w:r>
      <w:proofErr w:type="gramStart"/>
      <w:r w:rsidRPr="0036361E">
        <w:t>oversaturation</w:t>
      </w:r>
      <w:proofErr w:type="gramEnd"/>
      <w:r w:rsidRPr="0036361E">
        <w:t xml:space="preserve"> for 10 minutes</w:t>
      </w:r>
      <w:r w:rsidR="009F03CF">
        <w:t>,</w:t>
      </w:r>
      <w:r w:rsidRPr="0036361E">
        <w:t xml:space="preserve"> followed by recovery with clean air for 60 minutes,</w:t>
      </w:r>
      <w:r w:rsidR="00855381" w:rsidRPr="0036361E">
        <w:t xml:space="preserve"> </w:t>
      </w:r>
      <w:r w:rsidR="003E7365">
        <w:t>the</w:t>
      </w:r>
      <w:r w:rsidR="00C21E98" w:rsidRPr="0036361E">
        <w:t xml:space="preserve"> </w:t>
      </w:r>
      <w:r w:rsidR="00F8089D" w:rsidRPr="0036361E">
        <w:t xml:space="preserve">monitor </w:t>
      </w:r>
      <w:r w:rsidR="004C7F6D" w:rsidRPr="0036361E">
        <w:t>response</w:t>
      </w:r>
      <w:r w:rsidRPr="0036361E">
        <w:t xml:space="preserve"> drift</w:t>
      </w:r>
      <w:r w:rsidR="00596B3A">
        <w:t xml:space="preserve"> between </w:t>
      </w:r>
      <w:r w:rsidR="007F7E76">
        <w:t>pre</w:t>
      </w:r>
      <w:r w:rsidR="00292A5E">
        <w:t>-monitoring check</w:t>
      </w:r>
      <w:r w:rsidR="007F7E76">
        <w:t xml:space="preserve"> and post</w:t>
      </w:r>
      <w:r w:rsidR="00292A5E">
        <w:t xml:space="preserve">-monitoring check </w:t>
      </w:r>
      <w:r w:rsidR="00B53B8B">
        <w:t>described in Section 2.2</w:t>
      </w:r>
      <w:r w:rsidR="0003443A">
        <w:t xml:space="preserve"> </w:t>
      </w:r>
      <w:r w:rsidR="004F56DF" w:rsidRPr="0036361E">
        <w:t>was</w:t>
      </w:r>
      <w:r w:rsidR="004F56DF">
        <w:t xml:space="preserve"> </w:t>
      </w:r>
      <w:r w:rsidR="004F56DF" w:rsidRPr="0036361E">
        <w:t>observed</w:t>
      </w:r>
      <w:r w:rsidR="003E7365">
        <w:t xml:space="preserve"> to be</w:t>
      </w:r>
      <w:r w:rsidR="00510D4B">
        <w:t xml:space="preserve"> </w:t>
      </w:r>
      <w:r w:rsidR="00F82DBC">
        <w:t>+2.</w:t>
      </w:r>
      <w:r w:rsidR="000D0196">
        <w:t>5</w:t>
      </w:r>
      <w:r w:rsidR="003E7365">
        <w:t>%</w:t>
      </w:r>
      <w:r w:rsidR="00DD5700">
        <w:t>.</w:t>
      </w:r>
    </w:p>
    <w:p w14:paraId="2E924D78" w14:textId="5B1BBB8D" w:rsidR="009E55FD" w:rsidRPr="00BD0B77" w:rsidRDefault="00662A03" w:rsidP="00662A03">
      <w:pPr>
        <w:pStyle w:val="Heading2"/>
      </w:pPr>
      <w:r w:rsidRPr="00BD0B77">
        <w:t>Reproducibility</w:t>
      </w:r>
    </w:p>
    <w:p w14:paraId="2707B956" w14:textId="04EA129E" w:rsidR="00E92DE1" w:rsidRDefault="00916C87" w:rsidP="00662A03">
      <w:pPr>
        <w:rPr>
          <w:szCs w:val="18"/>
        </w:rPr>
      </w:pPr>
      <w:r>
        <w:rPr>
          <w:szCs w:val="18"/>
        </w:rPr>
        <w:t>A</w:t>
      </w:r>
      <w:r w:rsidR="00662A03"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 w:rsidR="003D487E">
        <w:rPr>
          <w:szCs w:val="18"/>
        </w:rPr>
        <w:t xml:space="preserve">, </w:t>
      </w:r>
      <w:r w:rsidR="00662A03" w:rsidRPr="00BD0B77">
        <w:rPr>
          <w:szCs w:val="18"/>
        </w:rPr>
        <w:t xml:space="preserve">containing </w:t>
      </w:r>
      <w:r w:rsidR="00414924">
        <w:rPr>
          <w:szCs w:val="18"/>
        </w:rPr>
        <w:t>chlorine</w:t>
      </w:r>
      <w:r w:rsidR="00662A03" w:rsidRPr="00BD0B77">
        <w:rPr>
          <w:szCs w:val="18"/>
        </w:rPr>
        <w:t xml:space="preserve"> nominally at the </w:t>
      </w:r>
      <w:r w:rsidR="00B764EA" w:rsidRPr="00BD0B77">
        <w:rPr>
          <w:rFonts w:eastAsia="Calibri" w:cs="Times New Roman"/>
          <w:szCs w:val="18"/>
        </w:rPr>
        <w:t>8-</w:t>
      </w:r>
      <w:r w:rsidR="00B764EA">
        <w:rPr>
          <w:rFonts w:eastAsia="Calibri" w:cs="Times New Roman"/>
          <w:szCs w:val="18"/>
        </w:rPr>
        <w:t>h</w:t>
      </w:r>
      <w:r w:rsidR="00B764EA" w:rsidRPr="00BD0B77">
        <w:rPr>
          <w:rFonts w:eastAsia="Calibri" w:cs="Times New Roman"/>
          <w:szCs w:val="18"/>
        </w:rPr>
        <w:t>our TWA T</w:t>
      </w:r>
      <w:r w:rsidR="00B764EA" w:rsidRPr="00BD0B77">
        <w:rPr>
          <w:rFonts w:eastAsia="Calibri" w:cs="Times New Roman"/>
          <w:szCs w:val="18"/>
          <w:vertAlign w:val="subscript"/>
        </w:rPr>
        <w:t>C</w:t>
      </w:r>
      <w:r w:rsidR="00B764EA">
        <w:rPr>
          <w:rFonts w:eastAsiaTheme="minorEastAsia"/>
          <w:spacing w:val="-2"/>
          <w:szCs w:val="18"/>
        </w:rPr>
        <w:t xml:space="preserve"> </w:t>
      </w:r>
      <w:r w:rsidR="00662A03" w:rsidRPr="00BD0B77">
        <w:rPr>
          <w:szCs w:val="18"/>
        </w:rPr>
        <w:t xml:space="preserve">(calculated to be </w:t>
      </w:r>
      <w:r w:rsidR="000A2E74">
        <w:rPr>
          <w:szCs w:val="18"/>
        </w:rPr>
        <w:t>0.969</w:t>
      </w:r>
      <w:r w:rsidR="00662A03" w:rsidRPr="00BD0B77">
        <w:rPr>
          <w:szCs w:val="18"/>
        </w:rPr>
        <w:t xml:space="preserve"> ppm</w:t>
      </w:r>
      <w:r w:rsidR="00386CE0">
        <w:rPr>
          <w:szCs w:val="18"/>
        </w:rPr>
        <w:t xml:space="preserve"> </w:t>
      </w:r>
      <w:r w:rsidR="00740E36">
        <w:rPr>
          <w:szCs w:val="18"/>
        </w:rPr>
        <w:t xml:space="preserve">at </w:t>
      </w:r>
      <w:r w:rsidR="00740E36" w:rsidRPr="00F93B01">
        <w:rPr>
          <w:rFonts w:eastAsiaTheme="minorEastAsia"/>
          <w:spacing w:val="-2"/>
          <w:szCs w:val="18"/>
        </w:rPr>
        <w:t>760 mmHg and 25 °C</w:t>
      </w:r>
      <w:r w:rsidR="00740E36">
        <w:rPr>
          <w:szCs w:val="18"/>
        </w:rPr>
        <w:t>)</w:t>
      </w:r>
      <w:r w:rsidR="00662A03" w:rsidRPr="00BD0B77">
        <w:rPr>
          <w:szCs w:val="18"/>
        </w:rPr>
        <w:t xml:space="preserve">. The relative humidity and temperature of the air </w:t>
      </w:r>
      <w:r w:rsidR="00794215">
        <w:rPr>
          <w:szCs w:val="18"/>
        </w:rPr>
        <w:t>monitored</w:t>
      </w:r>
      <w:r w:rsidR="00662A03" w:rsidRPr="00BD0B77">
        <w:rPr>
          <w:szCs w:val="18"/>
        </w:rPr>
        <w:t xml:space="preserve"> were </w:t>
      </w:r>
      <w:r w:rsidR="00F20660">
        <w:rPr>
          <w:szCs w:val="18"/>
        </w:rPr>
        <w:t>48</w:t>
      </w:r>
      <w:r w:rsidR="00662A03" w:rsidRPr="00BD0B77">
        <w:rPr>
          <w:szCs w:val="18"/>
        </w:rPr>
        <w:t>% and 2</w:t>
      </w:r>
      <w:r w:rsidR="00F20660">
        <w:rPr>
          <w:szCs w:val="18"/>
        </w:rPr>
        <w:t>0</w:t>
      </w:r>
      <w:r w:rsidR="00662A03" w:rsidRPr="00BD0B77">
        <w:rPr>
          <w:szCs w:val="18"/>
        </w:rPr>
        <w:t xml:space="preserve"> °C. </w:t>
      </w:r>
      <w:r w:rsidR="006200DC">
        <w:rPr>
          <w:szCs w:val="18"/>
        </w:rPr>
        <w:t>The te</w:t>
      </w:r>
      <w:r w:rsidR="00617631">
        <w:rPr>
          <w:szCs w:val="18"/>
        </w:rPr>
        <w:t xml:space="preserve">st </w:t>
      </w:r>
      <w:r w:rsidR="00564AFE">
        <w:rPr>
          <w:szCs w:val="18"/>
        </w:rPr>
        <w:t xml:space="preserve">atmosphere was monitored by </w:t>
      </w:r>
      <w:r w:rsidR="00F26BED">
        <w:rPr>
          <w:szCs w:val="18"/>
        </w:rPr>
        <w:t>the Production</w:t>
      </w:r>
      <w:r w:rsidR="003A2978">
        <w:rPr>
          <w:szCs w:val="18"/>
        </w:rPr>
        <w:t xml:space="preserve"> Team</w:t>
      </w:r>
      <w:r w:rsidR="00396282">
        <w:rPr>
          <w:szCs w:val="18"/>
        </w:rPr>
        <w:t xml:space="preserve"> for 240 </w:t>
      </w:r>
      <w:r w:rsidR="00BC7D08">
        <w:rPr>
          <w:szCs w:val="18"/>
        </w:rPr>
        <w:t>minutes</w:t>
      </w:r>
      <w:r w:rsidR="002D1AC9">
        <w:rPr>
          <w:szCs w:val="18"/>
        </w:rPr>
        <w:t xml:space="preserve"> </w:t>
      </w:r>
      <w:r w:rsidR="00F322C3" w:rsidRPr="00E032B2">
        <w:rPr>
          <w:szCs w:val="18"/>
        </w:rPr>
        <w:t xml:space="preserve">using the </w:t>
      </w:r>
      <w:r w:rsidR="00BD7742">
        <w:rPr>
          <w:szCs w:val="18"/>
        </w:rPr>
        <w:t>monitor</w:t>
      </w:r>
      <w:r w:rsidR="00DD66FE">
        <w:rPr>
          <w:szCs w:val="18"/>
        </w:rPr>
        <w:t xml:space="preserve">ing </w:t>
      </w:r>
      <w:r w:rsidR="00F322C3" w:rsidRPr="00E032B2">
        <w:rPr>
          <w:szCs w:val="18"/>
        </w:rPr>
        <w:t xml:space="preserve">procedure described in </w:t>
      </w:r>
      <w:r w:rsidR="00770A69">
        <w:rPr>
          <w:szCs w:val="18"/>
        </w:rPr>
        <w:t>Section 2</w:t>
      </w:r>
      <w:r w:rsidR="008F402F">
        <w:rPr>
          <w:szCs w:val="18"/>
        </w:rPr>
        <w:t xml:space="preserve"> of this method</w:t>
      </w:r>
      <w:r w:rsidR="00F322C3">
        <w:rPr>
          <w:szCs w:val="18"/>
        </w:rPr>
        <w:t>. T</w:t>
      </w:r>
      <w:r w:rsidR="002D1AC9">
        <w:rPr>
          <w:szCs w:val="18"/>
        </w:rPr>
        <w:t xml:space="preserve">he </w:t>
      </w:r>
      <w:r w:rsidR="004B3F1D">
        <w:rPr>
          <w:szCs w:val="18"/>
        </w:rPr>
        <w:t xml:space="preserve">monitor </w:t>
      </w:r>
      <w:r w:rsidR="002D1AC9" w:rsidRPr="00E032B2">
        <w:rPr>
          <w:szCs w:val="18"/>
        </w:rPr>
        <w:t>result</w:t>
      </w:r>
      <w:r w:rsidR="002D1AC9">
        <w:rPr>
          <w:szCs w:val="18"/>
        </w:rPr>
        <w:t>s</w:t>
      </w:r>
      <w:r w:rsidR="002D1AC9" w:rsidRPr="00E032B2">
        <w:rPr>
          <w:szCs w:val="18"/>
        </w:rPr>
        <w:t xml:space="preserve"> were </w:t>
      </w:r>
      <w:r w:rsidR="004B3F1D">
        <w:rPr>
          <w:szCs w:val="18"/>
        </w:rPr>
        <w:t xml:space="preserve">then </w:t>
      </w:r>
      <w:r w:rsidR="002D1AC9" w:rsidRPr="00E032B2">
        <w:rPr>
          <w:szCs w:val="18"/>
        </w:rPr>
        <w:t>submitted to the OSHA</w:t>
      </w:r>
      <w:r w:rsidR="00674A20">
        <w:rPr>
          <w:szCs w:val="18"/>
        </w:rPr>
        <w:t xml:space="preserve"> </w:t>
      </w:r>
      <w:r w:rsidR="002D1AC9" w:rsidRPr="00E032B2">
        <w:rPr>
          <w:szCs w:val="18"/>
        </w:rPr>
        <w:t xml:space="preserve">Technical Center for analysis using the </w:t>
      </w:r>
      <w:r w:rsidR="00DD66FE">
        <w:rPr>
          <w:szCs w:val="18"/>
        </w:rPr>
        <w:t xml:space="preserve">data processing procedure </w:t>
      </w:r>
      <w:r w:rsidR="002D1AC9" w:rsidRPr="00E032B2">
        <w:rPr>
          <w:szCs w:val="18"/>
        </w:rPr>
        <w:t xml:space="preserve">described in </w:t>
      </w:r>
      <w:r w:rsidR="00593900">
        <w:rPr>
          <w:szCs w:val="18"/>
        </w:rPr>
        <w:t>Section 3 of this method</w:t>
      </w:r>
      <w:r w:rsidR="002D1AC9">
        <w:rPr>
          <w:szCs w:val="18"/>
        </w:rPr>
        <w:t>.</w:t>
      </w:r>
      <w:r w:rsidR="00A36221">
        <w:rPr>
          <w:szCs w:val="18"/>
        </w:rPr>
        <w:t xml:space="preserve"> </w:t>
      </w:r>
      <w:r w:rsidR="00662A03" w:rsidRPr="00BD0B77">
        <w:rPr>
          <w:szCs w:val="18"/>
        </w:rPr>
        <w:t xml:space="preserve">The </w:t>
      </w:r>
      <w:r w:rsidR="00196412">
        <w:rPr>
          <w:szCs w:val="18"/>
        </w:rPr>
        <w:t>monitoring</w:t>
      </w:r>
      <w:r w:rsidR="00662A03" w:rsidRPr="00BD0B77">
        <w:rPr>
          <w:szCs w:val="18"/>
        </w:rPr>
        <w:t xml:space="preserve"> results are provided in Table </w:t>
      </w:r>
      <w:r w:rsidR="008C41B1">
        <w:rPr>
          <w:szCs w:val="18"/>
        </w:rPr>
        <w:t>1</w:t>
      </w:r>
      <w:r w:rsidR="005969FD">
        <w:rPr>
          <w:szCs w:val="18"/>
        </w:rPr>
        <w:t>3</w:t>
      </w:r>
      <w:r w:rsidR="00662A03" w:rsidRPr="00BD0B77">
        <w:rPr>
          <w:szCs w:val="18"/>
        </w:rPr>
        <w:t xml:space="preserve">. No sample result for </w:t>
      </w:r>
      <w:r w:rsidR="00414924">
        <w:rPr>
          <w:szCs w:val="18"/>
        </w:rPr>
        <w:t>chlorine</w:t>
      </w:r>
      <w:r w:rsidR="00662A03" w:rsidRPr="00BD0B77">
        <w:rPr>
          <w:szCs w:val="18"/>
        </w:rPr>
        <w:t xml:space="preserve"> fell outside the permissible bounds set by the </w:t>
      </w:r>
      <w:r w:rsidR="00931278" w:rsidRPr="00BD0B77">
        <w:rPr>
          <w:szCs w:val="18"/>
        </w:rPr>
        <w:t xml:space="preserve">expanded uncertainty </w:t>
      </w:r>
      <w:r w:rsidR="00662A03" w:rsidRPr="00BD0B77">
        <w:rPr>
          <w:szCs w:val="18"/>
        </w:rPr>
        <w:t xml:space="preserve">determined in Section </w:t>
      </w:r>
      <w:r w:rsidR="00A92739" w:rsidRPr="00BD0B77">
        <w:rPr>
          <w:szCs w:val="18"/>
        </w:rPr>
        <w:t>4.1</w:t>
      </w:r>
      <w:r w:rsidR="008D6B98">
        <w:rPr>
          <w:szCs w:val="18"/>
        </w:rPr>
        <w:t>3</w:t>
      </w:r>
      <w:r w:rsidR="00662A03" w:rsidRPr="00BD0B77">
        <w:rPr>
          <w:szCs w:val="18"/>
        </w:rPr>
        <w:t>.</w:t>
      </w:r>
    </w:p>
    <w:p w14:paraId="4A12AFFC" w14:textId="77777777" w:rsidR="00EE704F" w:rsidRDefault="00EE704F" w:rsidP="00662A03">
      <w:pPr>
        <w:rPr>
          <w:szCs w:val="18"/>
        </w:rPr>
      </w:pPr>
    </w:p>
    <w:p w14:paraId="620E3020" w14:textId="77777777" w:rsidR="003C4849" w:rsidRDefault="003C4849" w:rsidP="00662A03">
      <w:pPr>
        <w:rPr>
          <w:szCs w:val="18"/>
        </w:rPr>
      </w:pPr>
    </w:p>
    <w:p w14:paraId="59761B6A" w14:textId="77777777" w:rsidR="003C4849" w:rsidRDefault="003C4849" w:rsidP="00662A03">
      <w:pPr>
        <w:rPr>
          <w:szCs w:val="18"/>
        </w:rPr>
      </w:pPr>
    </w:p>
    <w:p w14:paraId="4D5064AD" w14:textId="77777777" w:rsidR="003C4849" w:rsidRDefault="003C4849" w:rsidP="00662A03">
      <w:pPr>
        <w:rPr>
          <w:szCs w:val="18"/>
        </w:rPr>
      </w:pPr>
    </w:p>
    <w:p w14:paraId="63E41FFD" w14:textId="77777777" w:rsidR="003C4849" w:rsidRDefault="003C4849" w:rsidP="00662A03">
      <w:pPr>
        <w:rPr>
          <w:szCs w:val="18"/>
        </w:rPr>
      </w:pPr>
    </w:p>
    <w:p w14:paraId="7F6F06B6" w14:textId="77777777" w:rsidR="003C4849" w:rsidRDefault="003C4849" w:rsidP="00662A03">
      <w:pPr>
        <w:rPr>
          <w:szCs w:val="18"/>
        </w:rPr>
      </w:pPr>
    </w:p>
    <w:p w14:paraId="0E51F11D" w14:textId="1C91CAE5" w:rsidR="00EE704F" w:rsidRPr="00BD0B77" w:rsidRDefault="00EE704F" w:rsidP="00EE704F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>
        <w:rPr>
          <w:szCs w:val="18"/>
        </w:rPr>
        <w:t>chlorine</w:t>
      </w:r>
      <w:r w:rsidRPr="00BD0B77">
        <w:rPr>
          <w:szCs w:val="18"/>
        </w:rPr>
        <w:t xml:space="preserve"> (8-hour TWA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E704F" w:rsidRPr="00A746DC" w14:paraId="65D105F5" w14:textId="77777777" w:rsidTr="00DF664D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89B91D1" w14:textId="77777777" w:rsidR="00EE704F" w:rsidRPr="00BD0B77" w:rsidRDefault="00EE704F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0335E62E" w14:textId="77777777" w:rsidR="00EE704F" w:rsidRPr="00BD0B77" w:rsidRDefault="00EE704F" w:rsidP="007D28F7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5CC31E0" w14:textId="77777777" w:rsidR="00EE704F" w:rsidRPr="00BD0B77" w:rsidRDefault="00EE704F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45A23CF0" w14:textId="77777777" w:rsidR="00EE704F" w:rsidRPr="00BD0B77" w:rsidRDefault="00EE704F" w:rsidP="007D28F7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C089681" w14:textId="77777777" w:rsidR="00EE704F" w:rsidRPr="00BD0B77" w:rsidRDefault="00EE704F" w:rsidP="007D28F7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7082D277" w14:textId="77777777" w:rsidR="00EE704F" w:rsidRPr="00BD0B77" w:rsidRDefault="00EE704F" w:rsidP="007D28F7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B64D3E" w:rsidRPr="00A746DC" w14:paraId="26C2E811" w14:textId="77777777" w:rsidTr="00DF664D">
        <w:tc>
          <w:tcPr>
            <w:tcW w:w="1667" w:type="pct"/>
            <w:tcBorders>
              <w:top w:val="single" w:sz="4" w:space="0" w:color="auto"/>
            </w:tcBorders>
          </w:tcPr>
          <w:p w14:paraId="1EDE630B" w14:textId="193AB498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0.96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48A6B12" w14:textId="2F022EBD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99.1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5D3A75B7" w14:textId="6C93D6CF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-0.9</w:t>
            </w:r>
          </w:p>
        </w:tc>
      </w:tr>
      <w:tr w:rsidR="00B64D3E" w:rsidRPr="00A746DC" w14:paraId="375AAAE5" w14:textId="77777777" w:rsidTr="00DF664D">
        <w:tc>
          <w:tcPr>
            <w:tcW w:w="1667" w:type="pct"/>
          </w:tcPr>
          <w:p w14:paraId="1E4D8DF3" w14:textId="0D48E461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0.94</w:t>
            </w:r>
          </w:p>
        </w:tc>
        <w:tc>
          <w:tcPr>
            <w:tcW w:w="1667" w:type="pct"/>
          </w:tcPr>
          <w:p w14:paraId="204B587B" w14:textId="59954D60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97.0</w:t>
            </w:r>
          </w:p>
        </w:tc>
        <w:tc>
          <w:tcPr>
            <w:tcW w:w="1666" w:type="pct"/>
          </w:tcPr>
          <w:p w14:paraId="058E18D1" w14:textId="04016865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-3.0</w:t>
            </w:r>
          </w:p>
        </w:tc>
      </w:tr>
      <w:tr w:rsidR="00B64D3E" w:rsidRPr="00A746DC" w14:paraId="76CD94A5" w14:textId="77777777" w:rsidTr="00DF664D">
        <w:tc>
          <w:tcPr>
            <w:tcW w:w="1667" w:type="pct"/>
            <w:tcBorders>
              <w:bottom w:val="single" w:sz="4" w:space="0" w:color="auto"/>
            </w:tcBorders>
          </w:tcPr>
          <w:p w14:paraId="2C5AEA09" w14:textId="5D4F63DC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0.94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6D122C1" w14:textId="06FE12F6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97.0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02F0488" w14:textId="550CF0E2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-3.0</w:t>
            </w:r>
          </w:p>
        </w:tc>
      </w:tr>
    </w:tbl>
    <w:p w14:paraId="0696A187" w14:textId="77777777" w:rsidR="00EE704F" w:rsidRDefault="00EE704F" w:rsidP="00662A03">
      <w:pPr>
        <w:rPr>
          <w:szCs w:val="18"/>
        </w:rPr>
      </w:pPr>
    </w:p>
    <w:p w14:paraId="738F4CC8" w14:textId="737F27D2" w:rsidR="00EE704F" w:rsidRDefault="00EE704F" w:rsidP="00EE704F">
      <w:pPr>
        <w:rPr>
          <w:szCs w:val="18"/>
        </w:rPr>
      </w:pPr>
      <w:r>
        <w:rPr>
          <w:szCs w:val="18"/>
        </w:rPr>
        <w:t>A</w:t>
      </w:r>
      <w:r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>
        <w:rPr>
          <w:szCs w:val="18"/>
        </w:rPr>
        <w:t xml:space="preserve">, </w:t>
      </w:r>
      <w:r w:rsidRPr="00BD0B77">
        <w:rPr>
          <w:szCs w:val="18"/>
        </w:rPr>
        <w:t xml:space="preserve">containing </w:t>
      </w:r>
      <w:r>
        <w:rPr>
          <w:szCs w:val="18"/>
        </w:rPr>
        <w:t>chlorine</w:t>
      </w:r>
      <w:r w:rsidRPr="00BD0B77">
        <w:rPr>
          <w:szCs w:val="18"/>
        </w:rPr>
        <w:t xml:space="preserve"> nominally at the </w:t>
      </w:r>
      <w:r>
        <w:rPr>
          <w:rFonts w:eastAsia="Calibri" w:cs="Times New Roman"/>
          <w:szCs w:val="18"/>
        </w:rPr>
        <w:t>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Theme="minorEastAsia"/>
          <w:spacing w:val="-2"/>
          <w:szCs w:val="18"/>
        </w:rPr>
        <w:t xml:space="preserve"> </w:t>
      </w:r>
      <w:r w:rsidRPr="00BD0B77">
        <w:rPr>
          <w:szCs w:val="18"/>
        </w:rPr>
        <w:t xml:space="preserve">(calculated to be </w:t>
      </w:r>
      <w:r w:rsidR="00E37B75">
        <w:rPr>
          <w:szCs w:val="18"/>
        </w:rPr>
        <w:t>0.969</w:t>
      </w:r>
      <w:r w:rsidRPr="00BD0B77">
        <w:rPr>
          <w:szCs w:val="18"/>
        </w:rPr>
        <w:t xml:space="preserve"> ppm</w:t>
      </w:r>
      <w:r>
        <w:rPr>
          <w:szCs w:val="18"/>
        </w:rPr>
        <w:t xml:space="preserve"> at </w:t>
      </w:r>
      <w:r w:rsidRPr="00F93B01">
        <w:rPr>
          <w:rFonts w:eastAsiaTheme="minorEastAsia"/>
          <w:spacing w:val="-2"/>
          <w:szCs w:val="18"/>
        </w:rPr>
        <w:t>760 mmHg and 25 °C</w:t>
      </w:r>
      <w:r>
        <w:rPr>
          <w:szCs w:val="18"/>
        </w:rPr>
        <w:t>)</w:t>
      </w:r>
      <w:r w:rsidRPr="00BD0B77">
        <w:rPr>
          <w:szCs w:val="18"/>
        </w:rPr>
        <w:t xml:space="preserve">. The relative humidity and temperature of the air </w:t>
      </w:r>
      <w:r>
        <w:rPr>
          <w:szCs w:val="18"/>
        </w:rPr>
        <w:t>monitored</w:t>
      </w:r>
      <w:r w:rsidRPr="00BD0B77">
        <w:rPr>
          <w:szCs w:val="18"/>
        </w:rPr>
        <w:t xml:space="preserve"> were </w:t>
      </w:r>
      <w:r w:rsidR="00E37B75">
        <w:rPr>
          <w:szCs w:val="18"/>
        </w:rPr>
        <w:t>48</w:t>
      </w:r>
      <w:r w:rsidRPr="00BD0B77">
        <w:rPr>
          <w:szCs w:val="18"/>
        </w:rPr>
        <w:t>% and 2</w:t>
      </w:r>
      <w:r w:rsidR="00E37B75">
        <w:rPr>
          <w:szCs w:val="18"/>
        </w:rPr>
        <w:t>0</w:t>
      </w:r>
      <w:r w:rsidRPr="00BD0B77">
        <w:rPr>
          <w:szCs w:val="18"/>
        </w:rPr>
        <w:t xml:space="preserve"> °C. </w:t>
      </w:r>
      <w:r>
        <w:rPr>
          <w:szCs w:val="18"/>
        </w:rPr>
        <w:t xml:space="preserve">The test atmosphere was monitored by </w:t>
      </w:r>
      <w:r w:rsidR="00F26BED">
        <w:rPr>
          <w:szCs w:val="18"/>
        </w:rPr>
        <w:t xml:space="preserve">the </w:t>
      </w:r>
      <w:r w:rsidR="008901E7">
        <w:rPr>
          <w:szCs w:val="18"/>
        </w:rPr>
        <w:t>staff of OSHA Technical Center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using the </w:t>
      </w:r>
      <w:r>
        <w:rPr>
          <w:szCs w:val="18"/>
        </w:rPr>
        <w:t xml:space="preserve">monitoring </w:t>
      </w:r>
      <w:r w:rsidRPr="00E032B2">
        <w:rPr>
          <w:szCs w:val="18"/>
        </w:rPr>
        <w:t xml:space="preserve">procedure described in </w:t>
      </w:r>
      <w:r>
        <w:rPr>
          <w:szCs w:val="18"/>
        </w:rPr>
        <w:t xml:space="preserve">Section 2 of this method. The monitor </w:t>
      </w:r>
      <w:r w:rsidRPr="00E032B2">
        <w:rPr>
          <w:szCs w:val="18"/>
        </w:rPr>
        <w:t>result</w:t>
      </w:r>
      <w:r>
        <w:rPr>
          <w:szCs w:val="18"/>
        </w:rPr>
        <w:t>s</w:t>
      </w:r>
      <w:r w:rsidRPr="00E032B2">
        <w:rPr>
          <w:szCs w:val="18"/>
        </w:rPr>
        <w:t xml:space="preserve"> were </w:t>
      </w:r>
      <w:r>
        <w:rPr>
          <w:szCs w:val="18"/>
        </w:rPr>
        <w:t xml:space="preserve">then </w:t>
      </w:r>
      <w:r w:rsidRPr="00E032B2">
        <w:rPr>
          <w:szCs w:val="18"/>
        </w:rPr>
        <w:t>submitted to the OSHA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Technical Center for analysis using the </w:t>
      </w:r>
      <w:r>
        <w:rPr>
          <w:szCs w:val="18"/>
        </w:rPr>
        <w:t xml:space="preserve">data processing procedure </w:t>
      </w:r>
      <w:r w:rsidRPr="00E032B2">
        <w:rPr>
          <w:szCs w:val="18"/>
        </w:rPr>
        <w:t xml:space="preserve">described in </w:t>
      </w:r>
      <w:r>
        <w:rPr>
          <w:szCs w:val="18"/>
        </w:rPr>
        <w:t xml:space="preserve">Section 3 of this method. </w:t>
      </w:r>
      <w:r w:rsidRPr="00BD0B77">
        <w:rPr>
          <w:szCs w:val="18"/>
        </w:rPr>
        <w:t xml:space="preserve">The </w:t>
      </w:r>
      <w:r>
        <w:rPr>
          <w:szCs w:val="18"/>
        </w:rPr>
        <w:t>monitoring</w:t>
      </w:r>
      <w:r w:rsidRPr="00BD0B77">
        <w:rPr>
          <w:szCs w:val="18"/>
        </w:rPr>
        <w:t xml:space="preserve"> results are provided in Table </w:t>
      </w:r>
      <w:r>
        <w:rPr>
          <w:szCs w:val="18"/>
        </w:rPr>
        <w:t>1</w:t>
      </w:r>
      <w:r w:rsidR="005969FD">
        <w:rPr>
          <w:szCs w:val="18"/>
        </w:rPr>
        <w:t>4</w:t>
      </w:r>
      <w:r w:rsidRPr="00BD0B77">
        <w:rPr>
          <w:szCs w:val="18"/>
        </w:rPr>
        <w:t xml:space="preserve">. No sample result for </w:t>
      </w:r>
      <w:r>
        <w:rPr>
          <w:szCs w:val="18"/>
        </w:rPr>
        <w:t>chlorine</w:t>
      </w:r>
      <w:r w:rsidRPr="00BD0B77">
        <w:rPr>
          <w:szCs w:val="18"/>
        </w:rPr>
        <w:t xml:space="preserve"> fell outside the permissible bounds set by the expanded uncertainty determined in Section 4.1</w:t>
      </w:r>
      <w:r>
        <w:rPr>
          <w:szCs w:val="18"/>
        </w:rPr>
        <w:t>3</w:t>
      </w:r>
      <w:r w:rsidRPr="00BD0B77">
        <w:rPr>
          <w:szCs w:val="18"/>
        </w:rPr>
        <w:t>.</w:t>
      </w:r>
    </w:p>
    <w:p w14:paraId="00136D4C" w14:textId="77777777" w:rsidR="007D277B" w:rsidRDefault="007D277B" w:rsidP="00662A03">
      <w:pPr>
        <w:rPr>
          <w:szCs w:val="18"/>
        </w:rPr>
      </w:pPr>
    </w:p>
    <w:p w14:paraId="68789709" w14:textId="5FFBFF1D" w:rsidR="00EF2CB7" w:rsidRPr="00BD0B77" w:rsidRDefault="00EF2CB7" w:rsidP="00EF2CB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2F610A">
        <w:rPr>
          <w:b/>
          <w:szCs w:val="18"/>
        </w:rPr>
        <w:t>1</w:t>
      </w:r>
      <w:r w:rsidR="005969FD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(8-hour TWA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F2CB7" w:rsidRPr="00A746DC" w14:paraId="3C32DB55" w14:textId="77777777" w:rsidTr="00DF664D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5472688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459E2FAF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0982536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47D88440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585659D9" w14:textId="77777777" w:rsidR="00EF2CB7" w:rsidRPr="00BD0B77" w:rsidRDefault="00EF2CB7" w:rsidP="00456A9D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03C1C86E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70965" w:rsidRPr="00A746DC" w14:paraId="39300053" w14:textId="77777777" w:rsidTr="00DF664D">
        <w:tc>
          <w:tcPr>
            <w:tcW w:w="1667" w:type="pct"/>
            <w:tcBorders>
              <w:top w:val="single" w:sz="4" w:space="0" w:color="auto"/>
            </w:tcBorders>
          </w:tcPr>
          <w:p w14:paraId="06152EA3" w14:textId="2170A2B2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0.96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75AAE61F" w14:textId="192A776C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99.1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384B3B55" w14:textId="26CE797A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-0.9</w:t>
            </w:r>
          </w:p>
        </w:tc>
      </w:tr>
      <w:tr w:rsidR="00670965" w:rsidRPr="00A746DC" w14:paraId="18997ADA" w14:textId="77777777" w:rsidTr="00DF664D">
        <w:tc>
          <w:tcPr>
            <w:tcW w:w="1667" w:type="pct"/>
          </w:tcPr>
          <w:p w14:paraId="01893ED5" w14:textId="3F093DCC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0.96</w:t>
            </w:r>
          </w:p>
        </w:tc>
        <w:tc>
          <w:tcPr>
            <w:tcW w:w="1667" w:type="pct"/>
          </w:tcPr>
          <w:p w14:paraId="093C1A38" w14:textId="3D90920E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99.1</w:t>
            </w:r>
          </w:p>
        </w:tc>
        <w:tc>
          <w:tcPr>
            <w:tcW w:w="1666" w:type="pct"/>
          </w:tcPr>
          <w:p w14:paraId="61C68998" w14:textId="27FF1FF6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-0.9</w:t>
            </w:r>
          </w:p>
        </w:tc>
      </w:tr>
      <w:tr w:rsidR="00670965" w:rsidRPr="00A746DC" w14:paraId="100046F2" w14:textId="77777777" w:rsidTr="00DF664D">
        <w:tc>
          <w:tcPr>
            <w:tcW w:w="1667" w:type="pct"/>
            <w:tcBorders>
              <w:bottom w:val="single" w:sz="4" w:space="0" w:color="auto"/>
            </w:tcBorders>
          </w:tcPr>
          <w:p w14:paraId="530ACB45" w14:textId="3C89B711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0.96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024FA3E" w14:textId="7804DC91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99.1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5A1171C" w14:textId="12ADCE0C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-0.9</w:t>
            </w:r>
          </w:p>
        </w:tc>
      </w:tr>
    </w:tbl>
    <w:p w14:paraId="1B053F63" w14:textId="2C42FA94" w:rsidR="009E55FD" w:rsidRPr="00BD0B77" w:rsidRDefault="00662A03" w:rsidP="00ED41C9">
      <w:pPr>
        <w:pStyle w:val="Heading2"/>
      </w:pPr>
      <w:r w:rsidRPr="00BD0B77">
        <w:t>Estimation of Uncertainty</w:t>
      </w:r>
    </w:p>
    <w:p w14:paraId="6DEACAF9" w14:textId="022983D8" w:rsidR="00E926B7" w:rsidRDefault="00414924" w:rsidP="00AD12C0">
      <w:pPr>
        <w:rPr>
          <w:rFonts w:cs="Arial"/>
          <w:iCs/>
          <w:szCs w:val="18"/>
        </w:rPr>
      </w:pPr>
      <w:r>
        <w:rPr>
          <w:szCs w:val="18"/>
        </w:rPr>
        <w:t>Chlorine</w:t>
      </w:r>
      <w:r w:rsidR="006F3C1F" w:rsidRPr="006F3C1F">
        <w:rPr>
          <w:szCs w:val="18"/>
        </w:rPr>
        <w:t xml:space="preserve"> relative standard uncertainty components </w:t>
      </w:r>
      <w:r w:rsidR="002F4F12">
        <w:rPr>
          <w:szCs w:val="18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Cs w:val="18"/>
              </w:rPr>
              <m:t>i</m:t>
            </m:r>
          </m:sub>
        </m:sSub>
      </m:oMath>
      <w:r w:rsidR="002F4F12">
        <w:rPr>
          <w:szCs w:val="18"/>
        </w:rPr>
        <w:t>)</w:t>
      </w:r>
      <w:r w:rsidR="002F4F12" w:rsidRPr="00BD0B77">
        <w:rPr>
          <w:szCs w:val="18"/>
        </w:rPr>
        <w:t xml:space="preserve"> </w:t>
      </w:r>
      <w:r w:rsidR="006F3C1F" w:rsidRPr="006F3C1F">
        <w:rPr>
          <w:szCs w:val="18"/>
        </w:rPr>
        <w:t xml:space="preserve">are provided in Table </w:t>
      </w:r>
      <w:r w:rsidR="008C41B1">
        <w:rPr>
          <w:szCs w:val="18"/>
        </w:rPr>
        <w:t>1</w:t>
      </w:r>
      <w:r w:rsidR="005969FD">
        <w:rPr>
          <w:szCs w:val="18"/>
        </w:rPr>
        <w:t>5</w:t>
      </w:r>
      <w:r w:rsidR="006F3C1F" w:rsidRPr="006F3C1F">
        <w:rPr>
          <w:szCs w:val="18"/>
        </w:rPr>
        <w:t xml:space="preserve"> for both the 8-hour TWA</w:t>
      </w:r>
      <w:r w:rsidR="0065779D">
        <w:rPr>
          <w:szCs w:val="18"/>
        </w:rPr>
        <w:t>, ceiling</w:t>
      </w:r>
      <w:r w:rsidR="006B1143">
        <w:rPr>
          <w:szCs w:val="18"/>
        </w:rPr>
        <w:t xml:space="preserve"> </w:t>
      </w:r>
      <w:r w:rsidR="006F3C1F" w:rsidRPr="006F3C1F">
        <w:rPr>
          <w:szCs w:val="18"/>
        </w:rPr>
        <w:t>and IDLH levels. The combined percent relative standard uncertainty of the monitoring procedure</w:t>
      </w:r>
      <w:r w:rsidR="00CF2B67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CF2B67">
        <w:rPr>
          <w:szCs w:val="18"/>
        </w:rPr>
        <w:t>)</w:t>
      </w:r>
      <w:r w:rsidR="006F3C1F" w:rsidRPr="006F3C1F">
        <w:rPr>
          <w:szCs w:val="18"/>
        </w:rPr>
        <w:t xml:space="preserve"> was determined to be </w:t>
      </w:r>
      <w:r w:rsidR="00544648">
        <w:rPr>
          <w:szCs w:val="18"/>
        </w:rPr>
        <w:t>31</w:t>
      </w:r>
      <w:r w:rsidR="006F3C1F" w:rsidRPr="006F3C1F">
        <w:rPr>
          <w:szCs w:val="18"/>
        </w:rPr>
        <w:t>% for the 8-hour TWA</w:t>
      </w:r>
      <w:r w:rsidR="0065779D">
        <w:rPr>
          <w:szCs w:val="18"/>
        </w:rPr>
        <w:t xml:space="preserve">, </w:t>
      </w:r>
      <w:r w:rsidR="00544648">
        <w:rPr>
          <w:szCs w:val="18"/>
        </w:rPr>
        <w:t>10</w:t>
      </w:r>
      <w:r w:rsidR="0065779D">
        <w:rPr>
          <w:szCs w:val="18"/>
        </w:rPr>
        <w:t xml:space="preserve">% for </w:t>
      </w:r>
      <w:r w:rsidR="00692ACD">
        <w:rPr>
          <w:szCs w:val="18"/>
        </w:rPr>
        <w:t>the ceiling</w:t>
      </w:r>
      <w:r w:rsidR="006B1143">
        <w:rPr>
          <w:szCs w:val="18"/>
        </w:rPr>
        <w:t xml:space="preserve"> </w:t>
      </w:r>
      <w:r w:rsidR="006F3C1F" w:rsidRPr="006F3C1F">
        <w:rPr>
          <w:szCs w:val="18"/>
        </w:rPr>
        <w:t xml:space="preserve">and </w:t>
      </w:r>
      <w:r w:rsidR="00544648">
        <w:rPr>
          <w:szCs w:val="18"/>
        </w:rPr>
        <w:t>9.</w:t>
      </w:r>
      <w:r w:rsidR="000C1C19">
        <w:rPr>
          <w:szCs w:val="18"/>
        </w:rPr>
        <w:t>4</w:t>
      </w:r>
      <w:r w:rsidR="006F3C1F" w:rsidRPr="006F3C1F">
        <w:rPr>
          <w:szCs w:val="18"/>
        </w:rPr>
        <w:t xml:space="preserve">% for the IDLH. The expanded uncertainty </w:t>
      </w:r>
      <w:r w:rsidR="00FB02A4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U</m:t>
        </m:r>
      </m:oMath>
      <w:r w:rsidR="00FB02A4">
        <w:rPr>
          <w:szCs w:val="18"/>
        </w:rPr>
        <w:t>)</w:t>
      </w:r>
      <w:r w:rsidR="00FB02A4" w:rsidRPr="00BD0B77">
        <w:rPr>
          <w:szCs w:val="18"/>
        </w:rPr>
        <w:t xml:space="preserve"> </w:t>
      </w:r>
      <w:r w:rsidR="006F3C1F" w:rsidRPr="006F3C1F">
        <w:rPr>
          <w:szCs w:val="18"/>
        </w:rPr>
        <w:t xml:space="preserve">was determined to be </w:t>
      </w:r>
      <w:r w:rsidR="00544648">
        <w:rPr>
          <w:szCs w:val="18"/>
        </w:rPr>
        <w:t>62</w:t>
      </w:r>
      <w:r w:rsidR="006F3C1F" w:rsidRPr="006F3C1F">
        <w:rPr>
          <w:szCs w:val="18"/>
        </w:rPr>
        <w:t>% for the 8-hour TWA</w:t>
      </w:r>
      <w:r w:rsidR="00692ACD">
        <w:rPr>
          <w:szCs w:val="18"/>
        </w:rPr>
        <w:t xml:space="preserve">, </w:t>
      </w:r>
      <w:r w:rsidR="00544648">
        <w:rPr>
          <w:szCs w:val="18"/>
        </w:rPr>
        <w:t>10</w:t>
      </w:r>
      <w:r w:rsidR="00692ACD">
        <w:rPr>
          <w:szCs w:val="18"/>
        </w:rPr>
        <w:t>% for the ceiling</w:t>
      </w:r>
      <w:r w:rsidR="00A13056">
        <w:rPr>
          <w:szCs w:val="18"/>
        </w:rPr>
        <w:t xml:space="preserve"> </w:t>
      </w:r>
      <w:r w:rsidR="006F3C1F" w:rsidRPr="006F3C1F">
        <w:rPr>
          <w:szCs w:val="18"/>
        </w:rPr>
        <w:t xml:space="preserve">and </w:t>
      </w:r>
      <w:r w:rsidR="00841170">
        <w:rPr>
          <w:szCs w:val="18"/>
        </w:rPr>
        <w:t>19</w:t>
      </w:r>
      <w:r w:rsidR="006F3C1F" w:rsidRPr="006F3C1F">
        <w:rPr>
          <w:szCs w:val="18"/>
        </w:rPr>
        <w:t>% for the IDLH.</w:t>
      </w:r>
    </w:p>
    <w:p w14:paraId="2B4B238F" w14:textId="77777777" w:rsidR="009C7CB6" w:rsidRDefault="009C7CB6" w:rsidP="00AD12C0">
      <w:pPr>
        <w:rPr>
          <w:szCs w:val="18"/>
        </w:rPr>
      </w:pPr>
    </w:p>
    <w:p w14:paraId="3FF61863" w14:textId="0098DE71" w:rsidR="0050770C" w:rsidRPr="00BD0B77" w:rsidRDefault="0050770C" w:rsidP="0050770C">
      <w:pPr>
        <w:rPr>
          <w:rFonts w:eastAsiaTheme="minorEastAsia"/>
          <w:szCs w:val="18"/>
        </w:rPr>
      </w:pPr>
      <w:r w:rsidRPr="00BD0B77">
        <w:rPr>
          <w:rFonts w:eastAsiaTheme="minorEastAsia"/>
          <w:b/>
          <w:szCs w:val="18"/>
        </w:rPr>
        <w:t xml:space="preserve">Table </w:t>
      </w:r>
      <w:r w:rsidR="002F610A">
        <w:rPr>
          <w:rFonts w:eastAsiaTheme="minorEastAsia"/>
          <w:b/>
          <w:szCs w:val="18"/>
        </w:rPr>
        <w:t>1</w:t>
      </w:r>
      <w:r w:rsidR="005969FD">
        <w:rPr>
          <w:rFonts w:eastAsiaTheme="minorEastAsia"/>
          <w:b/>
          <w:szCs w:val="18"/>
        </w:rPr>
        <w:t>5</w:t>
      </w:r>
      <w:r w:rsidRPr="00BD0B77">
        <w:rPr>
          <w:rFonts w:eastAsiaTheme="minorEastAsia"/>
          <w:b/>
          <w:szCs w:val="18"/>
        </w:rPr>
        <w:t>.</w:t>
      </w:r>
      <w:r w:rsidRPr="00BD0B77">
        <w:rPr>
          <w:rFonts w:eastAsiaTheme="minorEastAsia"/>
          <w:szCs w:val="18"/>
        </w:rPr>
        <w:t xml:space="preserve"> </w:t>
      </w:r>
      <w:r>
        <w:rPr>
          <w:szCs w:val="18"/>
        </w:rPr>
        <w:t>U</w:t>
      </w:r>
      <w:r w:rsidRPr="00BD0B77">
        <w:rPr>
          <w:szCs w:val="18"/>
        </w:rPr>
        <w:t>ncertainty.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801"/>
        <w:gridCol w:w="803"/>
        <w:gridCol w:w="803"/>
        <w:gridCol w:w="3746"/>
      </w:tblGrid>
      <w:tr w:rsidR="00A27FB9" w:rsidRPr="00A746DC" w14:paraId="37A62618" w14:textId="77777777" w:rsidTr="00A27FB9">
        <w:trPr>
          <w:tblHeader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</w:tcPr>
          <w:p w14:paraId="5F125B84" w14:textId="77777777" w:rsidR="00F603BA" w:rsidRPr="00BD0B77" w:rsidRDefault="00F603BA">
            <w:pPr>
              <w:rPr>
                <w:szCs w:val="18"/>
              </w:rPr>
            </w:pPr>
            <w:r w:rsidRPr="00BD0B77">
              <w:rPr>
                <w:szCs w:val="18"/>
              </w:rPr>
              <w:t>uncertainty component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14:paraId="5E4DB0B7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8-hour TWA</w:t>
            </w:r>
          </w:p>
          <w:p w14:paraId="65814D8C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1DA328D9" w14:textId="515B039A" w:rsidR="00F603BA" w:rsidRDefault="00713E2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Ceiling (%)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2D4EA623" w14:textId="65879670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IDLH</w:t>
            </w:r>
          </w:p>
          <w:p w14:paraId="3D48564B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1B236353" w14:textId="77777777" w:rsidR="00F603BA" w:rsidRPr="00BD0B77" w:rsidRDefault="00F603BA">
            <w:pPr>
              <w:rPr>
                <w:szCs w:val="18"/>
              </w:rPr>
            </w:pPr>
            <w:r w:rsidRPr="00BD0B77">
              <w:rPr>
                <w:szCs w:val="18"/>
              </w:rPr>
              <w:t>notes</w:t>
            </w:r>
          </w:p>
        </w:tc>
      </w:tr>
      <w:tr w:rsidR="00A27FB9" w:rsidRPr="00A746DC" w14:paraId="7544388E" w14:textId="77777777" w:rsidTr="00A27FB9">
        <w:trPr>
          <w:trHeight w:val="197"/>
        </w:trPr>
        <w:tc>
          <w:tcPr>
            <w:tcW w:w="1713" w:type="pct"/>
            <w:tcBorders>
              <w:top w:val="single" w:sz="4" w:space="0" w:color="auto"/>
            </w:tcBorders>
          </w:tcPr>
          <w:p w14:paraId="7C10305F" w14:textId="77777777" w:rsidR="00F603BA" w:rsidRPr="00BD0B77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calibration standards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14:paraId="141C9B8F" w14:textId="619A0CA6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50B58FDF" w14:textId="2544F282" w:rsidR="00F603BA" w:rsidRDefault="005048B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79C9A885" w14:textId="6D221CBE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001" w:type="pct"/>
            <w:tcBorders>
              <w:top w:val="single" w:sz="4" w:space="0" w:color="auto"/>
            </w:tcBorders>
          </w:tcPr>
          <w:p w14:paraId="4852EA01" w14:textId="77777777" w:rsidR="00F603BA" w:rsidRDefault="00C432D0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5%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w:r w:rsidR="00F603BA">
              <w:rPr>
                <w:rFonts w:eastAsiaTheme="minorEastAsia"/>
                <w:szCs w:val="18"/>
              </w:rPr>
              <w:t>assumes</w:t>
            </w:r>
            <w:proofErr w:type="gramEnd"/>
            <w:r w:rsidR="00F603BA">
              <w:rPr>
                <w:rFonts w:eastAsiaTheme="minorEastAsia"/>
                <w:szCs w:val="18"/>
              </w:rPr>
              <w:t xml:space="preserve"> an accuracy of </w:t>
            </w:r>
            <w:r w:rsidR="00F603BA">
              <w:rPr>
                <w:rFonts w:eastAsiaTheme="minorEastAsia" w:cs="Arial"/>
                <w:szCs w:val="18"/>
              </w:rPr>
              <w:t>±</w:t>
            </w:r>
            <w:r w:rsidR="00F603BA">
              <w:rPr>
                <w:rFonts w:eastAsiaTheme="minorEastAsia"/>
                <w:szCs w:val="18"/>
              </w:rPr>
              <w:t>5%</w:t>
            </w:r>
          </w:p>
          <w:p w14:paraId="2FE81396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213B3664" w14:textId="77777777" w:rsidTr="00A27FB9">
        <w:tc>
          <w:tcPr>
            <w:tcW w:w="1713" w:type="pct"/>
          </w:tcPr>
          <w:p w14:paraId="553AA256" w14:textId="77777777" w:rsidR="00F603BA" w:rsidRPr="00BD0B77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precision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  <w:r w:rsidRPr="00BD0B77">
              <w:rPr>
                <w:szCs w:val="18"/>
              </w:rPr>
              <w:t xml:space="preserve">  </w:t>
            </w:r>
          </w:p>
        </w:tc>
        <w:tc>
          <w:tcPr>
            <w:tcW w:w="428" w:type="pct"/>
          </w:tcPr>
          <w:p w14:paraId="457295BC" w14:textId="34D5CE0B" w:rsidR="00F603BA" w:rsidRPr="00BD0B77" w:rsidRDefault="008534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5.4</w:t>
            </w:r>
          </w:p>
        </w:tc>
        <w:tc>
          <w:tcPr>
            <w:tcW w:w="429" w:type="pct"/>
          </w:tcPr>
          <w:p w14:paraId="73E3655D" w14:textId="4BCDA05F" w:rsidR="00F603BA" w:rsidRDefault="007A61D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  <w:r w:rsidR="003E6017">
              <w:rPr>
                <w:szCs w:val="18"/>
              </w:rPr>
              <w:t>7</w:t>
            </w:r>
          </w:p>
        </w:tc>
        <w:tc>
          <w:tcPr>
            <w:tcW w:w="429" w:type="pct"/>
          </w:tcPr>
          <w:p w14:paraId="7E63F35B" w14:textId="5AFB5575" w:rsidR="00F603BA" w:rsidRPr="00BD0B77" w:rsidRDefault="00907B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4.2</w:t>
            </w:r>
          </w:p>
        </w:tc>
        <w:tc>
          <w:tcPr>
            <w:tcW w:w="2001" w:type="pct"/>
          </w:tcPr>
          <w:p w14:paraId="5B7BF533" w14:textId="2BCE6D06" w:rsidR="00F603BA" w:rsidRPr="00BD0B77" w:rsidRDefault="00C432D0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18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1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+(1-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18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szCs w:val="18"/>
                    </w:rPr>
                    <m:t xml:space="preserve">)×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pl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127EEC">
              <w:rPr>
                <w:rFonts w:eastAsiaTheme="minorEastAsia"/>
                <w:szCs w:val="18"/>
              </w:rPr>
              <w:t>4.9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2F4F9A">
              <w:rPr>
                <w:rFonts w:eastAsiaTheme="minorEastAsia"/>
                <w:szCs w:val="18"/>
              </w:rPr>
              <w:t>3.0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m_CLG</m:t>
                  </m:r>
                </m:sub>
              </m:sSub>
            </m:oMath>
            <w:r w:rsidR="00C85EE3" w:rsidRPr="00BD0B77">
              <w:rPr>
                <w:rFonts w:eastAsiaTheme="minorEastAsia"/>
                <w:szCs w:val="18"/>
              </w:rPr>
              <w:t xml:space="preserve"> = </w:t>
            </w:r>
            <w:r w:rsidR="005F7375">
              <w:rPr>
                <w:rFonts w:eastAsiaTheme="minorEastAsia"/>
                <w:szCs w:val="18"/>
              </w:rPr>
              <w:t>1.9</w:t>
            </w:r>
            <w:r w:rsidR="00C85EE3">
              <w:rPr>
                <w:rFonts w:eastAsiaTheme="minorEastAsia"/>
                <w:szCs w:val="18"/>
              </w:rPr>
              <w:t>%</w:t>
            </w:r>
            <w:r w:rsidR="00C85EE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pl_CLG</m:t>
                  </m:r>
                </m:sub>
              </m:sSub>
            </m:oMath>
            <w:r w:rsidR="00C85EE3" w:rsidRPr="00BD0B77">
              <w:rPr>
                <w:rFonts w:eastAsiaTheme="minorEastAsia"/>
                <w:szCs w:val="18"/>
              </w:rPr>
              <w:t xml:space="preserve"> = </w:t>
            </w:r>
            <w:r w:rsidR="005F7375">
              <w:rPr>
                <w:rFonts w:eastAsiaTheme="minorEastAsia"/>
                <w:szCs w:val="18"/>
              </w:rPr>
              <w:t>5.</w:t>
            </w:r>
            <w:r w:rsidR="0000251A">
              <w:rPr>
                <w:rFonts w:eastAsiaTheme="minorEastAsia"/>
                <w:szCs w:val="18"/>
              </w:rPr>
              <w:t>3</w:t>
            </w:r>
            <w:r w:rsidR="00C85EE3">
              <w:rPr>
                <w:rFonts w:eastAsiaTheme="minorEastAsia"/>
                <w:szCs w:val="18"/>
              </w:rPr>
              <w:t>%</w:t>
            </w:r>
            <w:r w:rsidR="00C85EE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792FA9">
              <w:rPr>
                <w:rFonts w:eastAsiaTheme="minorEastAsia"/>
                <w:szCs w:val="18"/>
              </w:rPr>
              <w:t>1.</w:t>
            </w:r>
            <w:r w:rsidR="00C60C3C">
              <w:rPr>
                <w:rFonts w:eastAsiaTheme="minorEastAsia"/>
                <w:szCs w:val="18"/>
              </w:rPr>
              <w:t>4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907B68">
              <w:rPr>
                <w:rFonts w:eastAsiaTheme="minorEastAsia"/>
                <w:szCs w:val="18"/>
              </w:rPr>
              <w:t>4.</w:t>
            </w:r>
            <w:r w:rsidR="00C60C3C">
              <w:rPr>
                <w:rFonts w:eastAsiaTheme="minorEastAsia"/>
                <w:szCs w:val="18"/>
              </w:rPr>
              <w:t>8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F603BA">
              <w:rPr>
                <w:rFonts w:eastAsiaTheme="minorEastAsia"/>
                <w:szCs w:val="18"/>
              </w:rPr>
              <w:t>3</w:t>
            </w:r>
            <w:r w:rsidR="00F603BA" w:rsidRPr="00BD0B77">
              <w:rPr>
                <w:rFonts w:eastAsiaTheme="minorEastAsia"/>
                <w:szCs w:val="18"/>
              </w:rPr>
              <w:t>, see Section 4.4</w:t>
            </w:r>
          </w:p>
          <w:p w14:paraId="3D7A8B35" w14:textId="77777777" w:rsidR="00F603BA" w:rsidRPr="00BD0B77" w:rsidRDefault="00F603BA">
            <w:pPr>
              <w:jc w:val="left"/>
              <w:rPr>
                <w:rFonts w:eastAsia="Calibri" w:cs="Times New Roman"/>
                <w:szCs w:val="18"/>
              </w:rPr>
            </w:pPr>
          </w:p>
        </w:tc>
      </w:tr>
      <w:tr w:rsidR="00A27FB9" w:rsidRPr="00A746DC" w14:paraId="0E8D0E81" w14:textId="77777777" w:rsidTr="00A27FB9">
        <w:tc>
          <w:tcPr>
            <w:tcW w:w="1713" w:type="pct"/>
          </w:tcPr>
          <w:p w14:paraId="77A24E66" w14:textId="77777777" w:rsidR="00F603BA" w:rsidRPr="00BD0B77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bias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</w:tcPr>
          <w:p w14:paraId="28A6A87A" w14:textId="0312A0E5" w:rsidR="00F603BA" w:rsidRPr="00BD0B77" w:rsidRDefault="008534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4.4</w:t>
            </w:r>
          </w:p>
        </w:tc>
        <w:tc>
          <w:tcPr>
            <w:tcW w:w="429" w:type="pct"/>
          </w:tcPr>
          <w:p w14:paraId="6831DA9A" w14:textId="6AE0AC95" w:rsidR="00F603BA" w:rsidRDefault="007A61D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3.4</w:t>
            </w:r>
          </w:p>
        </w:tc>
        <w:tc>
          <w:tcPr>
            <w:tcW w:w="429" w:type="pct"/>
          </w:tcPr>
          <w:p w14:paraId="1B77449D" w14:textId="7762443B" w:rsidR="00F603BA" w:rsidRPr="00BD0B77" w:rsidRDefault="00330E6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0C1C19">
              <w:rPr>
                <w:szCs w:val="18"/>
              </w:rPr>
              <w:t>8</w:t>
            </w:r>
          </w:p>
        </w:tc>
        <w:tc>
          <w:tcPr>
            <w:tcW w:w="2001" w:type="pct"/>
          </w:tcPr>
          <w:p w14:paraId="62C24886" w14:textId="6674559C" w:rsidR="00F603BA" w:rsidRDefault="00C432D0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rc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F603BA" w:rsidRPr="00BD0B77">
              <w:rPr>
                <w:rFonts w:eastAsiaTheme="minorEastAsia"/>
                <w:szCs w:val="18"/>
              </w:rPr>
              <w:t>,</w:t>
            </w:r>
          </w:p>
          <w:p w14:paraId="498FFC5F" w14:textId="0A7FEB84" w:rsidR="00F603BA" w:rsidRPr="00BD0B77" w:rsidRDefault="00F603BA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2F4F9A">
              <w:rPr>
                <w:rFonts w:eastAsiaTheme="minorEastAsia"/>
                <w:szCs w:val="18"/>
              </w:rPr>
              <w:t>5.</w:t>
            </w:r>
            <w:r w:rsidR="00BF6716">
              <w:rPr>
                <w:rFonts w:eastAsiaTheme="minorEastAsia"/>
                <w:szCs w:val="18"/>
              </w:rPr>
              <w:t>2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2F4F9A">
              <w:rPr>
                <w:rFonts w:eastAsiaTheme="minorEastAsia"/>
                <w:szCs w:val="18"/>
              </w:rPr>
              <w:t>5.2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mb_CLG</m:t>
                  </m:r>
                </m:sub>
              </m:sSub>
            </m:oMath>
            <w:r w:rsidR="00C87AF9" w:rsidRPr="00BD0B77">
              <w:rPr>
                <w:rFonts w:eastAsiaTheme="minorEastAsia"/>
                <w:szCs w:val="18"/>
              </w:rPr>
              <w:t xml:space="preserve"> = </w:t>
            </w:r>
            <w:r w:rsidR="007A61D6">
              <w:rPr>
                <w:rFonts w:eastAsiaTheme="minorEastAsia"/>
                <w:szCs w:val="18"/>
              </w:rPr>
              <w:t>1.</w:t>
            </w:r>
            <w:r w:rsidR="0000251A">
              <w:rPr>
                <w:rFonts w:eastAsiaTheme="minorEastAsia"/>
                <w:szCs w:val="18"/>
              </w:rPr>
              <w:t>8</w:t>
            </w:r>
            <w:r w:rsidR="00C87AF9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mb_CLG</m:t>
                  </m:r>
                </m:sub>
              </m:sSub>
            </m:oMath>
            <w:r w:rsidR="00C87AF9">
              <w:rPr>
                <w:rFonts w:eastAsiaTheme="minorEastAsia"/>
                <w:szCs w:val="18"/>
              </w:rPr>
              <w:t xml:space="preserve"> =</w:t>
            </w:r>
            <w:r w:rsidR="00C87AF9" w:rsidRPr="00BD0B77">
              <w:rPr>
                <w:rFonts w:eastAsiaTheme="minorEastAsia"/>
                <w:szCs w:val="18"/>
              </w:rPr>
              <w:t xml:space="preserve"> </w:t>
            </w:r>
            <w:r w:rsidR="007A61D6">
              <w:rPr>
                <w:rFonts w:eastAsiaTheme="minorEastAsia"/>
                <w:szCs w:val="18"/>
              </w:rPr>
              <w:t>4.</w:t>
            </w:r>
            <w:r w:rsidR="003B1353">
              <w:rPr>
                <w:rFonts w:eastAsiaTheme="minorEastAsia"/>
                <w:szCs w:val="18"/>
              </w:rPr>
              <w:t>8</w:t>
            </w:r>
            <w:r w:rsidR="00C87AF9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C60C3C">
              <w:rPr>
                <w:rFonts w:eastAsiaTheme="minorEastAsia"/>
                <w:szCs w:val="18"/>
              </w:rPr>
              <w:t>3</w:t>
            </w:r>
            <w:r w:rsidR="00907B68">
              <w:rPr>
                <w:rFonts w:eastAsiaTheme="minorEastAsia"/>
                <w:szCs w:val="18"/>
              </w:rPr>
              <w:t>.</w:t>
            </w:r>
            <w:r w:rsidR="006C3668">
              <w:rPr>
                <w:rFonts w:eastAsiaTheme="minorEastAsia"/>
                <w:szCs w:val="18"/>
              </w:rPr>
              <w:t>4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=</w:t>
            </w:r>
            <w:r w:rsidRPr="00BD0B77">
              <w:rPr>
                <w:rFonts w:eastAsiaTheme="minorEastAsia"/>
                <w:szCs w:val="18"/>
              </w:rPr>
              <w:t xml:space="preserve"> </w:t>
            </w:r>
            <w:r w:rsidR="00907B68">
              <w:rPr>
                <w:rFonts w:eastAsiaTheme="minorEastAsia"/>
                <w:szCs w:val="18"/>
              </w:rPr>
              <w:t>4.3</w:t>
            </w:r>
            <w:r w:rsidRPr="00BD0B77">
              <w:rPr>
                <w:rFonts w:eastAsiaTheme="minorEastAsia"/>
                <w:szCs w:val="18"/>
              </w:rPr>
              <w:t xml:space="preserve">%,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15</w:t>
            </w:r>
            <w:r w:rsidRPr="00BD0B77">
              <w:rPr>
                <w:rFonts w:eastAsiaTheme="minorEastAsia"/>
                <w:szCs w:val="18"/>
              </w:rPr>
              <w:t xml:space="preserve">, see Section 4.4;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rc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3%</w:t>
            </w:r>
            <w:r>
              <w:rPr>
                <w:rFonts w:eastAsiaTheme="minorEastAsia"/>
                <w:szCs w:val="18"/>
              </w:rPr>
              <w:t>,</w:t>
            </w:r>
            <w:r w:rsidRPr="00BD0B77">
              <w:rPr>
                <w:rFonts w:eastAsiaTheme="minorEastAsia"/>
                <w:szCs w:val="18"/>
              </w:rPr>
              <w:t xml:space="preserve"> see Reference </w:t>
            </w:r>
            <w:r w:rsidRPr="00BD0B77">
              <w:rPr>
                <w:rStyle w:val="EndnoteReference"/>
                <w:rFonts w:eastAsiaTheme="minorEastAsia"/>
                <w:szCs w:val="18"/>
              </w:rPr>
              <w:endnoteReference w:id="5"/>
            </w:r>
          </w:p>
          <w:p w14:paraId="33D1B156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13011447" w14:textId="77777777" w:rsidTr="00A27FB9">
        <w:tc>
          <w:tcPr>
            <w:tcW w:w="1713" w:type="pct"/>
          </w:tcPr>
          <w:p w14:paraId="34CF8382" w14:textId="77777777" w:rsidR="00F603BA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lastRenderedPageBreak/>
              <w:t>effect of humidity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</w:tcPr>
          <w:p w14:paraId="17F4EE3E" w14:textId="7B427EC5" w:rsidR="00F603BA" w:rsidRDefault="0003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429" w:type="pct"/>
          </w:tcPr>
          <w:p w14:paraId="60721913" w14:textId="26A4E7F9" w:rsidR="00F603BA" w:rsidRDefault="0003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3.1</w:t>
            </w:r>
          </w:p>
        </w:tc>
        <w:tc>
          <w:tcPr>
            <w:tcW w:w="429" w:type="pct"/>
          </w:tcPr>
          <w:p w14:paraId="640B35CF" w14:textId="48F84FB9" w:rsidR="00F603BA" w:rsidRDefault="0003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2.0</w:t>
            </w:r>
          </w:p>
        </w:tc>
        <w:tc>
          <w:tcPr>
            <w:tcW w:w="2001" w:type="pct"/>
          </w:tcPr>
          <w:p w14:paraId="1D1C455B" w14:textId="39603B90" w:rsidR="00F603BA" w:rsidRDefault="00F603BA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h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031631">
              <w:rPr>
                <w:rFonts w:eastAsiaTheme="minorEastAsia"/>
                <w:szCs w:val="18"/>
              </w:rPr>
              <w:t>1.7</w:t>
            </w:r>
            <w:r w:rsidRPr="00BD0B77">
              <w:rPr>
                <w:rFonts w:eastAsiaTheme="minorEastAsia"/>
                <w:szCs w:val="18"/>
              </w:rPr>
              <w:t>%</w:t>
            </w:r>
            <w:r w:rsidR="001C0844">
              <w:rPr>
                <w:rFonts w:eastAsiaTheme="minorEastAsia"/>
                <w:szCs w:val="18"/>
              </w:rPr>
              <w:t>,</w:t>
            </w:r>
            <w:r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h_CLG</m:t>
                  </m:r>
                </m:sub>
              </m:sSub>
            </m:oMath>
            <w:r w:rsidR="001C0844" w:rsidRPr="00BD0B77">
              <w:rPr>
                <w:rFonts w:eastAsiaTheme="minorEastAsia"/>
                <w:szCs w:val="18"/>
              </w:rPr>
              <w:t xml:space="preserve"> = </w:t>
            </w:r>
            <w:r w:rsidR="00031631">
              <w:rPr>
                <w:rFonts w:eastAsiaTheme="minorEastAsia"/>
                <w:szCs w:val="18"/>
              </w:rPr>
              <w:t>5.3</w:t>
            </w:r>
            <w:r w:rsidR="001C0844" w:rsidRPr="00BD0B77">
              <w:rPr>
                <w:rFonts w:eastAsiaTheme="minorEastAsia"/>
                <w:szCs w:val="18"/>
              </w:rPr>
              <w:t xml:space="preserve">%, </w:t>
            </w:r>
            <w:r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031631">
              <w:rPr>
                <w:rFonts w:eastAsiaTheme="minorEastAsia"/>
                <w:szCs w:val="18"/>
              </w:rPr>
              <w:t>3.4</w:t>
            </w:r>
            <w:r w:rsidRPr="00BD0B77">
              <w:rPr>
                <w:rFonts w:eastAsiaTheme="minorEastAsia"/>
                <w:szCs w:val="18"/>
              </w:rPr>
              <w:t>%, see Section 4.</w:t>
            </w:r>
            <w:r>
              <w:rPr>
                <w:rFonts w:eastAsiaTheme="minorEastAsia"/>
                <w:szCs w:val="18"/>
              </w:rPr>
              <w:t>7</w:t>
            </w:r>
          </w:p>
          <w:p w14:paraId="609D70E6" w14:textId="77777777" w:rsidR="00F603BA" w:rsidRPr="008F5B3C" w:rsidRDefault="00F603BA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A27FB9" w:rsidRPr="00A746DC" w14:paraId="72E442DE" w14:textId="77777777" w:rsidTr="00A27FB9">
        <w:tc>
          <w:tcPr>
            <w:tcW w:w="1713" w:type="pct"/>
          </w:tcPr>
          <w:p w14:paraId="2B73B0C6" w14:textId="77777777" w:rsidR="00F603BA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i</w:t>
            </w:r>
            <w:r w:rsidRPr="00255CFD">
              <w:rPr>
                <w:szCs w:val="18"/>
              </w:rPr>
              <w:t xml:space="preserve">ntermittent </w:t>
            </w: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>xposure</w:t>
            </w:r>
            <w:r>
              <w:rPr>
                <w:szCs w:val="18"/>
              </w:rPr>
              <w:t xml:space="preserve"> </w:t>
            </w:r>
            <w:r w:rsidRPr="00255CFD">
              <w:rPr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ie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  <w:p w14:paraId="105172A0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  <w:tc>
          <w:tcPr>
            <w:tcW w:w="428" w:type="pct"/>
          </w:tcPr>
          <w:p w14:paraId="1FA71DAC" w14:textId="046211D1" w:rsidR="00F603BA" w:rsidRPr="00BD0B77" w:rsidRDefault="00714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429" w:type="pct"/>
          </w:tcPr>
          <w:p w14:paraId="63FB0D84" w14:textId="3F1346B9" w:rsidR="00F603BA" w:rsidRDefault="00BC714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429" w:type="pct"/>
          </w:tcPr>
          <w:p w14:paraId="35F46208" w14:textId="26F36F21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2001" w:type="pct"/>
          </w:tcPr>
          <w:p w14:paraId="7B61AE4F" w14:textId="680D7B67" w:rsidR="00F603BA" w:rsidRDefault="00C432D0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ie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8664C8">
              <w:rPr>
                <w:rFonts w:eastAsiaTheme="minorEastAsia"/>
                <w:szCs w:val="18"/>
              </w:rPr>
              <w:t>50</w:t>
            </w:r>
            <w:r w:rsidR="00F603BA" w:rsidRPr="00BD0B77">
              <w:rPr>
                <w:rFonts w:eastAsiaTheme="minorEastAsia"/>
                <w:szCs w:val="18"/>
              </w:rPr>
              <w:t>%</w:t>
            </w:r>
            <w:r w:rsidR="00F603BA">
              <w:rPr>
                <w:rFonts w:eastAsiaTheme="minorEastAsia"/>
                <w:szCs w:val="18"/>
              </w:rPr>
              <w:t xml:space="preserve">, </w:t>
            </w:r>
            <w:r w:rsidR="00F603BA" w:rsidRPr="00BD0B77">
              <w:rPr>
                <w:rFonts w:eastAsiaTheme="minorEastAsia"/>
                <w:szCs w:val="18"/>
              </w:rPr>
              <w:t>see Section 4.</w:t>
            </w:r>
            <w:r w:rsidR="00F603BA">
              <w:rPr>
                <w:rFonts w:eastAsiaTheme="minorEastAsia"/>
                <w:szCs w:val="18"/>
              </w:rPr>
              <w:t>9</w:t>
            </w:r>
          </w:p>
          <w:p w14:paraId="6D6911FF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09237837" w14:textId="77777777" w:rsidTr="00A27FB9">
        <w:tc>
          <w:tcPr>
            <w:tcW w:w="1713" w:type="pct"/>
          </w:tcPr>
          <w:p w14:paraId="39E639C2" w14:textId="77777777" w:rsidR="00F603BA" w:rsidRPr="00255CFD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AD13D0">
              <w:rPr>
                <w:szCs w:val="18"/>
              </w:rPr>
              <w:t xml:space="preserve">ffect of </w:t>
            </w:r>
            <w:r>
              <w:rPr>
                <w:szCs w:val="18"/>
              </w:rPr>
              <w:t>t</w:t>
            </w:r>
            <w:r w:rsidRPr="00AD13D0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T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428" w:type="pct"/>
          </w:tcPr>
          <w:p w14:paraId="50428BBC" w14:textId="72132846" w:rsidR="00F603BA" w:rsidRPr="00BD0B77" w:rsidRDefault="004D5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</w:p>
        </w:tc>
        <w:tc>
          <w:tcPr>
            <w:tcW w:w="429" w:type="pct"/>
          </w:tcPr>
          <w:p w14:paraId="731D6F89" w14:textId="1ADF7F58" w:rsidR="00F603BA" w:rsidRDefault="004D5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</w:p>
        </w:tc>
        <w:tc>
          <w:tcPr>
            <w:tcW w:w="429" w:type="pct"/>
          </w:tcPr>
          <w:p w14:paraId="016A6FCA" w14:textId="249ADAE4" w:rsidR="00F603BA" w:rsidRPr="00BD0B77" w:rsidRDefault="004D5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3.1</w:t>
            </w:r>
          </w:p>
        </w:tc>
        <w:tc>
          <w:tcPr>
            <w:tcW w:w="2001" w:type="pct"/>
          </w:tcPr>
          <w:p w14:paraId="6B4F4E8E" w14:textId="4D7A9672" w:rsidR="00F603BA" w:rsidRDefault="00C432D0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924D5D">
              <w:rPr>
                <w:rFonts w:eastAsiaTheme="minorEastAsia"/>
                <w:szCs w:val="18"/>
              </w:rPr>
              <w:t>6.3</w:t>
            </w:r>
            <w:r w:rsidR="00F603BA" w:rsidRPr="00BD0B77">
              <w:rPr>
                <w:rFonts w:eastAsiaTheme="minorEastAsia"/>
                <w:szCs w:val="18"/>
              </w:rPr>
              <w:t>%</w:t>
            </w:r>
            <w:r w:rsidR="00F603BA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T_CLG</m:t>
                  </m:r>
                </m:sub>
              </m:sSub>
            </m:oMath>
            <w:r w:rsidR="001C0844" w:rsidRPr="00BD0B77">
              <w:rPr>
                <w:rFonts w:eastAsiaTheme="minorEastAsia"/>
                <w:szCs w:val="18"/>
              </w:rPr>
              <w:t xml:space="preserve"> = </w:t>
            </w:r>
            <w:r w:rsidR="00924D5D">
              <w:rPr>
                <w:rFonts w:eastAsiaTheme="minorEastAsia"/>
                <w:szCs w:val="18"/>
              </w:rPr>
              <w:t>6.3</w:t>
            </w:r>
            <w:r w:rsidR="001C0844" w:rsidRPr="00BD0B77">
              <w:rPr>
                <w:rFonts w:eastAsiaTheme="minorEastAsia"/>
                <w:szCs w:val="18"/>
              </w:rPr>
              <w:t xml:space="preserve">%, </w:t>
            </w:r>
            <w:r w:rsidR="00F603BA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924D5D">
              <w:rPr>
                <w:rFonts w:eastAsiaTheme="minorEastAsia"/>
                <w:szCs w:val="18"/>
              </w:rPr>
              <w:t>5.3</w:t>
            </w:r>
            <w:r w:rsidR="00F603BA" w:rsidRPr="00BD0B77">
              <w:rPr>
                <w:rFonts w:eastAsiaTheme="minorEastAsia"/>
                <w:szCs w:val="18"/>
              </w:rPr>
              <w:t>%, see Section 4.</w:t>
            </w:r>
            <w:r w:rsidR="00F603BA">
              <w:rPr>
                <w:rFonts w:eastAsiaTheme="minorEastAsia"/>
                <w:szCs w:val="18"/>
              </w:rPr>
              <w:t>10</w:t>
            </w:r>
          </w:p>
          <w:p w14:paraId="5C8583F0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1EE5FD29" w14:textId="77777777" w:rsidTr="00A27FB9">
        <w:tc>
          <w:tcPr>
            <w:tcW w:w="1713" w:type="pct"/>
          </w:tcPr>
          <w:p w14:paraId="30C78A48" w14:textId="77777777" w:rsidR="00F603BA" w:rsidRPr="00255CFD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r</w:t>
            </w:r>
            <w:r w:rsidRPr="00AD13D0">
              <w:rPr>
                <w:szCs w:val="18"/>
              </w:rPr>
              <w:t>esolution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r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428" w:type="pct"/>
          </w:tcPr>
          <w:p w14:paraId="7210BDC0" w14:textId="084AEF60" w:rsidR="00F603BA" w:rsidRPr="00BD0B77" w:rsidRDefault="00357B9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29" w:type="pct"/>
          </w:tcPr>
          <w:p w14:paraId="07231659" w14:textId="18D26079" w:rsidR="00F603BA" w:rsidRDefault="00357B9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29" w:type="pct"/>
          </w:tcPr>
          <w:p w14:paraId="6592DB46" w14:textId="377E865C" w:rsidR="00F603BA" w:rsidRPr="00BD0B77" w:rsidRDefault="00FD4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0.29</w:t>
            </w:r>
          </w:p>
        </w:tc>
        <w:tc>
          <w:tcPr>
            <w:tcW w:w="2001" w:type="pct"/>
          </w:tcPr>
          <w:p w14:paraId="4DF3024B" w14:textId="5E3F2223" w:rsidR="00F603BA" w:rsidRDefault="00C432D0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[Res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(2×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Cs w:val="1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)]×100%</m:t>
                  </m:r>
                </m:den>
              </m:f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</w:t>
            </w:r>
            <w:r w:rsidR="00F603BA">
              <w:rPr>
                <w:rFonts w:eastAsiaTheme="minorEastAsia"/>
                <w:szCs w:val="18"/>
              </w:rPr>
              <w:t>= 0.</w:t>
            </w:r>
            <w:r w:rsidR="00367258">
              <w:rPr>
                <w:rFonts w:eastAsiaTheme="minorEastAsia"/>
                <w:szCs w:val="18"/>
              </w:rPr>
              <w:t>05</w:t>
            </w:r>
            <w:r w:rsidR="00F603BA">
              <w:rPr>
                <w:rFonts w:eastAsiaTheme="minorEastAsia"/>
                <w:szCs w:val="18"/>
              </w:rPr>
              <w:t xml:space="preserve">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367258">
              <w:rPr>
                <w:rFonts w:eastAsiaTheme="minorEastAsia"/>
                <w:szCs w:val="18"/>
              </w:rPr>
              <w:t>1</w:t>
            </w:r>
            <w:r w:rsidR="00F603BA">
              <w:rPr>
                <w:rFonts w:eastAsiaTheme="minorEastAsia"/>
                <w:szCs w:val="18"/>
              </w:rPr>
              <w:t xml:space="preserve"> ppm</w:t>
            </w:r>
            <w:r w:rsidR="00F603BA" w:rsidRPr="00BD0B77">
              <w:rPr>
                <w:rFonts w:eastAsiaTheme="minorEastAsia"/>
                <w:szCs w:val="18"/>
              </w:rPr>
              <w:t>,</w:t>
            </w:r>
            <w:r w:rsidR="00367258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CLG</m:t>
                  </m:r>
                </m:sub>
              </m:sSub>
            </m:oMath>
            <w:r w:rsidR="00367258" w:rsidRPr="00BD0B77">
              <w:rPr>
                <w:rFonts w:eastAsiaTheme="minorEastAsia"/>
                <w:szCs w:val="18"/>
              </w:rPr>
              <w:t xml:space="preserve"> </w:t>
            </w:r>
            <w:r w:rsidR="00367258">
              <w:rPr>
                <w:rFonts w:eastAsiaTheme="minorEastAsia"/>
                <w:szCs w:val="18"/>
              </w:rPr>
              <w:t xml:space="preserve">= 0.05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C_CLG</m:t>
                  </m:r>
                </m:sub>
              </m:sSub>
            </m:oMath>
            <w:r w:rsidR="00367258" w:rsidRPr="00BD0B77">
              <w:rPr>
                <w:rFonts w:eastAsiaTheme="minorEastAsia"/>
                <w:szCs w:val="18"/>
              </w:rPr>
              <w:t xml:space="preserve"> = </w:t>
            </w:r>
            <w:r w:rsidR="00367258">
              <w:rPr>
                <w:rFonts w:eastAsiaTheme="minorEastAsia"/>
                <w:szCs w:val="18"/>
              </w:rPr>
              <w:t>1 ppm</w:t>
            </w:r>
            <w:r w:rsidR="00367258" w:rsidRPr="00BD0B77">
              <w:rPr>
                <w:rFonts w:eastAsiaTheme="minorEastAsia"/>
                <w:szCs w:val="18"/>
              </w:rPr>
              <w:t>,</w:t>
            </w:r>
            <w:r w:rsidR="00367258">
              <w:rPr>
                <w:rFonts w:ascii="Cambria Math" w:hAnsi="Cambria Math"/>
                <w:i/>
                <w:szCs w:val="18"/>
              </w:rPr>
              <w:t xml:space="preserve"> </w:t>
            </w:r>
            <w:r w:rsidR="00F603BA">
              <w:rPr>
                <w:rFonts w:eastAsiaTheme="minorEastAsia"/>
                <w:szCs w:val="18"/>
              </w:rPr>
              <w:t>and</w:t>
            </w:r>
            <w:r w:rsidR="00F603BA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</w:t>
            </w:r>
            <w:r w:rsidR="00F603BA">
              <w:rPr>
                <w:rFonts w:eastAsiaTheme="minorEastAsia"/>
                <w:szCs w:val="18"/>
              </w:rPr>
              <w:t xml:space="preserve">= </w:t>
            </w:r>
            <w:r w:rsidR="00367258">
              <w:rPr>
                <w:rFonts w:eastAsiaTheme="minorEastAsia"/>
                <w:szCs w:val="18"/>
              </w:rPr>
              <w:t>0.1</w:t>
            </w:r>
            <w:r w:rsidR="00F603BA">
              <w:rPr>
                <w:rFonts w:eastAsiaTheme="minorEastAsia"/>
                <w:szCs w:val="18"/>
              </w:rPr>
              <w:t xml:space="preserve">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F603BA">
              <w:rPr>
                <w:rFonts w:eastAsiaTheme="minorEastAsia"/>
                <w:szCs w:val="18"/>
              </w:rPr>
              <w:t>10 ppm</w:t>
            </w:r>
          </w:p>
          <w:p w14:paraId="7EABC65E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12AF772C" w14:textId="77777777" w:rsidTr="00A27FB9">
        <w:tc>
          <w:tcPr>
            <w:tcW w:w="1713" w:type="pct"/>
          </w:tcPr>
          <w:p w14:paraId="782DCEDB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response drift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dr</m:t>
                  </m:r>
                </m:sub>
              </m:sSub>
            </m:oMath>
            <w:r w:rsidRPr="00BD0B77"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28" w:type="pct"/>
          </w:tcPr>
          <w:p w14:paraId="106593E8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429" w:type="pct"/>
          </w:tcPr>
          <w:p w14:paraId="3255C25E" w14:textId="1BAB305C" w:rsidR="00F603BA" w:rsidRPr="00BD0B77" w:rsidRDefault="00C45E9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5.8</w:t>
            </w:r>
          </w:p>
        </w:tc>
        <w:tc>
          <w:tcPr>
            <w:tcW w:w="429" w:type="pct"/>
          </w:tcPr>
          <w:p w14:paraId="6F80A874" w14:textId="4802E69C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2001" w:type="pct"/>
          </w:tcPr>
          <w:p w14:paraId="35CB6985" w14:textId="77777777" w:rsidR="00F603BA" w:rsidRDefault="00C432D0">
            <w:pPr>
              <w:jc w:val="left"/>
              <w:rPr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dr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10%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F603BA" w:rsidRPr="00BD0B77">
              <w:rPr>
                <w:rFonts w:eastAsiaTheme="minorEastAsia"/>
                <w:szCs w:val="18"/>
              </w:rPr>
              <w:t>, a</w:t>
            </w:r>
            <w:proofErr w:type="spellStart"/>
            <w:r w:rsidR="00F603BA" w:rsidRPr="00BD0B77">
              <w:rPr>
                <w:szCs w:val="18"/>
              </w:rPr>
              <w:t>ssumes</w:t>
            </w:r>
            <w:proofErr w:type="spellEnd"/>
            <w:proofErr w:type="gramEnd"/>
            <w:r w:rsidR="00F603BA" w:rsidRPr="00BD0B77">
              <w:rPr>
                <w:szCs w:val="18"/>
              </w:rPr>
              <w:t xml:space="preserve"> a maximum </w:t>
            </w:r>
            <w:r w:rsidR="00F603BA">
              <w:rPr>
                <w:szCs w:val="18"/>
              </w:rPr>
              <w:t>monitor</w:t>
            </w:r>
            <w:r w:rsidR="00F603BA" w:rsidRPr="00BD0B77">
              <w:rPr>
                <w:szCs w:val="18"/>
              </w:rPr>
              <w:t xml:space="preserve"> response drift of </w:t>
            </w:r>
            <w:r w:rsidR="00F603BA" w:rsidRPr="00BD0B77">
              <w:rPr>
                <w:rFonts w:cs="Arial"/>
                <w:szCs w:val="18"/>
              </w:rPr>
              <w:t>±</w:t>
            </w:r>
            <w:r w:rsidR="00F603BA" w:rsidRPr="00BD0B77">
              <w:rPr>
                <w:szCs w:val="18"/>
              </w:rPr>
              <w:t xml:space="preserve">10% </w:t>
            </w:r>
          </w:p>
          <w:p w14:paraId="579BE510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600E9DF0" w14:textId="77777777" w:rsidTr="00A27FB9">
        <w:tc>
          <w:tcPr>
            <w:tcW w:w="1713" w:type="pct"/>
          </w:tcPr>
          <w:p w14:paraId="707B9D16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temperature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28" w:type="pct"/>
          </w:tcPr>
          <w:p w14:paraId="5146477B" w14:textId="0451E445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429" w:type="pct"/>
          </w:tcPr>
          <w:p w14:paraId="3664BA64" w14:textId="11BD2942" w:rsidR="00F603BA" w:rsidRDefault="00C45E9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429" w:type="pct"/>
          </w:tcPr>
          <w:p w14:paraId="13C4A079" w14:textId="3007CD88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2001" w:type="pct"/>
          </w:tcPr>
          <w:p w14:paraId="794D05FD" w14:textId="77777777" w:rsidR="00F603BA" w:rsidRDefault="00C432D0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0.27%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pacing w:val="-7"/>
                  <w:szCs w:val="18"/>
                </w:rPr>
                <m:t xml:space="preserve"> </m:t>
              </m:r>
            </m:oMath>
            <w:r w:rsidR="00F603BA">
              <w:rPr>
                <w:rFonts w:eastAsia="Calibri" w:cs="Arial"/>
                <w:spacing w:val="-7"/>
                <w:szCs w:val="18"/>
              </w:rPr>
              <w:t xml:space="preserve">, assumes a measured accuracy of ±0.8 </w:t>
            </w:r>
            <w:r w:rsidR="00F603BA" w:rsidRPr="00BD0B77">
              <w:rPr>
                <w:rFonts w:cs="Arial"/>
                <w:szCs w:val="18"/>
              </w:rPr>
              <w:t>°</w:t>
            </w:r>
            <w:r w:rsidR="00F603BA">
              <w:rPr>
                <w:rFonts w:eastAsia="Calibri" w:cs="Arial"/>
                <w:spacing w:val="-7"/>
                <w:szCs w:val="18"/>
              </w:rPr>
              <w:t xml:space="preserve">C at 25 </w:t>
            </w:r>
            <w:r w:rsidR="00F603BA" w:rsidRPr="00BD0B77">
              <w:rPr>
                <w:rFonts w:cs="Arial"/>
                <w:szCs w:val="18"/>
              </w:rPr>
              <w:t>°</w:t>
            </w:r>
            <w:r w:rsidR="00F603BA" w:rsidRPr="00BD0B77">
              <w:rPr>
                <w:szCs w:val="18"/>
              </w:rPr>
              <w:t>C</w:t>
            </w:r>
          </w:p>
          <w:p w14:paraId="1AEBB86B" w14:textId="77777777" w:rsidR="00F603BA" w:rsidRDefault="00F603BA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A27FB9" w:rsidRPr="00A746DC" w14:paraId="304045DD" w14:textId="77777777" w:rsidTr="00A27FB9">
        <w:tc>
          <w:tcPr>
            <w:tcW w:w="1713" w:type="pct"/>
          </w:tcPr>
          <w:p w14:paraId="2BCDDB74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pressure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28" w:type="pct"/>
          </w:tcPr>
          <w:p w14:paraId="1368ADC3" w14:textId="015BF725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  <w:r w:rsidR="006D732A">
              <w:rPr>
                <w:szCs w:val="18"/>
              </w:rPr>
              <w:t>7</w:t>
            </w:r>
          </w:p>
        </w:tc>
        <w:tc>
          <w:tcPr>
            <w:tcW w:w="429" w:type="pct"/>
          </w:tcPr>
          <w:p w14:paraId="3BF5CB8A" w14:textId="638C3573" w:rsidR="00F603BA" w:rsidRDefault="00C45E9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  <w:r w:rsidR="006D732A">
              <w:rPr>
                <w:szCs w:val="18"/>
              </w:rPr>
              <w:t>7</w:t>
            </w:r>
          </w:p>
        </w:tc>
        <w:tc>
          <w:tcPr>
            <w:tcW w:w="429" w:type="pct"/>
          </w:tcPr>
          <w:p w14:paraId="206C1B6D" w14:textId="2799CCB4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  <w:r w:rsidR="006D732A">
              <w:rPr>
                <w:szCs w:val="18"/>
              </w:rPr>
              <w:t>7</w:t>
            </w:r>
          </w:p>
        </w:tc>
        <w:tc>
          <w:tcPr>
            <w:tcW w:w="2001" w:type="pct"/>
          </w:tcPr>
          <w:p w14:paraId="6E64E8B4" w14:textId="7DC7462D" w:rsidR="00F603BA" w:rsidRPr="00FF1E2B" w:rsidRDefault="00C432D0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0.30%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F603BA">
              <w:rPr>
                <w:rFonts w:eastAsia="Calibri" w:cs="Arial"/>
                <w:spacing w:val="-7"/>
                <w:szCs w:val="18"/>
              </w:rPr>
              <w:t>, assumes a measured accuracy of ±</w:t>
            </w:r>
            <w:r w:rsidR="006D732A">
              <w:rPr>
                <w:rFonts w:eastAsia="Calibri" w:cs="Arial"/>
                <w:spacing w:val="-7"/>
                <w:szCs w:val="18"/>
              </w:rPr>
              <w:t>2.25</w:t>
            </w:r>
            <w:r w:rsidR="00F603BA">
              <w:rPr>
                <w:rFonts w:eastAsia="Calibri" w:cs="Arial"/>
                <w:spacing w:val="-7"/>
                <w:szCs w:val="18"/>
              </w:rPr>
              <w:t xml:space="preserve"> mmHg at 760 mmHg</w:t>
            </w:r>
          </w:p>
        </w:tc>
      </w:tr>
      <w:tr w:rsidR="00A27FB9" w:rsidRPr="00A746DC" w14:paraId="7DF0F77D" w14:textId="77777777" w:rsidTr="00A27FB9"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</w:tcPr>
          <w:p w14:paraId="2CC50E85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standard </w:t>
            </w:r>
            <w:r w:rsidRPr="00BD0B77">
              <w:rPr>
                <w:szCs w:val="18"/>
              </w:rPr>
              <w:t>uncertainty (</w:t>
            </w:r>
            <m:oMath>
              <m:r>
                <w:rPr>
                  <w:rFonts w:ascii="Cambria Math" w:eastAsia="Calibri" w:hAnsi="Cambria Math" w:cs="Arial"/>
                  <w:color w:val="000000"/>
                  <w:szCs w:val="18"/>
                </w:rPr>
                <m:t>u</m:t>
              </m:r>
            </m:oMath>
            <w:r w:rsidRPr="00BD0B77">
              <w:rPr>
                <w:rFonts w:eastAsiaTheme="minorEastAsia"/>
                <w:color w:val="000000"/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14:paraId="1ECAD8FD" w14:textId="1532EE0D" w:rsidR="00F603BA" w:rsidRPr="00BD0B77" w:rsidRDefault="006D73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15F9235" w14:textId="74059053" w:rsidR="00F603BA" w:rsidRDefault="00D110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6D732A">
              <w:rPr>
                <w:szCs w:val="18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05193465" w14:textId="35063634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</w:t>
            </w:r>
            <w:r w:rsidR="000C1C19">
              <w:rPr>
                <w:szCs w:val="18"/>
              </w:rPr>
              <w:t>4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32FBB8E5" w14:textId="77777777" w:rsidR="00F603BA" w:rsidRPr="00BD43B6" w:rsidRDefault="00F603BA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 xml:space="preserve">u=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rad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represents each uncertainty component as shown above</w:t>
            </w:r>
          </w:p>
        </w:tc>
      </w:tr>
      <w:tr w:rsidR="00A27FB9" w:rsidRPr="00A746DC" w14:paraId="217D48CC" w14:textId="77777777" w:rsidTr="00A27FB9"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</w:tcPr>
          <w:p w14:paraId="20536F7F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expanded uncertainty (</w:t>
            </w:r>
            <m:oMath>
              <m:r>
                <w:rPr>
                  <w:rFonts w:ascii="Cambria Math" w:hAnsi="Cambria Math"/>
                  <w:spacing w:val="-7"/>
                  <w:szCs w:val="18"/>
                </w:rPr>
                <m:t>U</m:t>
              </m:r>
            </m:oMath>
            <w:r>
              <w:rPr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14:paraId="3BE922FE" w14:textId="0CF6B2B3" w:rsidR="00F603BA" w:rsidRPr="00BD0B77" w:rsidRDefault="006D73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62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DB9A772" w14:textId="1D29E461" w:rsidR="00F603BA" w:rsidRDefault="006D73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7DA163E4" w14:textId="19D54E24" w:rsidR="00F603BA" w:rsidRPr="00BD0B77" w:rsidRDefault="008C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33821C1D" w14:textId="77777777" w:rsidR="00F603BA" w:rsidRPr="00277CDE" w:rsidRDefault="00F603BA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>U=k×u</m:t>
              </m:r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r>
                <w:rPr>
                  <w:rFonts w:ascii="Cambria Math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szCs w:val="18"/>
              </w:rPr>
              <w:t xml:space="preserve"> = 2</w:t>
            </w:r>
          </w:p>
        </w:tc>
      </w:tr>
    </w:tbl>
    <w:p w14:paraId="26E3951B" w14:textId="2CEC34D6" w:rsidR="006B736F" w:rsidRPr="00BD0B77" w:rsidRDefault="006B736F">
      <w:pPr>
        <w:spacing w:after="160" w:line="259" w:lineRule="auto"/>
        <w:jc w:val="left"/>
        <w:rPr>
          <w:szCs w:val="18"/>
        </w:rPr>
      </w:pPr>
      <w:r w:rsidRPr="00BD0B77">
        <w:rPr>
          <w:szCs w:val="18"/>
        </w:rPr>
        <w:br w:type="page"/>
      </w:r>
    </w:p>
    <w:p w14:paraId="7CEEB7C0" w14:textId="6B91E60C" w:rsidR="006B736F" w:rsidRPr="00BD0B77" w:rsidRDefault="00F66D84" w:rsidP="00F66D84">
      <w:pPr>
        <w:pStyle w:val="Heading1"/>
        <w:numPr>
          <w:ilvl w:val="0"/>
          <w:numId w:val="0"/>
        </w:numPr>
        <w:jc w:val="left"/>
        <w:rPr>
          <w:szCs w:val="18"/>
        </w:rPr>
      </w:pPr>
      <w:r w:rsidRPr="00BD0B77">
        <w:rPr>
          <w:szCs w:val="18"/>
        </w:rPr>
        <w:lastRenderedPageBreak/>
        <w:t>References</w:t>
      </w:r>
    </w:p>
    <w:sectPr w:rsidR="006B736F" w:rsidRPr="00BD0B77" w:rsidSect="00400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10CC" w14:textId="77777777" w:rsidR="0023224E" w:rsidRPr="00511003" w:rsidRDefault="0023224E" w:rsidP="00511003">
      <w:pPr>
        <w:pStyle w:val="Footer"/>
      </w:pPr>
    </w:p>
  </w:endnote>
  <w:endnote w:type="continuationSeparator" w:id="0">
    <w:p w14:paraId="44438079" w14:textId="77777777" w:rsidR="0023224E" w:rsidRDefault="0023224E" w:rsidP="00DD5D40">
      <w:pPr>
        <w:spacing w:line="240" w:lineRule="auto"/>
      </w:pPr>
      <w:r>
        <w:continuationSeparator/>
      </w:r>
    </w:p>
  </w:endnote>
  <w:endnote w:type="continuationNotice" w:id="1">
    <w:p w14:paraId="7ED49FC4" w14:textId="77777777" w:rsidR="0023224E" w:rsidRDefault="0023224E">
      <w:pPr>
        <w:spacing w:line="240" w:lineRule="auto"/>
      </w:pPr>
    </w:p>
  </w:endnote>
  <w:endnote w:id="2">
    <w:p w14:paraId="47AE70C0" w14:textId="7D94C7FE" w:rsidR="00AB4658" w:rsidRPr="004643C8" w:rsidRDefault="00AB4658" w:rsidP="00A50A9B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="00517B0E" w:rsidRPr="004643C8">
        <w:rPr>
          <w:szCs w:val="18"/>
        </w:rPr>
        <w:t>.</w:t>
      </w:r>
      <w:r w:rsidRPr="004643C8">
        <w:rPr>
          <w:szCs w:val="18"/>
        </w:rPr>
        <w:t xml:space="preserve"> </w:t>
      </w:r>
      <w:r w:rsidR="000F2A8F">
        <w:rPr>
          <w:szCs w:val="18"/>
        </w:rPr>
        <w:t>Edwards</w:t>
      </w:r>
      <w:r w:rsidR="00006A9E">
        <w:rPr>
          <w:szCs w:val="18"/>
        </w:rPr>
        <w:t>, S. and Ku, J.</w:t>
      </w:r>
      <w:r w:rsidRPr="004643C8">
        <w:rPr>
          <w:szCs w:val="18"/>
        </w:rPr>
        <w:t xml:space="preserve"> </w:t>
      </w:r>
      <w:r w:rsidR="00006A9E">
        <w:rPr>
          <w:szCs w:val="18"/>
          <w:shd w:val="clear" w:color="auto" w:fill="FFFFFF"/>
        </w:rPr>
        <w:t>Chlorine</w:t>
      </w:r>
      <w:r w:rsidR="00142B54">
        <w:rPr>
          <w:szCs w:val="18"/>
          <w:shd w:val="clear" w:color="auto" w:fill="FFFFFF"/>
        </w:rPr>
        <w:t xml:space="preserve"> in Workplace Atmos</w:t>
      </w:r>
      <w:r w:rsidR="00F83107">
        <w:rPr>
          <w:szCs w:val="18"/>
          <w:shd w:val="clear" w:color="auto" w:fill="FFFFFF"/>
        </w:rPr>
        <w:t>pheres</w:t>
      </w:r>
      <w:r w:rsidRPr="004643C8">
        <w:rPr>
          <w:szCs w:val="18"/>
          <w:shd w:val="clear" w:color="auto" w:fill="FFFFFF"/>
        </w:rPr>
        <w:t xml:space="preserve"> </w:t>
      </w:r>
      <w:r w:rsidRPr="004643C8">
        <w:rPr>
          <w:szCs w:val="18"/>
        </w:rPr>
        <w:t xml:space="preserve">(OSHA Method </w:t>
      </w:r>
      <w:r w:rsidR="00F83107">
        <w:rPr>
          <w:szCs w:val="18"/>
        </w:rPr>
        <w:t>ID-1</w:t>
      </w:r>
      <w:r w:rsidR="00006A9E">
        <w:rPr>
          <w:szCs w:val="18"/>
        </w:rPr>
        <w:t>01</w:t>
      </w:r>
      <w:r w:rsidRPr="004643C8">
        <w:rPr>
          <w:szCs w:val="18"/>
        </w:rPr>
        <w:t xml:space="preserve">), </w:t>
      </w:r>
      <w:r w:rsidR="00F83107">
        <w:rPr>
          <w:szCs w:val="18"/>
        </w:rPr>
        <w:t>19</w:t>
      </w:r>
      <w:r w:rsidR="00B61F96">
        <w:rPr>
          <w:szCs w:val="18"/>
        </w:rPr>
        <w:t>8</w:t>
      </w:r>
      <w:r w:rsidR="000922BA">
        <w:rPr>
          <w:szCs w:val="18"/>
        </w:rPr>
        <w:t>2</w:t>
      </w:r>
      <w:r w:rsidRPr="004643C8">
        <w:rPr>
          <w:szCs w:val="18"/>
        </w:rPr>
        <w:t>. United States Department of Labor,</w:t>
      </w:r>
      <w:r w:rsidR="00DF7B85" w:rsidRPr="004643C8">
        <w:rPr>
          <w:szCs w:val="18"/>
        </w:rPr>
        <w:t xml:space="preserve"> </w:t>
      </w:r>
      <w:r w:rsidRPr="004643C8">
        <w:rPr>
          <w:szCs w:val="18"/>
        </w:rPr>
        <w:t>Occupational</w:t>
      </w:r>
      <w:r w:rsidR="00471F02" w:rsidRPr="004643C8">
        <w:rPr>
          <w:szCs w:val="18"/>
        </w:rPr>
        <w:t xml:space="preserve"> </w:t>
      </w:r>
      <w:r w:rsidRPr="004643C8">
        <w:rPr>
          <w:szCs w:val="18"/>
        </w:rPr>
        <w:t xml:space="preserve">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 xml:space="preserve">ebsite. </w:t>
      </w:r>
      <w:hyperlink r:id="rId1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</w:t>
      </w:r>
      <w:r w:rsidR="009D239E">
        <w:rPr>
          <w:szCs w:val="18"/>
        </w:rPr>
        <w:t>April</w:t>
      </w:r>
      <w:r w:rsidR="00CB606C">
        <w:rPr>
          <w:szCs w:val="18"/>
        </w:rPr>
        <w:t xml:space="preserve"> 202</w:t>
      </w:r>
      <w:r w:rsidR="009D239E">
        <w:rPr>
          <w:szCs w:val="18"/>
        </w:rPr>
        <w:t>5</w:t>
      </w:r>
      <w:r w:rsidR="00CB606C">
        <w:rPr>
          <w:szCs w:val="18"/>
        </w:rPr>
        <w:t>).</w:t>
      </w:r>
    </w:p>
    <w:p w14:paraId="7E7878B5" w14:textId="0A284255" w:rsidR="00AB4658" w:rsidRPr="004643C8" w:rsidRDefault="00AB4658" w:rsidP="00A50A9B">
      <w:pPr>
        <w:rPr>
          <w:szCs w:val="18"/>
        </w:rPr>
      </w:pPr>
    </w:p>
  </w:endnote>
  <w:endnote w:id="3">
    <w:p w14:paraId="57FFFEE1" w14:textId="79EFB5C1" w:rsidR="00AB7732" w:rsidRPr="004643C8" w:rsidRDefault="00AB7732" w:rsidP="00A50A9B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bookmarkStart w:id="3" w:name="_Hlk115952936"/>
      <w:r w:rsidRPr="004643C8">
        <w:rPr>
          <w:szCs w:val="18"/>
        </w:rPr>
        <w:t xml:space="preserve">. </w:t>
      </w:r>
      <w:r w:rsidR="0004300C">
        <w:rPr>
          <w:szCs w:val="18"/>
        </w:rPr>
        <w:t>OSHA Method Guideline 2</w:t>
      </w:r>
      <w:r w:rsidR="00282663">
        <w:rPr>
          <w:szCs w:val="18"/>
        </w:rPr>
        <w:t xml:space="preserve">, </w:t>
      </w:r>
      <w:r w:rsidR="00764BBD" w:rsidRPr="00764BBD">
        <w:rPr>
          <w:szCs w:val="18"/>
        </w:rPr>
        <w:t>Direct-Reading Methods</w:t>
      </w:r>
      <w:r w:rsidRPr="004643C8">
        <w:rPr>
          <w:szCs w:val="18"/>
        </w:rPr>
        <w:t>,</w:t>
      </w:r>
      <w:r w:rsidR="003B6030">
        <w:rPr>
          <w:szCs w:val="18"/>
        </w:rPr>
        <w:t xml:space="preserve"> Version 2,</w:t>
      </w:r>
      <w:r w:rsidRPr="004643C8">
        <w:rPr>
          <w:szCs w:val="18"/>
        </w:rPr>
        <w:t xml:space="preserve"> </w:t>
      </w:r>
      <w:r w:rsidR="004954CC" w:rsidRPr="004643C8">
        <w:rPr>
          <w:szCs w:val="18"/>
        </w:rPr>
        <w:t>202</w:t>
      </w:r>
      <w:r w:rsidR="004954CC">
        <w:rPr>
          <w:szCs w:val="18"/>
        </w:rPr>
        <w:t>5</w:t>
      </w:r>
      <w:r w:rsidRPr="004643C8">
        <w:rPr>
          <w:szCs w:val="18"/>
        </w:rPr>
        <w:t xml:space="preserve">. United States Department of Labor, Occupational 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>ebsite.</w:t>
      </w:r>
      <w:bookmarkEnd w:id="3"/>
      <w:r w:rsidR="00CB606C" w:rsidRPr="00CB606C">
        <w:rPr>
          <w:szCs w:val="18"/>
        </w:rPr>
        <w:t xml:space="preserve"> </w:t>
      </w:r>
      <w:hyperlink r:id="rId2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</w:t>
      </w:r>
      <w:r w:rsidR="003B6030">
        <w:rPr>
          <w:szCs w:val="18"/>
        </w:rPr>
        <w:t xml:space="preserve">August </w:t>
      </w:r>
      <w:r w:rsidR="00CB606C">
        <w:rPr>
          <w:szCs w:val="18"/>
        </w:rPr>
        <w:t>202</w:t>
      </w:r>
      <w:r w:rsidR="0076135A">
        <w:rPr>
          <w:szCs w:val="18"/>
        </w:rPr>
        <w:t>5</w:t>
      </w:r>
      <w:r w:rsidR="00CB606C">
        <w:rPr>
          <w:szCs w:val="18"/>
        </w:rPr>
        <w:t>).</w:t>
      </w:r>
    </w:p>
    <w:p w14:paraId="12E1E811" w14:textId="77777777" w:rsidR="00AB7732" w:rsidRPr="004643C8" w:rsidRDefault="00AB7732" w:rsidP="00A50A9B">
      <w:pPr>
        <w:rPr>
          <w:szCs w:val="18"/>
        </w:rPr>
      </w:pPr>
    </w:p>
  </w:endnote>
  <w:endnote w:id="4">
    <w:p w14:paraId="3B912655" w14:textId="77777777" w:rsidR="001433FD" w:rsidRDefault="001433FD" w:rsidP="001433FD">
      <w:pPr>
        <w:pStyle w:val="EndnoteText"/>
      </w:pPr>
      <w:r>
        <w:rPr>
          <w:rStyle w:val="EndnoteReference"/>
        </w:rPr>
        <w:endnoteRef/>
      </w:r>
      <w:r>
        <w:t>. Dr</w:t>
      </w:r>
      <w:r>
        <w:rPr>
          <w:rFonts w:cs="Arial"/>
        </w:rPr>
        <w:t>ä</w:t>
      </w:r>
      <w:r>
        <w:t>gerSensor</w:t>
      </w:r>
      <w:r>
        <w:rPr>
          <w:rFonts w:cs="Arial"/>
        </w:rPr>
        <w:t>®</w:t>
      </w:r>
      <w:r>
        <w:t xml:space="preserve"> &amp; Portable Instruments Handbook, 6</w:t>
      </w:r>
      <w:r w:rsidRPr="00510529">
        <w:rPr>
          <w:vertAlign w:val="superscript"/>
        </w:rPr>
        <w:t>th</w:t>
      </w:r>
      <w:r>
        <w:t xml:space="preserve"> Edition, 2022. Drager Safety AG&amp; Co. KGaA. (accessed September 2025).</w:t>
      </w:r>
    </w:p>
    <w:p w14:paraId="4A785F2C" w14:textId="77777777" w:rsidR="001433FD" w:rsidRDefault="001433FD" w:rsidP="001433FD">
      <w:pPr>
        <w:pStyle w:val="EndnoteText"/>
      </w:pPr>
    </w:p>
  </w:endnote>
  <w:endnote w:id="5">
    <w:p w14:paraId="6A5965BC" w14:textId="77777777" w:rsidR="00F603BA" w:rsidRPr="00FD3FFE" w:rsidRDefault="00F603BA" w:rsidP="00A50A9B">
      <w:pPr>
        <w:pStyle w:val="EndnoteTex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Pr="004643C8">
        <w:rPr>
          <w:szCs w:val="18"/>
        </w:rPr>
        <w:t>. I</w:t>
      </w:r>
      <w:r w:rsidRPr="004643C8">
        <w:rPr>
          <w:w w:val="105"/>
          <w:szCs w:val="18"/>
        </w:rPr>
        <w:t>SO/DIS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22065:2018,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Workplace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air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Procedures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for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measuring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gases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vapours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using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pumped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samplers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Requirements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test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methods.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19A4" w14:textId="77777777" w:rsidR="0091734C" w:rsidRDefault="00917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559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E337A" w14:textId="7FE7989B" w:rsidR="00D30798" w:rsidRDefault="00D30798" w:rsidP="006A3A81">
            <w:pPr>
              <w:pStyle w:val="Footer"/>
              <w:jc w:val="center"/>
            </w:pPr>
            <w:r w:rsidRPr="008D3995">
              <w:rPr>
                <w:sz w:val="20"/>
              </w:rPr>
              <w:t xml:space="preserve">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PAGE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  <w:r w:rsidRPr="009A5EA5">
              <w:rPr>
                <w:szCs w:val="18"/>
              </w:rPr>
              <w:t xml:space="preserve"> of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NUMPAGES 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FA66" w14:textId="77777777" w:rsidR="0091734C" w:rsidRDefault="00917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5431" w14:textId="77777777" w:rsidR="0023224E" w:rsidRDefault="0023224E" w:rsidP="00DD5D40">
      <w:pPr>
        <w:spacing w:line="240" w:lineRule="auto"/>
      </w:pPr>
      <w:r>
        <w:separator/>
      </w:r>
    </w:p>
  </w:footnote>
  <w:footnote w:type="continuationSeparator" w:id="0">
    <w:p w14:paraId="2E88C8F8" w14:textId="77777777" w:rsidR="0023224E" w:rsidRDefault="0023224E" w:rsidP="00DD5D40">
      <w:pPr>
        <w:spacing w:line="240" w:lineRule="auto"/>
      </w:pPr>
      <w:r>
        <w:continuationSeparator/>
      </w:r>
    </w:p>
  </w:footnote>
  <w:footnote w:type="continuationNotice" w:id="1">
    <w:p w14:paraId="2182538C" w14:textId="77777777" w:rsidR="0023224E" w:rsidRDefault="002322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F09D" w14:textId="77777777" w:rsidR="0091734C" w:rsidRDefault="00917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82BD" w14:textId="78609A48" w:rsidR="00DE3F93" w:rsidRDefault="00DE3F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0BA415" wp14:editId="3ED87074">
          <wp:simplePos x="0" y="0"/>
          <wp:positionH relativeFrom="column">
            <wp:posOffset>3566159</wp:posOffset>
          </wp:positionH>
          <wp:positionV relativeFrom="paragraph">
            <wp:posOffset>0</wp:posOffset>
          </wp:positionV>
          <wp:extent cx="2381250" cy="438150"/>
          <wp:effectExtent l="0" t="0" r="0" b="0"/>
          <wp:wrapNone/>
          <wp:docPr id="1" name="Picture 1" descr="Occupational Safety and Health Administr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ccupational Safety and Health Administr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ID: 1</w:t>
    </w:r>
  </w:p>
  <w:p w14:paraId="3F8E55DC" w14:textId="77777777" w:rsidR="00DE3F93" w:rsidRDefault="00DE3F93">
    <w:pPr>
      <w:pStyle w:val="Header"/>
    </w:pPr>
    <w:r>
      <w:t>State: APPROVED</w:t>
    </w:r>
  </w:p>
  <w:p w14:paraId="1B51243C" w14:textId="5280BF93" w:rsidR="00DE3F93" w:rsidRDefault="00DE3F93">
    <w:pPr>
      <w:pStyle w:val="Header"/>
    </w:pPr>
    <w:r>
      <w:t>Date: 12/10/2025</w:t>
    </w:r>
    <w:r w:rsidR="00C432D0">
      <w:pict w14:anchorId="613CF7F4">
        <v:rect id="_x0000_i1025" style="width:0;height:1.5pt" o:hralign="center" o:hrstd="t" o:hr="t" fillcolor="#a0a0a0" stroked="f"/>
      </w:pict>
    </w:r>
  </w:p>
  <w:p w14:paraId="3A2688D5" w14:textId="23A56645" w:rsidR="0091734C" w:rsidRDefault="00DE3F93">
    <w:pPr>
      <w:pStyle w:val="Header"/>
    </w:pPr>
    <w:r>
      <w:t>OSHA Method 1030, Chlorine</w:t>
    </w:r>
  </w:p>
  <w:p w14:paraId="146FE4B3" w14:textId="77777777" w:rsidR="00DE3F93" w:rsidRDefault="00DE3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F594" w14:textId="77777777" w:rsidR="0091734C" w:rsidRDefault="00917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2E"/>
    <w:multiLevelType w:val="hybridMultilevel"/>
    <w:tmpl w:val="886E7E70"/>
    <w:lvl w:ilvl="0" w:tplc="ED22E9F8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FB3E81"/>
    <w:multiLevelType w:val="hybridMultilevel"/>
    <w:tmpl w:val="ABEABF1C"/>
    <w:lvl w:ilvl="0" w:tplc="8D2C6CA6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12F"/>
    <w:multiLevelType w:val="hybridMultilevel"/>
    <w:tmpl w:val="465CB15C"/>
    <w:lvl w:ilvl="0" w:tplc="A7A4D4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E6B8C"/>
    <w:multiLevelType w:val="hybridMultilevel"/>
    <w:tmpl w:val="CD12A8A2"/>
    <w:lvl w:ilvl="0" w:tplc="18106A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CAC"/>
    <w:multiLevelType w:val="hybridMultilevel"/>
    <w:tmpl w:val="482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BBB"/>
    <w:multiLevelType w:val="multilevel"/>
    <w:tmpl w:val="4E9E5B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B53D6A"/>
    <w:multiLevelType w:val="multilevel"/>
    <w:tmpl w:val="BAF02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0E04F16"/>
    <w:multiLevelType w:val="multilevel"/>
    <w:tmpl w:val="7C4CD5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1EA2936"/>
    <w:multiLevelType w:val="hybridMultilevel"/>
    <w:tmpl w:val="2C32F784"/>
    <w:lvl w:ilvl="0" w:tplc="3B48B45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6A95"/>
    <w:multiLevelType w:val="multilevel"/>
    <w:tmpl w:val="23E20A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E1D1CF4"/>
    <w:multiLevelType w:val="hybridMultilevel"/>
    <w:tmpl w:val="DF7C4224"/>
    <w:lvl w:ilvl="0" w:tplc="41FA9AD2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DD76720"/>
    <w:multiLevelType w:val="multilevel"/>
    <w:tmpl w:val="CF36E7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" w:hanging="1584"/>
      </w:pPr>
      <w:rPr>
        <w:rFonts w:hint="default"/>
      </w:rPr>
    </w:lvl>
  </w:abstractNum>
  <w:abstractNum w:abstractNumId="12" w15:restartNumberingAfterBreak="0">
    <w:nsid w:val="7E8808C3"/>
    <w:multiLevelType w:val="multilevel"/>
    <w:tmpl w:val="BC9E83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984894985">
    <w:abstractNumId w:val="3"/>
  </w:num>
  <w:num w:numId="2" w16cid:durableId="1837188060">
    <w:abstractNumId w:val="5"/>
  </w:num>
  <w:num w:numId="3" w16cid:durableId="996614397">
    <w:abstractNumId w:val="2"/>
  </w:num>
  <w:num w:numId="4" w16cid:durableId="12345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403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35236">
    <w:abstractNumId w:val="9"/>
  </w:num>
  <w:num w:numId="7" w16cid:durableId="342167647">
    <w:abstractNumId w:val="6"/>
  </w:num>
  <w:num w:numId="8" w16cid:durableId="1894075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176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680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197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71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838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322219">
    <w:abstractNumId w:val="5"/>
  </w:num>
  <w:num w:numId="15" w16cid:durableId="781653653">
    <w:abstractNumId w:val="5"/>
  </w:num>
  <w:num w:numId="16" w16cid:durableId="2144498364">
    <w:abstractNumId w:val="5"/>
    <w:lvlOverride w:ilvl="0">
      <w:startOverride w:val="1"/>
    </w:lvlOverride>
  </w:num>
  <w:num w:numId="17" w16cid:durableId="70280941">
    <w:abstractNumId w:val="5"/>
    <w:lvlOverride w:ilvl="0">
      <w:startOverride w:val="1"/>
    </w:lvlOverride>
  </w:num>
  <w:num w:numId="18" w16cid:durableId="288435401">
    <w:abstractNumId w:val="5"/>
    <w:lvlOverride w:ilvl="0">
      <w:startOverride w:val="1"/>
    </w:lvlOverride>
  </w:num>
  <w:num w:numId="19" w16cid:durableId="1928030789">
    <w:abstractNumId w:val="5"/>
    <w:lvlOverride w:ilvl="0">
      <w:startOverride w:val="1"/>
    </w:lvlOverride>
  </w:num>
  <w:num w:numId="20" w16cid:durableId="1345399942">
    <w:abstractNumId w:val="5"/>
    <w:lvlOverride w:ilvl="0">
      <w:startOverride w:val="1"/>
    </w:lvlOverride>
  </w:num>
  <w:num w:numId="21" w16cid:durableId="993528986">
    <w:abstractNumId w:val="7"/>
  </w:num>
  <w:num w:numId="22" w16cid:durableId="1698890923">
    <w:abstractNumId w:val="11"/>
  </w:num>
  <w:num w:numId="23" w16cid:durableId="101193564">
    <w:abstractNumId w:val="12"/>
  </w:num>
  <w:num w:numId="24" w16cid:durableId="1769350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7757141">
    <w:abstractNumId w:val="0"/>
  </w:num>
  <w:num w:numId="26" w16cid:durableId="2086107039">
    <w:abstractNumId w:val="8"/>
  </w:num>
  <w:num w:numId="27" w16cid:durableId="1525902553">
    <w:abstractNumId w:val="10"/>
  </w:num>
  <w:num w:numId="28" w16cid:durableId="1668510510">
    <w:abstractNumId w:val="1"/>
  </w:num>
  <w:num w:numId="29" w16cid:durableId="208163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62"/>
    <w:rsid w:val="000001EE"/>
    <w:rsid w:val="00000298"/>
    <w:rsid w:val="000007A8"/>
    <w:rsid w:val="00000B45"/>
    <w:rsid w:val="00000CB0"/>
    <w:rsid w:val="00000D25"/>
    <w:rsid w:val="00000E34"/>
    <w:rsid w:val="000013B8"/>
    <w:rsid w:val="00001A2F"/>
    <w:rsid w:val="00001B4F"/>
    <w:rsid w:val="000021D8"/>
    <w:rsid w:val="0000251A"/>
    <w:rsid w:val="0000275E"/>
    <w:rsid w:val="00002B1D"/>
    <w:rsid w:val="00002BD6"/>
    <w:rsid w:val="00002DEA"/>
    <w:rsid w:val="0000359C"/>
    <w:rsid w:val="00003A83"/>
    <w:rsid w:val="00004369"/>
    <w:rsid w:val="000043B5"/>
    <w:rsid w:val="0000448C"/>
    <w:rsid w:val="000049AF"/>
    <w:rsid w:val="000049EA"/>
    <w:rsid w:val="00004C66"/>
    <w:rsid w:val="0000507F"/>
    <w:rsid w:val="00005A68"/>
    <w:rsid w:val="00005F87"/>
    <w:rsid w:val="00005FE3"/>
    <w:rsid w:val="0000644C"/>
    <w:rsid w:val="00006553"/>
    <w:rsid w:val="00006624"/>
    <w:rsid w:val="00006703"/>
    <w:rsid w:val="00006772"/>
    <w:rsid w:val="00006858"/>
    <w:rsid w:val="00006892"/>
    <w:rsid w:val="00006A9E"/>
    <w:rsid w:val="00006C62"/>
    <w:rsid w:val="00006C63"/>
    <w:rsid w:val="00006FCE"/>
    <w:rsid w:val="0000715D"/>
    <w:rsid w:val="00007509"/>
    <w:rsid w:val="0000769D"/>
    <w:rsid w:val="00007D7F"/>
    <w:rsid w:val="00010218"/>
    <w:rsid w:val="000104A1"/>
    <w:rsid w:val="00010CA1"/>
    <w:rsid w:val="00010E90"/>
    <w:rsid w:val="00010FBB"/>
    <w:rsid w:val="00010FF6"/>
    <w:rsid w:val="0001106D"/>
    <w:rsid w:val="00011592"/>
    <w:rsid w:val="00011889"/>
    <w:rsid w:val="00011CEC"/>
    <w:rsid w:val="00011FBC"/>
    <w:rsid w:val="00012372"/>
    <w:rsid w:val="00012611"/>
    <w:rsid w:val="00012B3D"/>
    <w:rsid w:val="00012CB9"/>
    <w:rsid w:val="00012CCE"/>
    <w:rsid w:val="00012D04"/>
    <w:rsid w:val="000130AA"/>
    <w:rsid w:val="000135DD"/>
    <w:rsid w:val="00013770"/>
    <w:rsid w:val="000139B5"/>
    <w:rsid w:val="00013BC5"/>
    <w:rsid w:val="00013D48"/>
    <w:rsid w:val="000143D2"/>
    <w:rsid w:val="000144AC"/>
    <w:rsid w:val="0001452A"/>
    <w:rsid w:val="000145D9"/>
    <w:rsid w:val="0001495B"/>
    <w:rsid w:val="00014D55"/>
    <w:rsid w:val="00015002"/>
    <w:rsid w:val="00015321"/>
    <w:rsid w:val="0001536C"/>
    <w:rsid w:val="000156B2"/>
    <w:rsid w:val="00015703"/>
    <w:rsid w:val="000159EF"/>
    <w:rsid w:val="00015C53"/>
    <w:rsid w:val="00015CBC"/>
    <w:rsid w:val="00015F3A"/>
    <w:rsid w:val="0001610D"/>
    <w:rsid w:val="000163B2"/>
    <w:rsid w:val="00016658"/>
    <w:rsid w:val="000168E2"/>
    <w:rsid w:val="00017150"/>
    <w:rsid w:val="00017687"/>
    <w:rsid w:val="000176F4"/>
    <w:rsid w:val="00017815"/>
    <w:rsid w:val="000178EC"/>
    <w:rsid w:val="00017A36"/>
    <w:rsid w:val="00017CAB"/>
    <w:rsid w:val="000200F2"/>
    <w:rsid w:val="00020391"/>
    <w:rsid w:val="000203B2"/>
    <w:rsid w:val="00020C1E"/>
    <w:rsid w:val="00020CCC"/>
    <w:rsid w:val="00020F34"/>
    <w:rsid w:val="0002105F"/>
    <w:rsid w:val="0002134B"/>
    <w:rsid w:val="000215EA"/>
    <w:rsid w:val="00021B38"/>
    <w:rsid w:val="000223A2"/>
    <w:rsid w:val="000223E5"/>
    <w:rsid w:val="00022801"/>
    <w:rsid w:val="00022988"/>
    <w:rsid w:val="00022A38"/>
    <w:rsid w:val="00022CC2"/>
    <w:rsid w:val="00022D26"/>
    <w:rsid w:val="000232AE"/>
    <w:rsid w:val="000232B3"/>
    <w:rsid w:val="0002332F"/>
    <w:rsid w:val="000239F5"/>
    <w:rsid w:val="00023A6C"/>
    <w:rsid w:val="00023AC9"/>
    <w:rsid w:val="00023EA3"/>
    <w:rsid w:val="0002417A"/>
    <w:rsid w:val="000243A8"/>
    <w:rsid w:val="0002492B"/>
    <w:rsid w:val="00024F71"/>
    <w:rsid w:val="0002500D"/>
    <w:rsid w:val="00025C03"/>
    <w:rsid w:val="000262DD"/>
    <w:rsid w:val="00026CF8"/>
    <w:rsid w:val="00027133"/>
    <w:rsid w:val="0002719A"/>
    <w:rsid w:val="000273D4"/>
    <w:rsid w:val="00027DAC"/>
    <w:rsid w:val="00027E89"/>
    <w:rsid w:val="00027FFA"/>
    <w:rsid w:val="00030149"/>
    <w:rsid w:val="00030444"/>
    <w:rsid w:val="00030511"/>
    <w:rsid w:val="00030582"/>
    <w:rsid w:val="00030B0C"/>
    <w:rsid w:val="00030B4F"/>
    <w:rsid w:val="00030BE7"/>
    <w:rsid w:val="00030DFE"/>
    <w:rsid w:val="00031631"/>
    <w:rsid w:val="000316ED"/>
    <w:rsid w:val="00031939"/>
    <w:rsid w:val="00031952"/>
    <w:rsid w:val="00031B65"/>
    <w:rsid w:val="00031E3D"/>
    <w:rsid w:val="00032028"/>
    <w:rsid w:val="00032991"/>
    <w:rsid w:val="00032A31"/>
    <w:rsid w:val="00032ECD"/>
    <w:rsid w:val="000333CD"/>
    <w:rsid w:val="0003378F"/>
    <w:rsid w:val="000337F7"/>
    <w:rsid w:val="00033FED"/>
    <w:rsid w:val="00034082"/>
    <w:rsid w:val="0003410E"/>
    <w:rsid w:val="00034141"/>
    <w:rsid w:val="000341C9"/>
    <w:rsid w:val="0003443A"/>
    <w:rsid w:val="00035330"/>
    <w:rsid w:val="000357C5"/>
    <w:rsid w:val="00035D72"/>
    <w:rsid w:val="00035E06"/>
    <w:rsid w:val="00035EE1"/>
    <w:rsid w:val="00035FC9"/>
    <w:rsid w:val="000361E7"/>
    <w:rsid w:val="00036E60"/>
    <w:rsid w:val="00036EA9"/>
    <w:rsid w:val="00037023"/>
    <w:rsid w:val="00037119"/>
    <w:rsid w:val="00037282"/>
    <w:rsid w:val="00037869"/>
    <w:rsid w:val="000379CD"/>
    <w:rsid w:val="00037B99"/>
    <w:rsid w:val="00037CE1"/>
    <w:rsid w:val="00037CF6"/>
    <w:rsid w:val="00040136"/>
    <w:rsid w:val="000402F9"/>
    <w:rsid w:val="00040380"/>
    <w:rsid w:val="00040ACF"/>
    <w:rsid w:val="00040BC5"/>
    <w:rsid w:val="0004117B"/>
    <w:rsid w:val="0004126C"/>
    <w:rsid w:val="00041383"/>
    <w:rsid w:val="00041B1C"/>
    <w:rsid w:val="00041B96"/>
    <w:rsid w:val="00041D73"/>
    <w:rsid w:val="00041D95"/>
    <w:rsid w:val="00041DEE"/>
    <w:rsid w:val="00041F40"/>
    <w:rsid w:val="00042172"/>
    <w:rsid w:val="00042420"/>
    <w:rsid w:val="000424C7"/>
    <w:rsid w:val="0004270F"/>
    <w:rsid w:val="000428AD"/>
    <w:rsid w:val="00042AEC"/>
    <w:rsid w:val="00042DCC"/>
    <w:rsid w:val="0004300C"/>
    <w:rsid w:val="00043664"/>
    <w:rsid w:val="00043DC7"/>
    <w:rsid w:val="00043DF0"/>
    <w:rsid w:val="00043FD9"/>
    <w:rsid w:val="00044162"/>
    <w:rsid w:val="000443C7"/>
    <w:rsid w:val="000444C1"/>
    <w:rsid w:val="00044AE6"/>
    <w:rsid w:val="00044CCA"/>
    <w:rsid w:val="00044D86"/>
    <w:rsid w:val="000452E8"/>
    <w:rsid w:val="000459A8"/>
    <w:rsid w:val="00045A7D"/>
    <w:rsid w:val="00045AE9"/>
    <w:rsid w:val="00045B92"/>
    <w:rsid w:val="00045E58"/>
    <w:rsid w:val="00045F05"/>
    <w:rsid w:val="00046056"/>
    <w:rsid w:val="00046505"/>
    <w:rsid w:val="00046886"/>
    <w:rsid w:val="00046C82"/>
    <w:rsid w:val="00047014"/>
    <w:rsid w:val="0004702E"/>
    <w:rsid w:val="00047146"/>
    <w:rsid w:val="00047167"/>
    <w:rsid w:val="0004716D"/>
    <w:rsid w:val="00047300"/>
    <w:rsid w:val="00047E6D"/>
    <w:rsid w:val="00047FD1"/>
    <w:rsid w:val="0005026E"/>
    <w:rsid w:val="00050486"/>
    <w:rsid w:val="0005086A"/>
    <w:rsid w:val="000512C7"/>
    <w:rsid w:val="00051705"/>
    <w:rsid w:val="000518C3"/>
    <w:rsid w:val="00051AC5"/>
    <w:rsid w:val="00051BBD"/>
    <w:rsid w:val="00051BE5"/>
    <w:rsid w:val="00051C0F"/>
    <w:rsid w:val="00051CF4"/>
    <w:rsid w:val="00052123"/>
    <w:rsid w:val="00052486"/>
    <w:rsid w:val="0005295E"/>
    <w:rsid w:val="00053112"/>
    <w:rsid w:val="0005326D"/>
    <w:rsid w:val="000532CC"/>
    <w:rsid w:val="00053532"/>
    <w:rsid w:val="00053726"/>
    <w:rsid w:val="00053D5A"/>
    <w:rsid w:val="00053F53"/>
    <w:rsid w:val="00054054"/>
    <w:rsid w:val="000540FD"/>
    <w:rsid w:val="00054B40"/>
    <w:rsid w:val="00055735"/>
    <w:rsid w:val="00055784"/>
    <w:rsid w:val="00055D00"/>
    <w:rsid w:val="00055D69"/>
    <w:rsid w:val="00056143"/>
    <w:rsid w:val="00056192"/>
    <w:rsid w:val="000564DC"/>
    <w:rsid w:val="00056516"/>
    <w:rsid w:val="0005679C"/>
    <w:rsid w:val="000569B3"/>
    <w:rsid w:val="00056F8D"/>
    <w:rsid w:val="0005704E"/>
    <w:rsid w:val="00057303"/>
    <w:rsid w:val="000573FE"/>
    <w:rsid w:val="000577FF"/>
    <w:rsid w:val="00057E59"/>
    <w:rsid w:val="00057EC3"/>
    <w:rsid w:val="00060B22"/>
    <w:rsid w:val="00060C6B"/>
    <w:rsid w:val="00060CA0"/>
    <w:rsid w:val="00060D37"/>
    <w:rsid w:val="00061097"/>
    <w:rsid w:val="00061221"/>
    <w:rsid w:val="00061B07"/>
    <w:rsid w:val="00061CE8"/>
    <w:rsid w:val="00062022"/>
    <w:rsid w:val="0006225A"/>
    <w:rsid w:val="000624C4"/>
    <w:rsid w:val="00062D1C"/>
    <w:rsid w:val="00062D68"/>
    <w:rsid w:val="00063227"/>
    <w:rsid w:val="00063429"/>
    <w:rsid w:val="0006368B"/>
    <w:rsid w:val="00063A37"/>
    <w:rsid w:val="000643E6"/>
    <w:rsid w:val="00064524"/>
    <w:rsid w:val="00064C3A"/>
    <w:rsid w:val="00064DEA"/>
    <w:rsid w:val="00065640"/>
    <w:rsid w:val="00065980"/>
    <w:rsid w:val="000659B0"/>
    <w:rsid w:val="00065B11"/>
    <w:rsid w:val="00065B4E"/>
    <w:rsid w:val="00065D35"/>
    <w:rsid w:val="00065E3D"/>
    <w:rsid w:val="00066256"/>
    <w:rsid w:val="00066617"/>
    <w:rsid w:val="00066B71"/>
    <w:rsid w:val="00066CBE"/>
    <w:rsid w:val="00066E10"/>
    <w:rsid w:val="0006704B"/>
    <w:rsid w:val="00067074"/>
    <w:rsid w:val="00067255"/>
    <w:rsid w:val="00067265"/>
    <w:rsid w:val="00067377"/>
    <w:rsid w:val="0006795D"/>
    <w:rsid w:val="00067C2A"/>
    <w:rsid w:val="00067DF1"/>
    <w:rsid w:val="00070046"/>
    <w:rsid w:val="0007033C"/>
    <w:rsid w:val="000705E6"/>
    <w:rsid w:val="0007081A"/>
    <w:rsid w:val="0007087D"/>
    <w:rsid w:val="000709D8"/>
    <w:rsid w:val="00070C15"/>
    <w:rsid w:val="00070DD3"/>
    <w:rsid w:val="00070F04"/>
    <w:rsid w:val="000711EC"/>
    <w:rsid w:val="00072283"/>
    <w:rsid w:val="000723AD"/>
    <w:rsid w:val="000725FF"/>
    <w:rsid w:val="00072672"/>
    <w:rsid w:val="00072755"/>
    <w:rsid w:val="0007282B"/>
    <w:rsid w:val="00073031"/>
    <w:rsid w:val="00073512"/>
    <w:rsid w:val="00073A27"/>
    <w:rsid w:val="0007550C"/>
    <w:rsid w:val="00075997"/>
    <w:rsid w:val="00075A7E"/>
    <w:rsid w:val="00075B5D"/>
    <w:rsid w:val="00075EA4"/>
    <w:rsid w:val="00076126"/>
    <w:rsid w:val="0007646F"/>
    <w:rsid w:val="00076670"/>
    <w:rsid w:val="00076695"/>
    <w:rsid w:val="00076B2A"/>
    <w:rsid w:val="00076E87"/>
    <w:rsid w:val="00076F25"/>
    <w:rsid w:val="00076F8A"/>
    <w:rsid w:val="00077777"/>
    <w:rsid w:val="00077E08"/>
    <w:rsid w:val="00080059"/>
    <w:rsid w:val="00080457"/>
    <w:rsid w:val="000805F7"/>
    <w:rsid w:val="0008098F"/>
    <w:rsid w:val="00080D7B"/>
    <w:rsid w:val="0008109C"/>
    <w:rsid w:val="00081168"/>
    <w:rsid w:val="000811A0"/>
    <w:rsid w:val="00081402"/>
    <w:rsid w:val="00081542"/>
    <w:rsid w:val="000815E4"/>
    <w:rsid w:val="0008171B"/>
    <w:rsid w:val="00081F75"/>
    <w:rsid w:val="00081FBB"/>
    <w:rsid w:val="000822EF"/>
    <w:rsid w:val="00082678"/>
    <w:rsid w:val="00082ABD"/>
    <w:rsid w:val="00082F3B"/>
    <w:rsid w:val="000833F7"/>
    <w:rsid w:val="00083447"/>
    <w:rsid w:val="0008345B"/>
    <w:rsid w:val="0008353F"/>
    <w:rsid w:val="000837D6"/>
    <w:rsid w:val="000837D8"/>
    <w:rsid w:val="00083978"/>
    <w:rsid w:val="00083F3F"/>
    <w:rsid w:val="000843AC"/>
    <w:rsid w:val="00084889"/>
    <w:rsid w:val="00084989"/>
    <w:rsid w:val="00084C9F"/>
    <w:rsid w:val="00084EAD"/>
    <w:rsid w:val="0008508A"/>
    <w:rsid w:val="000859C6"/>
    <w:rsid w:val="00086188"/>
    <w:rsid w:val="00086C68"/>
    <w:rsid w:val="00086FFE"/>
    <w:rsid w:val="00087287"/>
    <w:rsid w:val="00087371"/>
    <w:rsid w:val="00087469"/>
    <w:rsid w:val="000877D6"/>
    <w:rsid w:val="0008796A"/>
    <w:rsid w:val="00087A96"/>
    <w:rsid w:val="00087AE8"/>
    <w:rsid w:val="00087C81"/>
    <w:rsid w:val="00087CCC"/>
    <w:rsid w:val="00087D72"/>
    <w:rsid w:val="00090C68"/>
    <w:rsid w:val="00090C6E"/>
    <w:rsid w:val="000911FD"/>
    <w:rsid w:val="0009132B"/>
    <w:rsid w:val="000916FC"/>
    <w:rsid w:val="000918BD"/>
    <w:rsid w:val="00091B30"/>
    <w:rsid w:val="00091FC5"/>
    <w:rsid w:val="000922BA"/>
    <w:rsid w:val="00092465"/>
    <w:rsid w:val="000924EB"/>
    <w:rsid w:val="000927B3"/>
    <w:rsid w:val="0009293B"/>
    <w:rsid w:val="00092C3D"/>
    <w:rsid w:val="00092F34"/>
    <w:rsid w:val="00092F98"/>
    <w:rsid w:val="0009304B"/>
    <w:rsid w:val="0009306A"/>
    <w:rsid w:val="00093125"/>
    <w:rsid w:val="000931B7"/>
    <w:rsid w:val="000935CB"/>
    <w:rsid w:val="00093674"/>
    <w:rsid w:val="00093A2E"/>
    <w:rsid w:val="00093AC2"/>
    <w:rsid w:val="00093CDF"/>
    <w:rsid w:val="00093E11"/>
    <w:rsid w:val="00093E7B"/>
    <w:rsid w:val="000940A2"/>
    <w:rsid w:val="000943C7"/>
    <w:rsid w:val="000946CE"/>
    <w:rsid w:val="0009478A"/>
    <w:rsid w:val="0009494E"/>
    <w:rsid w:val="00094A3C"/>
    <w:rsid w:val="00095175"/>
    <w:rsid w:val="00095493"/>
    <w:rsid w:val="00095567"/>
    <w:rsid w:val="000963F9"/>
    <w:rsid w:val="00096474"/>
    <w:rsid w:val="00096722"/>
    <w:rsid w:val="0009673F"/>
    <w:rsid w:val="0009697D"/>
    <w:rsid w:val="00096A09"/>
    <w:rsid w:val="00096C78"/>
    <w:rsid w:val="00096CAA"/>
    <w:rsid w:val="0009746A"/>
    <w:rsid w:val="00097521"/>
    <w:rsid w:val="00097819"/>
    <w:rsid w:val="0009789D"/>
    <w:rsid w:val="00097AAC"/>
    <w:rsid w:val="00097E15"/>
    <w:rsid w:val="000A0339"/>
    <w:rsid w:val="000A04DF"/>
    <w:rsid w:val="000A0573"/>
    <w:rsid w:val="000A05C2"/>
    <w:rsid w:val="000A05F3"/>
    <w:rsid w:val="000A05FC"/>
    <w:rsid w:val="000A06EA"/>
    <w:rsid w:val="000A0B66"/>
    <w:rsid w:val="000A1115"/>
    <w:rsid w:val="000A115F"/>
    <w:rsid w:val="000A1259"/>
    <w:rsid w:val="000A1777"/>
    <w:rsid w:val="000A1D88"/>
    <w:rsid w:val="000A2120"/>
    <w:rsid w:val="000A21F4"/>
    <w:rsid w:val="000A22E4"/>
    <w:rsid w:val="000A295F"/>
    <w:rsid w:val="000A2E61"/>
    <w:rsid w:val="000A2E74"/>
    <w:rsid w:val="000A2E84"/>
    <w:rsid w:val="000A2ED9"/>
    <w:rsid w:val="000A2F42"/>
    <w:rsid w:val="000A3635"/>
    <w:rsid w:val="000A36DF"/>
    <w:rsid w:val="000A393E"/>
    <w:rsid w:val="000A3CDC"/>
    <w:rsid w:val="000A3CE4"/>
    <w:rsid w:val="000A3E8A"/>
    <w:rsid w:val="000A42F4"/>
    <w:rsid w:val="000A494D"/>
    <w:rsid w:val="000A4B51"/>
    <w:rsid w:val="000A5300"/>
    <w:rsid w:val="000A5A22"/>
    <w:rsid w:val="000A5AEE"/>
    <w:rsid w:val="000A5B32"/>
    <w:rsid w:val="000A6456"/>
    <w:rsid w:val="000A6593"/>
    <w:rsid w:val="000A6616"/>
    <w:rsid w:val="000A69C8"/>
    <w:rsid w:val="000A6BCE"/>
    <w:rsid w:val="000A6E43"/>
    <w:rsid w:val="000A78CE"/>
    <w:rsid w:val="000A7965"/>
    <w:rsid w:val="000A7A76"/>
    <w:rsid w:val="000B003B"/>
    <w:rsid w:val="000B02E1"/>
    <w:rsid w:val="000B07CA"/>
    <w:rsid w:val="000B0F2E"/>
    <w:rsid w:val="000B152A"/>
    <w:rsid w:val="000B1613"/>
    <w:rsid w:val="000B1717"/>
    <w:rsid w:val="000B19C6"/>
    <w:rsid w:val="000B1BF9"/>
    <w:rsid w:val="000B1D69"/>
    <w:rsid w:val="000B1D6F"/>
    <w:rsid w:val="000B1F2E"/>
    <w:rsid w:val="000B2105"/>
    <w:rsid w:val="000B23C1"/>
    <w:rsid w:val="000B23E1"/>
    <w:rsid w:val="000B297E"/>
    <w:rsid w:val="000B2D7B"/>
    <w:rsid w:val="000B3AD6"/>
    <w:rsid w:val="000B3ADF"/>
    <w:rsid w:val="000B413C"/>
    <w:rsid w:val="000B44EB"/>
    <w:rsid w:val="000B4F62"/>
    <w:rsid w:val="000B50A4"/>
    <w:rsid w:val="000B5588"/>
    <w:rsid w:val="000B56F5"/>
    <w:rsid w:val="000B578F"/>
    <w:rsid w:val="000B583B"/>
    <w:rsid w:val="000B5858"/>
    <w:rsid w:val="000B5EF7"/>
    <w:rsid w:val="000B6009"/>
    <w:rsid w:val="000B6462"/>
    <w:rsid w:val="000B6513"/>
    <w:rsid w:val="000B65E1"/>
    <w:rsid w:val="000B68BA"/>
    <w:rsid w:val="000B6C70"/>
    <w:rsid w:val="000B6DAF"/>
    <w:rsid w:val="000B714F"/>
    <w:rsid w:val="000B7188"/>
    <w:rsid w:val="000B78B2"/>
    <w:rsid w:val="000B7A6D"/>
    <w:rsid w:val="000B7C00"/>
    <w:rsid w:val="000B7CD0"/>
    <w:rsid w:val="000B7E43"/>
    <w:rsid w:val="000B7ECD"/>
    <w:rsid w:val="000C0198"/>
    <w:rsid w:val="000C0203"/>
    <w:rsid w:val="000C0223"/>
    <w:rsid w:val="000C024B"/>
    <w:rsid w:val="000C034A"/>
    <w:rsid w:val="000C039D"/>
    <w:rsid w:val="000C03FA"/>
    <w:rsid w:val="000C085A"/>
    <w:rsid w:val="000C0934"/>
    <w:rsid w:val="000C0A49"/>
    <w:rsid w:val="000C0C1A"/>
    <w:rsid w:val="000C0CCC"/>
    <w:rsid w:val="000C1074"/>
    <w:rsid w:val="000C18F1"/>
    <w:rsid w:val="000C1B6D"/>
    <w:rsid w:val="000C1C19"/>
    <w:rsid w:val="000C1E24"/>
    <w:rsid w:val="000C2032"/>
    <w:rsid w:val="000C2055"/>
    <w:rsid w:val="000C278B"/>
    <w:rsid w:val="000C2A8C"/>
    <w:rsid w:val="000C3131"/>
    <w:rsid w:val="000C3873"/>
    <w:rsid w:val="000C38D8"/>
    <w:rsid w:val="000C39B0"/>
    <w:rsid w:val="000C407D"/>
    <w:rsid w:val="000C40A2"/>
    <w:rsid w:val="000C4E9B"/>
    <w:rsid w:val="000C517A"/>
    <w:rsid w:val="000C51DD"/>
    <w:rsid w:val="000C5335"/>
    <w:rsid w:val="000C535B"/>
    <w:rsid w:val="000C5BAC"/>
    <w:rsid w:val="000C5F88"/>
    <w:rsid w:val="000C5F94"/>
    <w:rsid w:val="000C60C8"/>
    <w:rsid w:val="000C6916"/>
    <w:rsid w:val="000C6CC3"/>
    <w:rsid w:val="000C6F8D"/>
    <w:rsid w:val="000C7068"/>
    <w:rsid w:val="000D0196"/>
    <w:rsid w:val="000D07BE"/>
    <w:rsid w:val="000D0B85"/>
    <w:rsid w:val="000D1083"/>
    <w:rsid w:val="000D143C"/>
    <w:rsid w:val="000D1C6B"/>
    <w:rsid w:val="000D1E0C"/>
    <w:rsid w:val="000D1EBA"/>
    <w:rsid w:val="000D1F0B"/>
    <w:rsid w:val="000D26B9"/>
    <w:rsid w:val="000D2B92"/>
    <w:rsid w:val="000D2C82"/>
    <w:rsid w:val="000D2F4F"/>
    <w:rsid w:val="000D318C"/>
    <w:rsid w:val="000D3399"/>
    <w:rsid w:val="000D37B8"/>
    <w:rsid w:val="000D3819"/>
    <w:rsid w:val="000D3A6D"/>
    <w:rsid w:val="000D3D14"/>
    <w:rsid w:val="000D406F"/>
    <w:rsid w:val="000D40BE"/>
    <w:rsid w:val="000D4147"/>
    <w:rsid w:val="000D4756"/>
    <w:rsid w:val="000D4796"/>
    <w:rsid w:val="000D4B01"/>
    <w:rsid w:val="000D4E15"/>
    <w:rsid w:val="000D4F94"/>
    <w:rsid w:val="000D5252"/>
    <w:rsid w:val="000D5400"/>
    <w:rsid w:val="000D5ACA"/>
    <w:rsid w:val="000D6031"/>
    <w:rsid w:val="000D6104"/>
    <w:rsid w:val="000D61E3"/>
    <w:rsid w:val="000D62CA"/>
    <w:rsid w:val="000D6664"/>
    <w:rsid w:val="000D69A9"/>
    <w:rsid w:val="000D6AA3"/>
    <w:rsid w:val="000D6BC6"/>
    <w:rsid w:val="000D6CFF"/>
    <w:rsid w:val="000D70F2"/>
    <w:rsid w:val="000D71A1"/>
    <w:rsid w:val="000D71B9"/>
    <w:rsid w:val="000D73FA"/>
    <w:rsid w:val="000D76D8"/>
    <w:rsid w:val="000D79B9"/>
    <w:rsid w:val="000D7DC5"/>
    <w:rsid w:val="000D7E2E"/>
    <w:rsid w:val="000D7E83"/>
    <w:rsid w:val="000D7FF7"/>
    <w:rsid w:val="000E0509"/>
    <w:rsid w:val="000E086A"/>
    <w:rsid w:val="000E0ABD"/>
    <w:rsid w:val="000E0B22"/>
    <w:rsid w:val="000E0B3B"/>
    <w:rsid w:val="000E0EF6"/>
    <w:rsid w:val="000E0F62"/>
    <w:rsid w:val="000E1514"/>
    <w:rsid w:val="000E1812"/>
    <w:rsid w:val="000E1826"/>
    <w:rsid w:val="000E1A98"/>
    <w:rsid w:val="000E20E6"/>
    <w:rsid w:val="000E23F0"/>
    <w:rsid w:val="000E2465"/>
    <w:rsid w:val="000E2723"/>
    <w:rsid w:val="000E28A8"/>
    <w:rsid w:val="000E2B5A"/>
    <w:rsid w:val="000E30BC"/>
    <w:rsid w:val="000E3B24"/>
    <w:rsid w:val="000E3BEF"/>
    <w:rsid w:val="000E3DD8"/>
    <w:rsid w:val="000E4193"/>
    <w:rsid w:val="000E4406"/>
    <w:rsid w:val="000E4A1B"/>
    <w:rsid w:val="000E4B79"/>
    <w:rsid w:val="000E4BA5"/>
    <w:rsid w:val="000E5542"/>
    <w:rsid w:val="000E5556"/>
    <w:rsid w:val="000E563F"/>
    <w:rsid w:val="000E5696"/>
    <w:rsid w:val="000E56D4"/>
    <w:rsid w:val="000E5BC3"/>
    <w:rsid w:val="000E5BEE"/>
    <w:rsid w:val="000E60E4"/>
    <w:rsid w:val="000E659A"/>
    <w:rsid w:val="000E66A6"/>
    <w:rsid w:val="000E66BC"/>
    <w:rsid w:val="000E671A"/>
    <w:rsid w:val="000E6FB8"/>
    <w:rsid w:val="000E7233"/>
    <w:rsid w:val="000E72A9"/>
    <w:rsid w:val="000E735B"/>
    <w:rsid w:val="000E7565"/>
    <w:rsid w:val="000E7796"/>
    <w:rsid w:val="000E7AB9"/>
    <w:rsid w:val="000E7D7C"/>
    <w:rsid w:val="000F01D6"/>
    <w:rsid w:val="000F075F"/>
    <w:rsid w:val="000F0965"/>
    <w:rsid w:val="000F0AAE"/>
    <w:rsid w:val="000F0B23"/>
    <w:rsid w:val="000F0C0E"/>
    <w:rsid w:val="000F112C"/>
    <w:rsid w:val="000F1277"/>
    <w:rsid w:val="000F175B"/>
    <w:rsid w:val="000F1929"/>
    <w:rsid w:val="000F1B23"/>
    <w:rsid w:val="000F1D28"/>
    <w:rsid w:val="000F1E7F"/>
    <w:rsid w:val="000F220A"/>
    <w:rsid w:val="000F22F0"/>
    <w:rsid w:val="000F243A"/>
    <w:rsid w:val="000F2547"/>
    <w:rsid w:val="000F2A8F"/>
    <w:rsid w:val="000F33AC"/>
    <w:rsid w:val="000F33E7"/>
    <w:rsid w:val="000F3516"/>
    <w:rsid w:val="000F3684"/>
    <w:rsid w:val="000F3727"/>
    <w:rsid w:val="000F3971"/>
    <w:rsid w:val="000F3A3A"/>
    <w:rsid w:val="000F3E91"/>
    <w:rsid w:val="000F4198"/>
    <w:rsid w:val="000F4901"/>
    <w:rsid w:val="000F51FB"/>
    <w:rsid w:val="000F5326"/>
    <w:rsid w:val="000F5A51"/>
    <w:rsid w:val="000F68BB"/>
    <w:rsid w:val="000F71F5"/>
    <w:rsid w:val="000F7406"/>
    <w:rsid w:val="000F7848"/>
    <w:rsid w:val="000F7A17"/>
    <w:rsid w:val="000F7C5C"/>
    <w:rsid w:val="000F7CA5"/>
    <w:rsid w:val="000F7CB8"/>
    <w:rsid w:val="000F7D16"/>
    <w:rsid w:val="000F7D83"/>
    <w:rsid w:val="000F7F3F"/>
    <w:rsid w:val="000F7F7A"/>
    <w:rsid w:val="001004F3"/>
    <w:rsid w:val="0010069C"/>
    <w:rsid w:val="001008AE"/>
    <w:rsid w:val="00100B4E"/>
    <w:rsid w:val="00100EFB"/>
    <w:rsid w:val="00100EFD"/>
    <w:rsid w:val="001013B3"/>
    <w:rsid w:val="00101796"/>
    <w:rsid w:val="001017FA"/>
    <w:rsid w:val="0010189E"/>
    <w:rsid w:val="00101A31"/>
    <w:rsid w:val="00101C7D"/>
    <w:rsid w:val="00102A9C"/>
    <w:rsid w:val="00102C0A"/>
    <w:rsid w:val="00102CE3"/>
    <w:rsid w:val="00102D7C"/>
    <w:rsid w:val="0010326C"/>
    <w:rsid w:val="0010381F"/>
    <w:rsid w:val="00103896"/>
    <w:rsid w:val="00103D3D"/>
    <w:rsid w:val="00103DAB"/>
    <w:rsid w:val="00104312"/>
    <w:rsid w:val="001045E1"/>
    <w:rsid w:val="00104617"/>
    <w:rsid w:val="00104C41"/>
    <w:rsid w:val="00104CBE"/>
    <w:rsid w:val="00105013"/>
    <w:rsid w:val="001050B8"/>
    <w:rsid w:val="001052EA"/>
    <w:rsid w:val="00105354"/>
    <w:rsid w:val="001057B7"/>
    <w:rsid w:val="00105939"/>
    <w:rsid w:val="0010598E"/>
    <w:rsid w:val="00105D25"/>
    <w:rsid w:val="00105E8A"/>
    <w:rsid w:val="00105FBA"/>
    <w:rsid w:val="0010639C"/>
    <w:rsid w:val="00106440"/>
    <w:rsid w:val="001066EE"/>
    <w:rsid w:val="00106742"/>
    <w:rsid w:val="0010687C"/>
    <w:rsid w:val="00106E31"/>
    <w:rsid w:val="00106FFC"/>
    <w:rsid w:val="0010793D"/>
    <w:rsid w:val="00107F9E"/>
    <w:rsid w:val="001105FD"/>
    <w:rsid w:val="001107D9"/>
    <w:rsid w:val="00110BAA"/>
    <w:rsid w:val="00110CBE"/>
    <w:rsid w:val="001113BE"/>
    <w:rsid w:val="001116D7"/>
    <w:rsid w:val="001119CF"/>
    <w:rsid w:val="001120CA"/>
    <w:rsid w:val="00112974"/>
    <w:rsid w:val="00112CC9"/>
    <w:rsid w:val="00112D45"/>
    <w:rsid w:val="001136A1"/>
    <w:rsid w:val="00113841"/>
    <w:rsid w:val="00113854"/>
    <w:rsid w:val="00113880"/>
    <w:rsid w:val="00113936"/>
    <w:rsid w:val="00113DCA"/>
    <w:rsid w:val="001141EC"/>
    <w:rsid w:val="00114D0C"/>
    <w:rsid w:val="00114DEC"/>
    <w:rsid w:val="0011532B"/>
    <w:rsid w:val="001155B7"/>
    <w:rsid w:val="001155D0"/>
    <w:rsid w:val="0011580F"/>
    <w:rsid w:val="00115CBD"/>
    <w:rsid w:val="001163B6"/>
    <w:rsid w:val="001166B3"/>
    <w:rsid w:val="00116C14"/>
    <w:rsid w:val="00116CB4"/>
    <w:rsid w:val="00116D2B"/>
    <w:rsid w:val="00116D56"/>
    <w:rsid w:val="00116FE3"/>
    <w:rsid w:val="00117105"/>
    <w:rsid w:val="00117565"/>
    <w:rsid w:val="00117682"/>
    <w:rsid w:val="00117D7F"/>
    <w:rsid w:val="00117F6C"/>
    <w:rsid w:val="00120733"/>
    <w:rsid w:val="0012074F"/>
    <w:rsid w:val="00120852"/>
    <w:rsid w:val="00121319"/>
    <w:rsid w:val="0012170B"/>
    <w:rsid w:val="001219BB"/>
    <w:rsid w:val="001219F3"/>
    <w:rsid w:val="00121BBB"/>
    <w:rsid w:val="00121E35"/>
    <w:rsid w:val="00121FB7"/>
    <w:rsid w:val="00122101"/>
    <w:rsid w:val="001221E1"/>
    <w:rsid w:val="001224F6"/>
    <w:rsid w:val="001226E3"/>
    <w:rsid w:val="00123358"/>
    <w:rsid w:val="001235B9"/>
    <w:rsid w:val="00123ABE"/>
    <w:rsid w:val="00124037"/>
    <w:rsid w:val="00124418"/>
    <w:rsid w:val="00124626"/>
    <w:rsid w:val="00124690"/>
    <w:rsid w:val="0012498A"/>
    <w:rsid w:val="00124FFB"/>
    <w:rsid w:val="001253EE"/>
    <w:rsid w:val="0012584A"/>
    <w:rsid w:val="0012596D"/>
    <w:rsid w:val="00125BDA"/>
    <w:rsid w:val="00125F01"/>
    <w:rsid w:val="0012626D"/>
    <w:rsid w:val="00126560"/>
    <w:rsid w:val="00126D5F"/>
    <w:rsid w:val="00126D92"/>
    <w:rsid w:val="00126EBC"/>
    <w:rsid w:val="001271F7"/>
    <w:rsid w:val="0012720B"/>
    <w:rsid w:val="00127304"/>
    <w:rsid w:val="0012776A"/>
    <w:rsid w:val="00127A0D"/>
    <w:rsid w:val="00127EEC"/>
    <w:rsid w:val="00127FD7"/>
    <w:rsid w:val="00130332"/>
    <w:rsid w:val="00130679"/>
    <w:rsid w:val="00130D46"/>
    <w:rsid w:val="00130EB8"/>
    <w:rsid w:val="00131615"/>
    <w:rsid w:val="0013190B"/>
    <w:rsid w:val="00131D61"/>
    <w:rsid w:val="00131D6F"/>
    <w:rsid w:val="00131D7B"/>
    <w:rsid w:val="0013219B"/>
    <w:rsid w:val="001321C9"/>
    <w:rsid w:val="001323E5"/>
    <w:rsid w:val="00132831"/>
    <w:rsid w:val="001329A2"/>
    <w:rsid w:val="00132EB5"/>
    <w:rsid w:val="00133146"/>
    <w:rsid w:val="001331FA"/>
    <w:rsid w:val="00133250"/>
    <w:rsid w:val="001336CF"/>
    <w:rsid w:val="00133712"/>
    <w:rsid w:val="001337FE"/>
    <w:rsid w:val="00134233"/>
    <w:rsid w:val="0013464F"/>
    <w:rsid w:val="00134AA3"/>
    <w:rsid w:val="00134ED4"/>
    <w:rsid w:val="00134FC8"/>
    <w:rsid w:val="001355DB"/>
    <w:rsid w:val="00135A95"/>
    <w:rsid w:val="00135ADD"/>
    <w:rsid w:val="00135C5D"/>
    <w:rsid w:val="00135EA1"/>
    <w:rsid w:val="00135F00"/>
    <w:rsid w:val="0013600C"/>
    <w:rsid w:val="0013611A"/>
    <w:rsid w:val="001364DA"/>
    <w:rsid w:val="001367B1"/>
    <w:rsid w:val="00136A29"/>
    <w:rsid w:val="00136FB2"/>
    <w:rsid w:val="001375F5"/>
    <w:rsid w:val="00137762"/>
    <w:rsid w:val="00137E19"/>
    <w:rsid w:val="00137FBE"/>
    <w:rsid w:val="00140419"/>
    <w:rsid w:val="0014073E"/>
    <w:rsid w:val="001408FF"/>
    <w:rsid w:val="00140DF1"/>
    <w:rsid w:val="00141259"/>
    <w:rsid w:val="00141467"/>
    <w:rsid w:val="00141B1C"/>
    <w:rsid w:val="00141BD6"/>
    <w:rsid w:val="00141BEA"/>
    <w:rsid w:val="00141EEE"/>
    <w:rsid w:val="00141F28"/>
    <w:rsid w:val="00142800"/>
    <w:rsid w:val="00142B54"/>
    <w:rsid w:val="00142B99"/>
    <w:rsid w:val="00142D18"/>
    <w:rsid w:val="00142D1F"/>
    <w:rsid w:val="00142FFD"/>
    <w:rsid w:val="001433CC"/>
    <w:rsid w:val="001433FD"/>
    <w:rsid w:val="00143481"/>
    <w:rsid w:val="00143B2C"/>
    <w:rsid w:val="00143D12"/>
    <w:rsid w:val="00143E49"/>
    <w:rsid w:val="0014426B"/>
    <w:rsid w:val="00144594"/>
    <w:rsid w:val="0014459C"/>
    <w:rsid w:val="00144AF9"/>
    <w:rsid w:val="00144C31"/>
    <w:rsid w:val="00144DCF"/>
    <w:rsid w:val="00145090"/>
    <w:rsid w:val="0014559B"/>
    <w:rsid w:val="0014577B"/>
    <w:rsid w:val="001458E8"/>
    <w:rsid w:val="00145939"/>
    <w:rsid w:val="001459C6"/>
    <w:rsid w:val="00145C58"/>
    <w:rsid w:val="00145C65"/>
    <w:rsid w:val="00145D28"/>
    <w:rsid w:val="00145FB5"/>
    <w:rsid w:val="001460A3"/>
    <w:rsid w:val="00146221"/>
    <w:rsid w:val="001468D1"/>
    <w:rsid w:val="0014692C"/>
    <w:rsid w:val="00146A0D"/>
    <w:rsid w:val="00147778"/>
    <w:rsid w:val="0014785B"/>
    <w:rsid w:val="001478E1"/>
    <w:rsid w:val="00147DE7"/>
    <w:rsid w:val="00147E37"/>
    <w:rsid w:val="001502E0"/>
    <w:rsid w:val="001507EB"/>
    <w:rsid w:val="00150A07"/>
    <w:rsid w:val="00150A8B"/>
    <w:rsid w:val="00151032"/>
    <w:rsid w:val="001516C8"/>
    <w:rsid w:val="00151EAE"/>
    <w:rsid w:val="00152054"/>
    <w:rsid w:val="0015273E"/>
    <w:rsid w:val="00152DDC"/>
    <w:rsid w:val="00152FB7"/>
    <w:rsid w:val="0015345D"/>
    <w:rsid w:val="0015362E"/>
    <w:rsid w:val="001538E8"/>
    <w:rsid w:val="00153987"/>
    <w:rsid w:val="00153CF6"/>
    <w:rsid w:val="001543BF"/>
    <w:rsid w:val="0015489B"/>
    <w:rsid w:val="001549C1"/>
    <w:rsid w:val="00155515"/>
    <w:rsid w:val="001556EB"/>
    <w:rsid w:val="00155B47"/>
    <w:rsid w:val="00155C96"/>
    <w:rsid w:val="00155CF5"/>
    <w:rsid w:val="00156240"/>
    <w:rsid w:val="001563DD"/>
    <w:rsid w:val="00156479"/>
    <w:rsid w:val="001564D2"/>
    <w:rsid w:val="001567C7"/>
    <w:rsid w:val="00156C9F"/>
    <w:rsid w:val="00156D9B"/>
    <w:rsid w:val="00157641"/>
    <w:rsid w:val="001576BE"/>
    <w:rsid w:val="001577FA"/>
    <w:rsid w:val="001578A4"/>
    <w:rsid w:val="001579A5"/>
    <w:rsid w:val="00157BC6"/>
    <w:rsid w:val="00157F93"/>
    <w:rsid w:val="00160440"/>
    <w:rsid w:val="0016083E"/>
    <w:rsid w:val="00160E50"/>
    <w:rsid w:val="0016137B"/>
    <w:rsid w:val="00161646"/>
    <w:rsid w:val="001617DF"/>
    <w:rsid w:val="00161AEB"/>
    <w:rsid w:val="00161BC5"/>
    <w:rsid w:val="00161BF5"/>
    <w:rsid w:val="00161C91"/>
    <w:rsid w:val="00161D98"/>
    <w:rsid w:val="001621F1"/>
    <w:rsid w:val="001623C2"/>
    <w:rsid w:val="001627DF"/>
    <w:rsid w:val="001628E5"/>
    <w:rsid w:val="00162903"/>
    <w:rsid w:val="00162FE0"/>
    <w:rsid w:val="001630AA"/>
    <w:rsid w:val="00163C1E"/>
    <w:rsid w:val="00163C58"/>
    <w:rsid w:val="00163E2C"/>
    <w:rsid w:val="001640D4"/>
    <w:rsid w:val="00164293"/>
    <w:rsid w:val="0016456B"/>
    <w:rsid w:val="00164971"/>
    <w:rsid w:val="00164B8C"/>
    <w:rsid w:val="00164E9E"/>
    <w:rsid w:val="00164EB8"/>
    <w:rsid w:val="00165645"/>
    <w:rsid w:val="001657B7"/>
    <w:rsid w:val="00165952"/>
    <w:rsid w:val="0016597B"/>
    <w:rsid w:val="001659A5"/>
    <w:rsid w:val="00165CCB"/>
    <w:rsid w:val="00165E75"/>
    <w:rsid w:val="00166103"/>
    <w:rsid w:val="001665F9"/>
    <w:rsid w:val="001668B7"/>
    <w:rsid w:val="00166BB7"/>
    <w:rsid w:val="00166E13"/>
    <w:rsid w:val="00166E61"/>
    <w:rsid w:val="00166FB9"/>
    <w:rsid w:val="0016751D"/>
    <w:rsid w:val="0016796C"/>
    <w:rsid w:val="00167D3C"/>
    <w:rsid w:val="001705D2"/>
    <w:rsid w:val="0017073A"/>
    <w:rsid w:val="00170D32"/>
    <w:rsid w:val="00171129"/>
    <w:rsid w:val="00171161"/>
    <w:rsid w:val="001718AB"/>
    <w:rsid w:val="001718F2"/>
    <w:rsid w:val="00171E06"/>
    <w:rsid w:val="001725E1"/>
    <w:rsid w:val="0017268D"/>
    <w:rsid w:val="0017299D"/>
    <w:rsid w:val="00172CEE"/>
    <w:rsid w:val="00172D2D"/>
    <w:rsid w:val="00172DDE"/>
    <w:rsid w:val="00172E2D"/>
    <w:rsid w:val="00173053"/>
    <w:rsid w:val="001737B5"/>
    <w:rsid w:val="00173BAD"/>
    <w:rsid w:val="00173DA9"/>
    <w:rsid w:val="00173E40"/>
    <w:rsid w:val="001741F3"/>
    <w:rsid w:val="00174227"/>
    <w:rsid w:val="001743AD"/>
    <w:rsid w:val="00174A40"/>
    <w:rsid w:val="001758E4"/>
    <w:rsid w:val="00175A69"/>
    <w:rsid w:val="001760E0"/>
    <w:rsid w:val="001762A2"/>
    <w:rsid w:val="001766D4"/>
    <w:rsid w:val="00176771"/>
    <w:rsid w:val="00176C1D"/>
    <w:rsid w:val="00176EAD"/>
    <w:rsid w:val="00176F8F"/>
    <w:rsid w:val="001774E7"/>
    <w:rsid w:val="001775E1"/>
    <w:rsid w:val="0017789C"/>
    <w:rsid w:val="00177ADA"/>
    <w:rsid w:val="00180374"/>
    <w:rsid w:val="00180687"/>
    <w:rsid w:val="00180A45"/>
    <w:rsid w:val="00181002"/>
    <w:rsid w:val="0018105C"/>
    <w:rsid w:val="00181136"/>
    <w:rsid w:val="0018144E"/>
    <w:rsid w:val="001818B4"/>
    <w:rsid w:val="00181F66"/>
    <w:rsid w:val="001820F4"/>
    <w:rsid w:val="001821EE"/>
    <w:rsid w:val="0018247D"/>
    <w:rsid w:val="00182862"/>
    <w:rsid w:val="00182BE0"/>
    <w:rsid w:val="001836CF"/>
    <w:rsid w:val="00183822"/>
    <w:rsid w:val="00183D01"/>
    <w:rsid w:val="00183F00"/>
    <w:rsid w:val="00184495"/>
    <w:rsid w:val="0018464B"/>
    <w:rsid w:val="001848F2"/>
    <w:rsid w:val="00184DC2"/>
    <w:rsid w:val="00185358"/>
    <w:rsid w:val="00185646"/>
    <w:rsid w:val="00185738"/>
    <w:rsid w:val="00185759"/>
    <w:rsid w:val="001857A5"/>
    <w:rsid w:val="00185900"/>
    <w:rsid w:val="00185B71"/>
    <w:rsid w:val="00185E71"/>
    <w:rsid w:val="001860CE"/>
    <w:rsid w:val="001866CF"/>
    <w:rsid w:val="001867C5"/>
    <w:rsid w:val="0018695F"/>
    <w:rsid w:val="00186B91"/>
    <w:rsid w:val="001872AB"/>
    <w:rsid w:val="00190096"/>
    <w:rsid w:val="001903A2"/>
    <w:rsid w:val="00190AF9"/>
    <w:rsid w:val="00190BFD"/>
    <w:rsid w:val="00190C51"/>
    <w:rsid w:val="00190E31"/>
    <w:rsid w:val="001910AB"/>
    <w:rsid w:val="0019148A"/>
    <w:rsid w:val="0019156D"/>
    <w:rsid w:val="00191B52"/>
    <w:rsid w:val="00191CCB"/>
    <w:rsid w:val="001922BB"/>
    <w:rsid w:val="00192364"/>
    <w:rsid w:val="00192513"/>
    <w:rsid w:val="001925AC"/>
    <w:rsid w:val="001925BF"/>
    <w:rsid w:val="00192A3C"/>
    <w:rsid w:val="00192F5F"/>
    <w:rsid w:val="00193308"/>
    <w:rsid w:val="00193539"/>
    <w:rsid w:val="001935E5"/>
    <w:rsid w:val="00193762"/>
    <w:rsid w:val="00193923"/>
    <w:rsid w:val="0019393C"/>
    <w:rsid w:val="00193A32"/>
    <w:rsid w:val="00193C1A"/>
    <w:rsid w:val="00193F1E"/>
    <w:rsid w:val="0019402B"/>
    <w:rsid w:val="001940A9"/>
    <w:rsid w:val="001941F0"/>
    <w:rsid w:val="00194370"/>
    <w:rsid w:val="001945F2"/>
    <w:rsid w:val="00194954"/>
    <w:rsid w:val="00194BC2"/>
    <w:rsid w:val="00195116"/>
    <w:rsid w:val="00195165"/>
    <w:rsid w:val="0019526F"/>
    <w:rsid w:val="0019537C"/>
    <w:rsid w:val="00195CB8"/>
    <w:rsid w:val="00195CF2"/>
    <w:rsid w:val="00195D55"/>
    <w:rsid w:val="00195EF9"/>
    <w:rsid w:val="00195F23"/>
    <w:rsid w:val="001963E7"/>
    <w:rsid w:val="00196412"/>
    <w:rsid w:val="00196733"/>
    <w:rsid w:val="001968D0"/>
    <w:rsid w:val="00196DFB"/>
    <w:rsid w:val="00196EB7"/>
    <w:rsid w:val="00197053"/>
    <w:rsid w:val="001971FA"/>
    <w:rsid w:val="001971FB"/>
    <w:rsid w:val="0019724B"/>
    <w:rsid w:val="001973D7"/>
    <w:rsid w:val="00197450"/>
    <w:rsid w:val="0019755A"/>
    <w:rsid w:val="00197B50"/>
    <w:rsid w:val="001A0475"/>
    <w:rsid w:val="001A08DA"/>
    <w:rsid w:val="001A0A42"/>
    <w:rsid w:val="001A0A90"/>
    <w:rsid w:val="001A0B53"/>
    <w:rsid w:val="001A0EA2"/>
    <w:rsid w:val="001A0F74"/>
    <w:rsid w:val="001A1005"/>
    <w:rsid w:val="001A1977"/>
    <w:rsid w:val="001A199F"/>
    <w:rsid w:val="001A1A1B"/>
    <w:rsid w:val="001A1EE3"/>
    <w:rsid w:val="001A1EE9"/>
    <w:rsid w:val="001A1F9D"/>
    <w:rsid w:val="001A20D6"/>
    <w:rsid w:val="001A215A"/>
    <w:rsid w:val="001A2648"/>
    <w:rsid w:val="001A275F"/>
    <w:rsid w:val="001A27D3"/>
    <w:rsid w:val="001A285B"/>
    <w:rsid w:val="001A2969"/>
    <w:rsid w:val="001A2A49"/>
    <w:rsid w:val="001A2A7B"/>
    <w:rsid w:val="001A2D08"/>
    <w:rsid w:val="001A2F61"/>
    <w:rsid w:val="001A2F7A"/>
    <w:rsid w:val="001A300A"/>
    <w:rsid w:val="001A3132"/>
    <w:rsid w:val="001A339E"/>
    <w:rsid w:val="001A3521"/>
    <w:rsid w:val="001A35A8"/>
    <w:rsid w:val="001A374D"/>
    <w:rsid w:val="001A38D7"/>
    <w:rsid w:val="001A38F8"/>
    <w:rsid w:val="001A396E"/>
    <w:rsid w:val="001A3A1D"/>
    <w:rsid w:val="001A3CB9"/>
    <w:rsid w:val="001A3E86"/>
    <w:rsid w:val="001A3F93"/>
    <w:rsid w:val="001A40D6"/>
    <w:rsid w:val="001A41F8"/>
    <w:rsid w:val="001A44F4"/>
    <w:rsid w:val="001A4962"/>
    <w:rsid w:val="001A4A85"/>
    <w:rsid w:val="001A4C76"/>
    <w:rsid w:val="001A5659"/>
    <w:rsid w:val="001A57CE"/>
    <w:rsid w:val="001A5AA1"/>
    <w:rsid w:val="001A5ACF"/>
    <w:rsid w:val="001A5AE3"/>
    <w:rsid w:val="001A5DB3"/>
    <w:rsid w:val="001A67DB"/>
    <w:rsid w:val="001A6ABA"/>
    <w:rsid w:val="001A6C80"/>
    <w:rsid w:val="001A6CED"/>
    <w:rsid w:val="001A712D"/>
    <w:rsid w:val="001A7258"/>
    <w:rsid w:val="001A747D"/>
    <w:rsid w:val="001A76F9"/>
    <w:rsid w:val="001A7AC1"/>
    <w:rsid w:val="001A7BEF"/>
    <w:rsid w:val="001A7ECD"/>
    <w:rsid w:val="001B030D"/>
    <w:rsid w:val="001B0655"/>
    <w:rsid w:val="001B0891"/>
    <w:rsid w:val="001B0A8F"/>
    <w:rsid w:val="001B0BDF"/>
    <w:rsid w:val="001B0C0D"/>
    <w:rsid w:val="001B0F20"/>
    <w:rsid w:val="001B12BE"/>
    <w:rsid w:val="001B1452"/>
    <w:rsid w:val="001B1AFD"/>
    <w:rsid w:val="001B1BF1"/>
    <w:rsid w:val="001B1CA9"/>
    <w:rsid w:val="001B1EBF"/>
    <w:rsid w:val="001B1F8D"/>
    <w:rsid w:val="001B21F8"/>
    <w:rsid w:val="001B229C"/>
    <w:rsid w:val="001B22BD"/>
    <w:rsid w:val="001B26BD"/>
    <w:rsid w:val="001B327E"/>
    <w:rsid w:val="001B3315"/>
    <w:rsid w:val="001B33A0"/>
    <w:rsid w:val="001B390D"/>
    <w:rsid w:val="001B41F5"/>
    <w:rsid w:val="001B4C16"/>
    <w:rsid w:val="001B591C"/>
    <w:rsid w:val="001B5A6F"/>
    <w:rsid w:val="001B5ADF"/>
    <w:rsid w:val="001B625E"/>
    <w:rsid w:val="001B633E"/>
    <w:rsid w:val="001B646B"/>
    <w:rsid w:val="001B70F9"/>
    <w:rsid w:val="001B7549"/>
    <w:rsid w:val="001C02A5"/>
    <w:rsid w:val="001C034A"/>
    <w:rsid w:val="001C060D"/>
    <w:rsid w:val="001C06D3"/>
    <w:rsid w:val="001C0842"/>
    <w:rsid w:val="001C0844"/>
    <w:rsid w:val="001C0AD5"/>
    <w:rsid w:val="001C0BE3"/>
    <w:rsid w:val="001C0E34"/>
    <w:rsid w:val="001C11E6"/>
    <w:rsid w:val="001C1C57"/>
    <w:rsid w:val="001C1E39"/>
    <w:rsid w:val="001C296B"/>
    <w:rsid w:val="001C2FC5"/>
    <w:rsid w:val="001C34A7"/>
    <w:rsid w:val="001C3765"/>
    <w:rsid w:val="001C3894"/>
    <w:rsid w:val="001C3DD4"/>
    <w:rsid w:val="001C4196"/>
    <w:rsid w:val="001C439D"/>
    <w:rsid w:val="001C4914"/>
    <w:rsid w:val="001C4A65"/>
    <w:rsid w:val="001C5162"/>
    <w:rsid w:val="001C535D"/>
    <w:rsid w:val="001C53D0"/>
    <w:rsid w:val="001C563F"/>
    <w:rsid w:val="001C5AA4"/>
    <w:rsid w:val="001C5CDF"/>
    <w:rsid w:val="001C5D26"/>
    <w:rsid w:val="001C5D90"/>
    <w:rsid w:val="001C5E01"/>
    <w:rsid w:val="001C64AC"/>
    <w:rsid w:val="001C66BF"/>
    <w:rsid w:val="001C6CC1"/>
    <w:rsid w:val="001C71B3"/>
    <w:rsid w:val="001C753E"/>
    <w:rsid w:val="001C78DF"/>
    <w:rsid w:val="001D02AA"/>
    <w:rsid w:val="001D090C"/>
    <w:rsid w:val="001D0B2B"/>
    <w:rsid w:val="001D0EBF"/>
    <w:rsid w:val="001D1272"/>
    <w:rsid w:val="001D19D5"/>
    <w:rsid w:val="001D1ACE"/>
    <w:rsid w:val="001D1B42"/>
    <w:rsid w:val="001D1C41"/>
    <w:rsid w:val="001D203C"/>
    <w:rsid w:val="001D227E"/>
    <w:rsid w:val="001D23D0"/>
    <w:rsid w:val="001D2AB6"/>
    <w:rsid w:val="001D2CD2"/>
    <w:rsid w:val="001D2E45"/>
    <w:rsid w:val="001D322C"/>
    <w:rsid w:val="001D3B76"/>
    <w:rsid w:val="001D3FAB"/>
    <w:rsid w:val="001D410F"/>
    <w:rsid w:val="001D47D1"/>
    <w:rsid w:val="001D4C1F"/>
    <w:rsid w:val="001D5314"/>
    <w:rsid w:val="001D546D"/>
    <w:rsid w:val="001D5621"/>
    <w:rsid w:val="001D586B"/>
    <w:rsid w:val="001D593B"/>
    <w:rsid w:val="001D623B"/>
    <w:rsid w:val="001D6A77"/>
    <w:rsid w:val="001D6BC0"/>
    <w:rsid w:val="001D6C4E"/>
    <w:rsid w:val="001D6ED1"/>
    <w:rsid w:val="001D6FF3"/>
    <w:rsid w:val="001D70ED"/>
    <w:rsid w:val="001D7253"/>
    <w:rsid w:val="001D7533"/>
    <w:rsid w:val="001D7662"/>
    <w:rsid w:val="001D76B3"/>
    <w:rsid w:val="001D791A"/>
    <w:rsid w:val="001D7A6E"/>
    <w:rsid w:val="001D7AF3"/>
    <w:rsid w:val="001D7E9A"/>
    <w:rsid w:val="001E00F4"/>
    <w:rsid w:val="001E04BC"/>
    <w:rsid w:val="001E06B4"/>
    <w:rsid w:val="001E09E0"/>
    <w:rsid w:val="001E0E36"/>
    <w:rsid w:val="001E12D6"/>
    <w:rsid w:val="001E173C"/>
    <w:rsid w:val="001E1A7D"/>
    <w:rsid w:val="001E1A95"/>
    <w:rsid w:val="001E1F9D"/>
    <w:rsid w:val="001E207A"/>
    <w:rsid w:val="001E20F7"/>
    <w:rsid w:val="001E25BF"/>
    <w:rsid w:val="001E2920"/>
    <w:rsid w:val="001E2A6A"/>
    <w:rsid w:val="001E2E33"/>
    <w:rsid w:val="001E2F9A"/>
    <w:rsid w:val="001E31D4"/>
    <w:rsid w:val="001E3269"/>
    <w:rsid w:val="001E32F8"/>
    <w:rsid w:val="001E348A"/>
    <w:rsid w:val="001E353F"/>
    <w:rsid w:val="001E3AF6"/>
    <w:rsid w:val="001E44A1"/>
    <w:rsid w:val="001E4510"/>
    <w:rsid w:val="001E459F"/>
    <w:rsid w:val="001E4CA5"/>
    <w:rsid w:val="001E4D35"/>
    <w:rsid w:val="001E5116"/>
    <w:rsid w:val="001E5D2D"/>
    <w:rsid w:val="001E5D4E"/>
    <w:rsid w:val="001E5EE2"/>
    <w:rsid w:val="001E5FCF"/>
    <w:rsid w:val="001E6172"/>
    <w:rsid w:val="001E69B3"/>
    <w:rsid w:val="001E6C7C"/>
    <w:rsid w:val="001E6C86"/>
    <w:rsid w:val="001E728C"/>
    <w:rsid w:val="001E755A"/>
    <w:rsid w:val="001E78AF"/>
    <w:rsid w:val="001F0B25"/>
    <w:rsid w:val="001F0B98"/>
    <w:rsid w:val="001F1711"/>
    <w:rsid w:val="001F19F9"/>
    <w:rsid w:val="001F1F1F"/>
    <w:rsid w:val="001F25F6"/>
    <w:rsid w:val="001F2792"/>
    <w:rsid w:val="001F2985"/>
    <w:rsid w:val="001F299D"/>
    <w:rsid w:val="001F2A4F"/>
    <w:rsid w:val="001F2BEB"/>
    <w:rsid w:val="001F3A04"/>
    <w:rsid w:val="001F3C1A"/>
    <w:rsid w:val="001F3E5D"/>
    <w:rsid w:val="001F3F6D"/>
    <w:rsid w:val="001F46E4"/>
    <w:rsid w:val="001F47E4"/>
    <w:rsid w:val="001F4B7C"/>
    <w:rsid w:val="001F4F97"/>
    <w:rsid w:val="001F5186"/>
    <w:rsid w:val="001F524B"/>
    <w:rsid w:val="001F57B4"/>
    <w:rsid w:val="001F5D7F"/>
    <w:rsid w:val="001F5F97"/>
    <w:rsid w:val="001F606A"/>
    <w:rsid w:val="001F63C8"/>
    <w:rsid w:val="001F64C8"/>
    <w:rsid w:val="001F72B9"/>
    <w:rsid w:val="001F72DA"/>
    <w:rsid w:val="001F72FC"/>
    <w:rsid w:val="001F753A"/>
    <w:rsid w:val="001F76EF"/>
    <w:rsid w:val="001F77C7"/>
    <w:rsid w:val="001F7AAC"/>
    <w:rsid w:val="001F7E6E"/>
    <w:rsid w:val="001F7EF8"/>
    <w:rsid w:val="002001A6"/>
    <w:rsid w:val="0020028C"/>
    <w:rsid w:val="002006CC"/>
    <w:rsid w:val="00200C42"/>
    <w:rsid w:val="002013C5"/>
    <w:rsid w:val="002016B0"/>
    <w:rsid w:val="00201A45"/>
    <w:rsid w:val="00202277"/>
    <w:rsid w:val="0020243A"/>
    <w:rsid w:val="0020273F"/>
    <w:rsid w:val="00202ABA"/>
    <w:rsid w:val="00203040"/>
    <w:rsid w:val="002031EC"/>
    <w:rsid w:val="00203729"/>
    <w:rsid w:val="00203AE1"/>
    <w:rsid w:val="0020409B"/>
    <w:rsid w:val="0020460B"/>
    <w:rsid w:val="002047A7"/>
    <w:rsid w:val="00204883"/>
    <w:rsid w:val="002049B3"/>
    <w:rsid w:val="00204BB0"/>
    <w:rsid w:val="002052E9"/>
    <w:rsid w:val="00205BC1"/>
    <w:rsid w:val="00206070"/>
    <w:rsid w:val="002062D1"/>
    <w:rsid w:val="00206C7F"/>
    <w:rsid w:val="00206E3D"/>
    <w:rsid w:val="00207299"/>
    <w:rsid w:val="002072EB"/>
    <w:rsid w:val="0020736A"/>
    <w:rsid w:val="0020798C"/>
    <w:rsid w:val="00210036"/>
    <w:rsid w:val="00210308"/>
    <w:rsid w:val="00210423"/>
    <w:rsid w:val="00210633"/>
    <w:rsid w:val="00210681"/>
    <w:rsid w:val="002107C0"/>
    <w:rsid w:val="00210954"/>
    <w:rsid w:val="00210984"/>
    <w:rsid w:val="00210F41"/>
    <w:rsid w:val="00210F8B"/>
    <w:rsid w:val="00211217"/>
    <w:rsid w:val="00211A29"/>
    <w:rsid w:val="00211CA5"/>
    <w:rsid w:val="00211F10"/>
    <w:rsid w:val="00212B20"/>
    <w:rsid w:val="00212F30"/>
    <w:rsid w:val="002133DB"/>
    <w:rsid w:val="0021360B"/>
    <w:rsid w:val="00213C66"/>
    <w:rsid w:val="00214142"/>
    <w:rsid w:val="00214314"/>
    <w:rsid w:val="002149D0"/>
    <w:rsid w:val="00215827"/>
    <w:rsid w:val="00215866"/>
    <w:rsid w:val="00215A24"/>
    <w:rsid w:val="00216029"/>
    <w:rsid w:val="002165E4"/>
    <w:rsid w:val="00216680"/>
    <w:rsid w:val="00216A85"/>
    <w:rsid w:val="00216C48"/>
    <w:rsid w:val="00216E48"/>
    <w:rsid w:val="0021727D"/>
    <w:rsid w:val="002172A2"/>
    <w:rsid w:val="0021793C"/>
    <w:rsid w:val="002179B4"/>
    <w:rsid w:val="0022007A"/>
    <w:rsid w:val="002201AF"/>
    <w:rsid w:val="00220697"/>
    <w:rsid w:val="0022070A"/>
    <w:rsid w:val="00220743"/>
    <w:rsid w:val="00220B2E"/>
    <w:rsid w:val="0022101E"/>
    <w:rsid w:val="00221319"/>
    <w:rsid w:val="0022139A"/>
    <w:rsid w:val="002213B8"/>
    <w:rsid w:val="002217C3"/>
    <w:rsid w:val="00221C91"/>
    <w:rsid w:val="002220B3"/>
    <w:rsid w:val="00222220"/>
    <w:rsid w:val="00222458"/>
    <w:rsid w:val="0022253C"/>
    <w:rsid w:val="00222640"/>
    <w:rsid w:val="00222B3C"/>
    <w:rsid w:val="00222DB3"/>
    <w:rsid w:val="00222EB9"/>
    <w:rsid w:val="0022359E"/>
    <w:rsid w:val="002237DD"/>
    <w:rsid w:val="00223881"/>
    <w:rsid w:val="00223EE8"/>
    <w:rsid w:val="0022431D"/>
    <w:rsid w:val="00224652"/>
    <w:rsid w:val="002246B7"/>
    <w:rsid w:val="00224780"/>
    <w:rsid w:val="00224A02"/>
    <w:rsid w:val="00224A36"/>
    <w:rsid w:val="00224D88"/>
    <w:rsid w:val="00225617"/>
    <w:rsid w:val="0022563A"/>
    <w:rsid w:val="00225C06"/>
    <w:rsid w:val="002261FD"/>
    <w:rsid w:val="00226355"/>
    <w:rsid w:val="00226469"/>
    <w:rsid w:val="002266B0"/>
    <w:rsid w:val="00226A48"/>
    <w:rsid w:val="00226E3D"/>
    <w:rsid w:val="00226FC4"/>
    <w:rsid w:val="00227B90"/>
    <w:rsid w:val="00230528"/>
    <w:rsid w:val="00230891"/>
    <w:rsid w:val="00230A53"/>
    <w:rsid w:val="00230CF4"/>
    <w:rsid w:val="00230E62"/>
    <w:rsid w:val="00230EB2"/>
    <w:rsid w:val="002310DE"/>
    <w:rsid w:val="00231108"/>
    <w:rsid w:val="002314CF"/>
    <w:rsid w:val="002315F8"/>
    <w:rsid w:val="00231993"/>
    <w:rsid w:val="00232015"/>
    <w:rsid w:val="0023224E"/>
    <w:rsid w:val="0023227D"/>
    <w:rsid w:val="002322D6"/>
    <w:rsid w:val="00232BF6"/>
    <w:rsid w:val="00232C89"/>
    <w:rsid w:val="00232E95"/>
    <w:rsid w:val="00233060"/>
    <w:rsid w:val="0023310B"/>
    <w:rsid w:val="00233588"/>
    <w:rsid w:val="00233743"/>
    <w:rsid w:val="00233988"/>
    <w:rsid w:val="0023415D"/>
    <w:rsid w:val="0023425A"/>
    <w:rsid w:val="00234C38"/>
    <w:rsid w:val="00234F86"/>
    <w:rsid w:val="00235014"/>
    <w:rsid w:val="002351EC"/>
    <w:rsid w:val="002354E2"/>
    <w:rsid w:val="00235729"/>
    <w:rsid w:val="00235C01"/>
    <w:rsid w:val="00235C73"/>
    <w:rsid w:val="00235DF0"/>
    <w:rsid w:val="00235EC9"/>
    <w:rsid w:val="00235F19"/>
    <w:rsid w:val="00235FF5"/>
    <w:rsid w:val="0023619D"/>
    <w:rsid w:val="00236910"/>
    <w:rsid w:val="00236C20"/>
    <w:rsid w:val="00236E9C"/>
    <w:rsid w:val="00236FD1"/>
    <w:rsid w:val="002379B9"/>
    <w:rsid w:val="00237A05"/>
    <w:rsid w:val="00237CA4"/>
    <w:rsid w:val="00240357"/>
    <w:rsid w:val="002406E0"/>
    <w:rsid w:val="00240B5B"/>
    <w:rsid w:val="00240EB3"/>
    <w:rsid w:val="00240F04"/>
    <w:rsid w:val="0024117F"/>
    <w:rsid w:val="002412F1"/>
    <w:rsid w:val="00241521"/>
    <w:rsid w:val="002417BA"/>
    <w:rsid w:val="00241A5D"/>
    <w:rsid w:val="00242305"/>
    <w:rsid w:val="00242712"/>
    <w:rsid w:val="00242E02"/>
    <w:rsid w:val="00242F60"/>
    <w:rsid w:val="00242FEF"/>
    <w:rsid w:val="00243242"/>
    <w:rsid w:val="00243366"/>
    <w:rsid w:val="00243BC3"/>
    <w:rsid w:val="00243CFF"/>
    <w:rsid w:val="002444CC"/>
    <w:rsid w:val="002446D2"/>
    <w:rsid w:val="002448C8"/>
    <w:rsid w:val="00244FF4"/>
    <w:rsid w:val="00245ACC"/>
    <w:rsid w:val="00245DCF"/>
    <w:rsid w:val="00245DF3"/>
    <w:rsid w:val="00246056"/>
    <w:rsid w:val="0024624F"/>
    <w:rsid w:val="00246619"/>
    <w:rsid w:val="00246632"/>
    <w:rsid w:val="002466A7"/>
    <w:rsid w:val="00246882"/>
    <w:rsid w:val="00246C08"/>
    <w:rsid w:val="00246F81"/>
    <w:rsid w:val="002471D7"/>
    <w:rsid w:val="00247468"/>
    <w:rsid w:val="002476D6"/>
    <w:rsid w:val="00247B3D"/>
    <w:rsid w:val="002501AD"/>
    <w:rsid w:val="00250521"/>
    <w:rsid w:val="00250544"/>
    <w:rsid w:val="002505B4"/>
    <w:rsid w:val="00250732"/>
    <w:rsid w:val="0025081A"/>
    <w:rsid w:val="00250868"/>
    <w:rsid w:val="00250EEA"/>
    <w:rsid w:val="00250F54"/>
    <w:rsid w:val="002513DD"/>
    <w:rsid w:val="0025157D"/>
    <w:rsid w:val="00251C89"/>
    <w:rsid w:val="00251EC4"/>
    <w:rsid w:val="00252120"/>
    <w:rsid w:val="0025243F"/>
    <w:rsid w:val="00252857"/>
    <w:rsid w:val="0025291E"/>
    <w:rsid w:val="00252A47"/>
    <w:rsid w:val="00253168"/>
    <w:rsid w:val="00253475"/>
    <w:rsid w:val="002534F1"/>
    <w:rsid w:val="00253711"/>
    <w:rsid w:val="00253A01"/>
    <w:rsid w:val="00253CCC"/>
    <w:rsid w:val="00253E90"/>
    <w:rsid w:val="002545E4"/>
    <w:rsid w:val="00254A9C"/>
    <w:rsid w:val="00254CA1"/>
    <w:rsid w:val="00254E74"/>
    <w:rsid w:val="002553E6"/>
    <w:rsid w:val="002558C4"/>
    <w:rsid w:val="00255CFD"/>
    <w:rsid w:val="0025632B"/>
    <w:rsid w:val="002564A1"/>
    <w:rsid w:val="00256762"/>
    <w:rsid w:val="002569D7"/>
    <w:rsid w:val="00257399"/>
    <w:rsid w:val="002576F1"/>
    <w:rsid w:val="00257BC5"/>
    <w:rsid w:val="002602E0"/>
    <w:rsid w:val="0026044D"/>
    <w:rsid w:val="0026045F"/>
    <w:rsid w:val="0026072D"/>
    <w:rsid w:val="00260965"/>
    <w:rsid w:val="00260F5E"/>
    <w:rsid w:val="002617F6"/>
    <w:rsid w:val="00262767"/>
    <w:rsid w:val="002627C3"/>
    <w:rsid w:val="00262F34"/>
    <w:rsid w:val="00262FFD"/>
    <w:rsid w:val="00263068"/>
    <w:rsid w:val="00263406"/>
    <w:rsid w:val="00263463"/>
    <w:rsid w:val="00263971"/>
    <w:rsid w:val="00263E0E"/>
    <w:rsid w:val="00264107"/>
    <w:rsid w:val="002644F6"/>
    <w:rsid w:val="002645E2"/>
    <w:rsid w:val="002645E9"/>
    <w:rsid w:val="00264DC2"/>
    <w:rsid w:val="00265675"/>
    <w:rsid w:val="002657B4"/>
    <w:rsid w:val="0026581A"/>
    <w:rsid w:val="0026586B"/>
    <w:rsid w:val="002658F3"/>
    <w:rsid w:val="00265925"/>
    <w:rsid w:val="00265B05"/>
    <w:rsid w:val="00265CBC"/>
    <w:rsid w:val="00265EBB"/>
    <w:rsid w:val="00266457"/>
    <w:rsid w:val="00266673"/>
    <w:rsid w:val="00266739"/>
    <w:rsid w:val="002669E7"/>
    <w:rsid w:val="00266A4D"/>
    <w:rsid w:val="002670AF"/>
    <w:rsid w:val="002676FA"/>
    <w:rsid w:val="00267969"/>
    <w:rsid w:val="00267CA2"/>
    <w:rsid w:val="0027017C"/>
    <w:rsid w:val="002701CF"/>
    <w:rsid w:val="00270214"/>
    <w:rsid w:val="002704CC"/>
    <w:rsid w:val="00270815"/>
    <w:rsid w:val="002709FB"/>
    <w:rsid w:val="002710ED"/>
    <w:rsid w:val="00271235"/>
    <w:rsid w:val="0027135E"/>
    <w:rsid w:val="00271811"/>
    <w:rsid w:val="002718AE"/>
    <w:rsid w:val="002718F4"/>
    <w:rsid w:val="00272240"/>
    <w:rsid w:val="002725D3"/>
    <w:rsid w:val="00273601"/>
    <w:rsid w:val="00273963"/>
    <w:rsid w:val="00273AA6"/>
    <w:rsid w:val="00273CA0"/>
    <w:rsid w:val="00273F24"/>
    <w:rsid w:val="00274212"/>
    <w:rsid w:val="00274378"/>
    <w:rsid w:val="00274401"/>
    <w:rsid w:val="00274C15"/>
    <w:rsid w:val="00274C39"/>
    <w:rsid w:val="00274CE4"/>
    <w:rsid w:val="00275168"/>
    <w:rsid w:val="00275B56"/>
    <w:rsid w:val="00275C17"/>
    <w:rsid w:val="002760CC"/>
    <w:rsid w:val="00276E85"/>
    <w:rsid w:val="002772E4"/>
    <w:rsid w:val="0027747B"/>
    <w:rsid w:val="00277950"/>
    <w:rsid w:val="00277CDE"/>
    <w:rsid w:val="00277E89"/>
    <w:rsid w:val="00277F81"/>
    <w:rsid w:val="0028024C"/>
    <w:rsid w:val="0028029A"/>
    <w:rsid w:val="00280583"/>
    <w:rsid w:val="00280D2E"/>
    <w:rsid w:val="00280FA0"/>
    <w:rsid w:val="00281137"/>
    <w:rsid w:val="002812F0"/>
    <w:rsid w:val="00281318"/>
    <w:rsid w:val="0028131A"/>
    <w:rsid w:val="002816A0"/>
    <w:rsid w:val="002818E8"/>
    <w:rsid w:val="002818F4"/>
    <w:rsid w:val="00281D08"/>
    <w:rsid w:val="00281D74"/>
    <w:rsid w:val="002820AF"/>
    <w:rsid w:val="002822EC"/>
    <w:rsid w:val="00282663"/>
    <w:rsid w:val="002827BD"/>
    <w:rsid w:val="002835CF"/>
    <w:rsid w:val="002838A5"/>
    <w:rsid w:val="002838E5"/>
    <w:rsid w:val="00283BB4"/>
    <w:rsid w:val="00283D54"/>
    <w:rsid w:val="00283F0F"/>
    <w:rsid w:val="0028417F"/>
    <w:rsid w:val="0028481F"/>
    <w:rsid w:val="002849BA"/>
    <w:rsid w:val="00284E87"/>
    <w:rsid w:val="002856CB"/>
    <w:rsid w:val="00285848"/>
    <w:rsid w:val="00285DCB"/>
    <w:rsid w:val="00285DFB"/>
    <w:rsid w:val="00285E8B"/>
    <w:rsid w:val="00285EE7"/>
    <w:rsid w:val="00285F21"/>
    <w:rsid w:val="0028619E"/>
    <w:rsid w:val="002866B8"/>
    <w:rsid w:val="0028697A"/>
    <w:rsid w:val="00286CD8"/>
    <w:rsid w:val="00287218"/>
    <w:rsid w:val="002876BD"/>
    <w:rsid w:val="002876D0"/>
    <w:rsid w:val="002877BA"/>
    <w:rsid w:val="00287A29"/>
    <w:rsid w:val="00287D68"/>
    <w:rsid w:val="002904E4"/>
    <w:rsid w:val="002907A2"/>
    <w:rsid w:val="0029083B"/>
    <w:rsid w:val="00290948"/>
    <w:rsid w:val="002909C1"/>
    <w:rsid w:val="00290C34"/>
    <w:rsid w:val="00290D80"/>
    <w:rsid w:val="0029113C"/>
    <w:rsid w:val="0029131A"/>
    <w:rsid w:val="002915BA"/>
    <w:rsid w:val="002915F8"/>
    <w:rsid w:val="002918AA"/>
    <w:rsid w:val="00291CD2"/>
    <w:rsid w:val="00291CF0"/>
    <w:rsid w:val="002923A0"/>
    <w:rsid w:val="00292550"/>
    <w:rsid w:val="002925AC"/>
    <w:rsid w:val="002925F6"/>
    <w:rsid w:val="00292A5E"/>
    <w:rsid w:val="00292C3F"/>
    <w:rsid w:val="00292F69"/>
    <w:rsid w:val="0029328D"/>
    <w:rsid w:val="00293BD5"/>
    <w:rsid w:val="00293E55"/>
    <w:rsid w:val="00294402"/>
    <w:rsid w:val="0029445A"/>
    <w:rsid w:val="0029459A"/>
    <w:rsid w:val="00294761"/>
    <w:rsid w:val="00294E9B"/>
    <w:rsid w:val="00294EBD"/>
    <w:rsid w:val="00294EEA"/>
    <w:rsid w:val="00295017"/>
    <w:rsid w:val="00295082"/>
    <w:rsid w:val="00295197"/>
    <w:rsid w:val="00296162"/>
    <w:rsid w:val="00296405"/>
    <w:rsid w:val="00296AE1"/>
    <w:rsid w:val="00297303"/>
    <w:rsid w:val="00297BD2"/>
    <w:rsid w:val="00297FC5"/>
    <w:rsid w:val="002A0126"/>
    <w:rsid w:val="002A02D0"/>
    <w:rsid w:val="002A038E"/>
    <w:rsid w:val="002A0636"/>
    <w:rsid w:val="002A079A"/>
    <w:rsid w:val="002A0E4D"/>
    <w:rsid w:val="002A1088"/>
    <w:rsid w:val="002A1618"/>
    <w:rsid w:val="002A1641"/>
    <w:rsid w:val="002A17B0"/>
    <w:rsid w:val="002A18DE"/>
    <w:rsid w:val="002A1D8B"/>
    <w:rsid w:val="002A1DD1"/>
    <w:rsid w:val="002A2A45"/>
    <w:rsid w:val="002A2BDA"/>
    <w:rsid w:val="002A30FA"/>
    <w:rsid w:val="002A31A7"/>
    <w:rsid w:val="002A3627"/>
    <w:rsid w:val="002A3782"/>
    <w:rsid w:val="002A38C2"/>
    <w:rsid w:val="002A4028"/>
    <w:rsid w:val="002A40C6"/>
    <w:rsid w:val="002A410C"/>
    <w:rsid w:val="002A4275"/>
    <w:rsid w:val="002A43C0"/>
    <w:rsid w:val="002A4A0B"/>
    <w:rsid w:val="002A4E24"/>
    <w:rsid w:val="002A5077"/>
    <w:rsid w:val="002A51D4"/>
    <w:rsid w:val="002A581C"/>
    <w:rsid w:val="002A5844"/>
    <w:rsid w:val="002A58E9"/>
    <w:rsid w:val="002A5F7A"/>
    <w:rsid w:val="002A5FF2"/>
    <w:rsid w:val="002A6242"/>
    <w:rsid w:val="002A624D"/>
    <w:rsid w:val="002A650B"/>
    <w:rsid w:val="002A6F03"/>
    <w:rsid w:val="002A73B5"/>
    <w:rsid w:val="002A753F"/>
    <w:rsid w:val="002A7780"/>
    <w:rsid w:val="002A7DE1"/>
    <w:rsid w:val="002A7E30"/>
    <w:rsid w:val="002B045E"/>
    <w:rsid w:val="002B04D2"/>
    <w:rsid w:val="002B0D70"/>
    <w:rsid w:val="002B0F68"/>
    <w:rsid w:val="002B0FE5"/>
    <w:rsid w:val="002B1022"/>
    <w:rsid w:val="002B103F"/>
    <w:rsid w:val="002B110B"/>
    <w:rsid w:val="002B1CDD"/>
    <w:rsid w:val="002B1DA0"/>
    <w:rsid w:val="002B1DF8"/>
    <w:rsid w:val="002B1F4A"/>
    <w:rsid w:val="002B1F61"/>
    <w:rsid w:val="002B2044"/>
    <w:rsid w:val="002B2193"/>
    <w:rsid w:val="002B2569"/>
    <w:rsid w:val="002B2577"/>
    <w:rsid w:val="002B27D2"/>
    <w:rsid w:val="002B2C8B"/>
    <w:rsid w:val="002B33D4"/>
    <w:rsid w:val="002B350C"/>
    <w:rsid w:val="002B3638"/>
    <w:rsid w:val="002B3C1B"/>
    <w:rsid w:val="002B3FAB"/>
    <w:rsid w:val="002B4119"/>
    <w:rsid w:val="002B4374"/>
    <w:rsid w:val="002B43FA"/>
    <w:rsid w:val="002B4F72"/>
    <w:rsid w:val="002B565F"/>
    <w:rsid w:val="002B5877"/>
    <w:rsid w:val="002B5AE1"/>
    <w:rsid w:val="002B5BEE"/>
    <w:rsid w:val="002B5FFF"/>
    <w:rsid w:val="002B61D0"/>
    <w:rsid w:val="002B637C"/>
    <w:rsid w:val="002B6576"/>
    <w:rsid w:val="002B6A1E"/>
    <w:rsid w:val="002B71C4"/>
    <w:rsid w:val="002B72C4"/>
    <w:rsid w:val="002B763A"/>
    <w:rsid w:val="002B76EA"/>
    <w:rsid w:val="002B795F"/>
    <w:rsid w:val="002B7B96"/>
    <w:rsid w:val="002B7E09"/>
    <w:rsid w:val="002C0717"/>
    <w:rsid w:val="002C0911"/>
    <w:rsid w:val="002C0F20"/>
    <w:rsid w:val="002C1288"/>
    <w:rsid w:val="002C12B6"/>
    <w:rsid w:val="002C157D"/>
    <w:rsid w:val="002C15FB"/>
    <w:rsid w:val="002C18B6"/>
    <w:rsid w:val="002C18CE"/>
    <w:rsid w:val="002C1BC8"/>
    <w:rsid w:val="002C1C71"/>
    <w:rsid w:val="002C1D78"/>
    <w:rsid w:val="002C1F5E"/>
    <w:rsid w:val="002C1F8A"/>
    <w:rsid w:val="002C2133"/>
    <w:rsid w:val="002C2153"/>
    <w:rsid w:val="002C2A47"/>
    <w:rsid w:val="002C2A76"/>
    <w:rsid w:val="002C2EA5"/>
    <w:rsid w:val="002C3086"/>
    <w:rsid w:val="002C37B4"/>
    <w:rsid w:val="002C37DC"/>
    <w:rsid w:val="002C39A6"/>
    <w:rsid w:val="002C3A0F"/>
    <w:rsid w:val="002C3CC2"/>
    <w:rsid w:val="002C4190"/>
    <w:rsid w:val="002C41E8"/>
    <w:rsid w:val="002C44F9"/>
    <w:rsid w:val="002C4692"/>
    <w:rsid w:val="002C4A31"/>
    <w:rsid w:val="002C4A8B"/>
    <w:rsid w:val="002C5136"/>
    <w:rsid w:val="002C548C"/>
    <w:rsid w:val="002C572C"/>
    <w:rsid w:val="002C5FF4"/>
    <w:rsid w:val="002C634F"/>
    <w:rsid w:val="002C707C"/>
    <w:rsid w:val="002C714E"/>
    <w:rsid w:val="002C7248"/>
    <w:rsid w:val="002C753C"/>
    <w:rsid w:val="002C77C8"/>
    <w:rsid w:val="002C78A0"/>
    <w:rsid w:val="002C7CAE"/>
    <w:rsid w:val="002D03C2"/>
    <w:rsid w:val="002D092D"/>
    <w:rsid w:val="002D0B1E"/>
    <w:rsid w:val="002D11D3"/>
    <w:rsid w:val="002D1436"/>
    <w:rsid w:val="002D1696"/>
    <w:rsid w:val="002D18E8"/>
    <w:rsid w:val="002D1A95"/>
    <w:rsid w:val="002D1AC9"/>
    <w:rsid w:val="002D2528"/>
    <w:rsid w:val="002D295E"/>
    <w:rsid w:val="002D2A3D"/>
    <w:rsid w:val="002D2B19"/>
    <w:rsid w:val="002D2F1D"/>
    <w:rsid w:val="002D35F4"/>
    <w:rsid w:val="002D39F8"/>
    <w:rsid w:val="002D3A41"/>
    <w:rsid w:val="002D3DE0"/>
    <w:rsid w:val="002D4355"/>
    <w:rsid w:val="002D4AF1"/>
    <w:rsid w:val="002D4DBE"/>
    <w:rsid w:val="002D518F"/>
    <w:rsid w:val="002D598B"/>
    <w:rsid w:val="002D5CDB"/>
    <w:rsid w:val="002D5FDF"/>
    <w:rsid w:val="002D6114"/>
    <w:rsid w:val="002D6317"/>
    <w:rsid w:val="002D67BF"/>
    <w:rsid w:val="002D692D"/>
    <w:rsid w:val="002D6970"/>
    <w:rsid w:val="002D6CBC"/>
    <w:rsid w:val="002D7191"/>
    <w:rsid w:val="002D77CF"/>
    <w:rsid w:val="002D7BF2"/>
    <w:rsid w:val="002D7E83"/>
    <w:rsid w:val="002E0041"/>
    <w:rsid w:val="002E0048"/>
    <w:rsid w:val="002E01C5"/>
    <w:rsid w:val="002E0456"/>
    <w:rsid w:val="002E0487"/>
    <w:rsid w:val="002E0568"/>
    <w:rsid w:val="002E0B2C"/>
    <w:rsid w:val="002E10C6"/>
    <w:rsid w:val="002E17A7"/>
    <w:rsid w:val="002E181F"/>
    <w:rsid w:val="002E1A1A"/>
    <w:rsid w:val="002E23CB"/>
    <w:rsid w:val="002E2630"/>
    <w:rsid w:val="002E2942"/>
    <w:rsid w:val="002E2A83"/>
    <w:rsid w:val="002E2AE0"/>
    <w:rsid w:val="002E2CA9"/>
    <w:rsid w:val="002E35B6"/>
    <w:rsid w:val="002E3608"/>
    <w:rsid w:val="002E36DC"/>
    <w:rsid w:val="002E3783"/>
    <w:rsid w:val="002E38E7"/>
    <w:rsid w:val="002E3A3E"/>
    <w:rsid w:val="002E3C59"/>
    <w:rsid w:val="002E41B6"/>
    <w:rsid w:val="002E4BB0"/>
    <w:rsid w:val="002E4DE5"/>
    <w:rsid w:val="002E50FB"/>
    <w:rsid w:val="002E5382"/>
    <w:rsid w:val="002E539D"/>
    <w:rsid w:val="002E6552"/>
    <w:rsid w:val="002E6F4F"/>
    <w:rsid w:val="002E71D7"/>
    <w:rsid w:val="002E7464"/>
    <w:rsid w:val="002E74FE"/>
    <w:rsid w:val="002E753E"/>
    <w:rsid w:val="002E7F0B"/>
    <w:rsid w:val="002F0441"/>
    <w:rsid w:val="002F071D"/>
    <w:rsid w:val="002F0E81"/>
    <w:rsid w:val="002F0F64"/>
    <w:rsid w:val="002F2900"/>
    <w:rsid w:val="002F2954"/>
    <w:rsid w:val="002F29DD"/>
    <w:rsid w:val="002F2B51"/>
    <w:rsid w:val="002F2B89"/>
    <w:rsid w:val="002F2B90"/>
    <w:rsid w:val="002F2E5D"/>
    <w:rsid w:val="002F2ED9"/>
    <w:rsid w:val="002F2FB1"/>
    <w:rsid w:val="002F338E"/>
    <w:rsid w:val="002F34C5"/>
    <w:rsid w:val="002F3CCD"/>
    <w:rsid w:val="002F4379"/>
    <w:rsid w:val="002F4504"/>
    <w:rsid w:val="002F4594"/>
    <w:rsid w:val="002F4804"/>
    <w:rsid w:val="002F4927"/>
    <w:rsid w:val="002F4975"/>
    <w:rsid w:val="002F49BA"/>
    <w:rsid w:val="002F4E95"/>
    <w:rsid w:val="002F4EAC"/>
    <w:rsid w:val="002F4F12"/>
    <w:rsid w:val="002F4F9A"/>
    <w:rsid w:val="002F522E"/>
    <w:rsid w:val="002F556C"/>
    <w:rsid w:val="002F580B"/>
    <w:rsid w:val="002F5827"/>
    <w:rsid w:val="002F583C"/>
    <w:rsid w:val="002F5937"/>
    <w:rsid w:val="002F5C4D"/>
    <w:rsid w:val="002F6040"/>
    <w:rsid w:val="002F610A"/>
    <w:rsid w:val="002F6261"/>
    <w:rsid w:val="002F64C1"/>
    <w:rsid w:val="002F6D66"/>
    <w:rsid w:val="002F71C3"/>
    <w:rsid w:val="002F748D"/>
    <w:rsid w:val="002F75A2"/>
    <w:rsid w:val="002F7745"/>
    <w:rsid w:val="002F77EA"/>
    <w:rsid w:val="002F78BB"/>
    <w:rsid w:val="002F7EC2"/>
    <w:rsid w:val="002F7F20"/>
    <w:rsid w:val="002F7F32"/>
    <w:rsid w:val="00300609"/>
    <w:rsid w:val="003007E3"/>
    <w:rsid w:val="0030093D"/>
    <w:rsid w:val="003010B8"/>
    <w:rsid w:val="003014C1"/>
    <w:rsid w:val="00301577"/>
    <w:rsid w:val="00301AD5"/>
    <w:rsid w:val="00301BCB"/>
    <w:rsid w:val="00301EDE"/>
    <w:rsid w:val="0030214C"/>
    <w:rsid w:val="00302323"/>
    <w:rsid w:val="003031A3"/>
    <w:rsid w:val="0030370D"/>
    <w:rsid w:val="00303E9D"/>
    <w:rsid w:val="00303F45"/>
    <w:rsid w:val="003040A8"/>
    <w:rsid w:val="0030419E"/>
    <w:rsid w:val="003042A9"/>
    <w:rsid w:val="003048ED"/>
    <w:rsid w:val="00304D3F"/>
    <w:rsid w:val="003051A8"/>
    <w:rsid w:val="0030527A"/>
    <w:rsid w:val="0030541F"/>
    <w:rsid w:val="0030560A"/>
    <w:rsid w:val="0030562D"/>
    <w:rsid w:val="0030569C"/>
    <w:rsid w:val="00305A16"/>
    <w:rsid w:val="00305BCB"/>
    <w:rsid w:val="00305EFD"/>
    <w:rsid w:val="00305F0A"/>
    <w:rsid w:val="00306244"/>
    <w:rsid w:val="0030632F"/>
    <w:rsid w:val="003066C2"/>
    <w:rsid w:val="00306807"/>
    <w:rsid w:val="00306BAC"/>
    <w:rsid w:val="00307010"/>
    <w:rsid w:val="00307967"/>
    <w:rsid w:val="00307C66"/>
    <w:rsid w:val="00307CD0"/>
    <w:rsid w:val="00307D57"/>
    <w:rsid w:val="00307E8D"/>
    <w:rsid w:val="003100FD"/>
    <w:rsid w:val="003103B6"/>
    <w:rsid w:val="003104E6"/>
    <w:rsid w:val="00310526"/>
    <w:rsid w:val="00310CB4"/>
    <w:rsid w:val="00310E53"/>
    <w:rsid w:val="00310F70"/>
    <w:rsid w:val="00311026"/>
    <w:rsid w:val="00311A42"/>
    <w:rsid w:val="00311E94"/>
    <w:rsid w:val="00312240"/>
    <w:rsid w:val="0031296B"/>
    <w:rsid w:val="00312B22"/>
    <w:rsid w:val="00312BB0"/>
    <w:rsid w:val="00313696"/>
    <w:rsid w:val="00313AB0"/>
    <w:rsid w:val="00313F1F"/>
    <w:rsid w:val="00314004"/>
    <w:rsid w:val="00314826"/>
    <w:rsid w:val="0031499A"/>
    <w:rsid w:val="00314B6F"/>
    <w:rsid w:val="00314C01"/>
    <w:rsid w:val="00314EF9"/>
    <w:rsid w:val="00315009"/>
    <w:rsid w:val="00315691"/>
    <w:rsid w:val="00315697"/>
    <w:rsid w:val="00315856"/>
    <w:rsid w:val="003158A9"/>
    <w:rsid w:val="00315EC7"/>
    <w:rsid w:val="00315F87"/>
    <w:rsid w:val="0031600B"/>
    <w:rsid w:val="0031608A"/>
    <w:rsid w:val="00316403"/>
    <w:rsid w:val="0031696B"/>
    <w:rsid w:val="00316AFC"/>
    <w:rsid w:val="00316EC4"/>
    <w:rsid w:val="00317013"/>
    <w:rsid w:val="0031751C"/>
    <w:rsid w:val="0031779A"/>
    <w:rsid w:val="00317A36"/>
    <w:rsid w:val="00317AB7"/>
    <w:rsid w:val="003200C7"/>
    <w:rsid w:val="00320DD4"/>
    <w:rsid w:val="00322064"/>
    <w:rsid w:val="003224A8"/>
    <w:rsid w:val="003224EA"/>
    <w:rsid w:val="00322A35"/>
    <w:rsid w:val="00322A8A"/>
    <w:rsid w:val="003234B9"/>
    <w:rsid w:val="0032352C"/>
    <w:rsid w:val="00323A77"/>
    <w:rsid w:val="00323A7F"/>
    <w:rsid w:val="00323A97"/>
    <w:rsid w:val="00323BAA"/>
    <w:rsid w:val="00323D45"/>
    <w:rsid w:val="00323FE8"/>
    <w:rsid w:val="003241A1"/>
    <w:rsid w:val="003252E8"/>
    <w:rsid w:val="00325483"/>
    <w:rsid w:val="00325627"/>
    <w:rsid w:val="00325756"/>
    <w:rsid w:val="0032584F"/>
    <w:rsid w:val="003258D1"/>
    <w:rsid w:val="00325B3D"/>
    <w:rsid w:val="00325D17"/>
    <w:rsid w:val="0032632A"/>
    <w:rsid w:val="0032641B"/>
    <w:rsid w:val="00326469"/>
    <w:rsid w:val="003268D8"/>
    <w:rsid w:val="00326B57"/>
    <w:rsid w:val="003278EB"/>
    <w:rsid w:val="00327B2C"/>
    <w:rsid w:val="00330220"/>
    <w:rsid w:val="00330413"/>
    <w:rsid w:val="0033044A"/>
    <w:rsid w:val="00330624"/>
    <w:rsid w:val="00330D14"/>
    <w:rsid w:val="00330E64"/>
    <w:rsid w:val="0033100B"/>
    <w:rsid w:val="0033119A"/>
    <w:rsid w:val="00331203"/>
    <w:rsid w:val="00331536"/>
    <w:rsid w:val="00331749"/>
    <w:rsid w:val="00331CC5"/>
    <w:rsid w:val="00331CC6"/>
    <w:rsid w:val="00331CD0"/>
    <w:rsid w:val="00332550"/>
    <w:rsid w:val="0033256D"/>
    <w:rsid w:val="00332740"/>
    <w:rsid w:val="00332BE2"/>
    <w:rsid w:val="00332CAE"/>
    <w:rsid w:val="00332D36"/>
    <w:rsid w:val="00332E67"/>
    <w:rsid w:val="00333815"/>
    <w:rsid w:val="00334909"/>
    <w:rsid w:val="00334971"/>
    <w:rsid w:val="00334A99"/>
    <w:rsid w:val="00334DD7"/>
    <w:rsid w:val="00335024"/>
    <w:rsid w:val="00335437"/>
    <w:rsid w:val="0033556C"/>
    <w:rsid w:val="00335777"/>
    <w:rsid w:val="00335840"/>
    <w:rsid w:val="00335B64"/>
    <w:rsid w:val="00335B97"/>
    <w:rsid w:val="00335D55"/>
    <w:rsid w:val="00335D75"/>
    <w:rsid w:val="0033613C"/>
    <w:rsid w:val="0033621B"/>
    <w:rsid w:val="003369E7"/>
    <w:rsid w:val="003369F9"/>
    <w:rsid w:val="00336BB0"/>
    <w:rsid w:val="00336E09"/>
    <w:rsid w:val="00337460"/>
    <w:rsid w:val="0033751A"/>
    <w:rsid w:val="00337799"/>
    <w:rsid w:val="00337B22"/>
    <w:rsid w:val="00337EF1"/>
    <w:rsid w:val="0034049E"/>
    <w:rsid w:val="00340558"/>
    <w:rsid w:val="00340685"/>
    <w:rsid w:val="003409E3"/>
    <w:rsid w:val="00340F4E"/>
    <w:rsid w:val="00341058"/>
    <w:rsid w:val="00341627"/>
    <w:rsid w:val="00341EB2"/>
    <w:rsid w:val="0034280B"/>
    <w:rsid w:val="00342986"/>
    <w:rsid w:val="00342B7D"/>
    <w:rsid w:val="00342BB4"/>
    <w:rsid w:val="00342E42"/>
    <w:rsid w:val="003432F0"/>
    <w:rsid w:val="00343734"/>
    <w:rsid w:val="003437E8"/>
    <w:rsid w:val="00343885"/>
    <w:rsid w:val="00343A72"/>
    <w:rsid w:val="00343B26"/>
    <w:rsid w:val="00343FA8"/>
    <w:rsid w:val="0034410B"/>
    <w:rsid w:val="003446F2"/>
    <w:rsid w:val="00344913"/>
    <w:rsid w:val="00344C4B"/>
    <w:rsid w:val="0034515E"/>
    <w:rsid w:val="0034524E"/>
    <w:rsid w:val="003452A6"/>
    <w:rsid w:val="00345B7F"/>
    <w:rsid w:val="00345D71"/>
    <w:rsid w:val="00345E4F"/>
    <w:rsid w:val="00346062"/>
    <w:rsid w:val="00346357"/>
    <w:rsid w:val="00346C36"/>
    <w:rsid w:val="00347280"/>
    <w:rsid w:val="00347920"/>
    <w:rsid w:val="00347B43"/>
    <w:rsid w:val="00347D6A"/>
    <w:rsid w:val="00347F97"/>
    <w:rsid w:val="0035026A"/>
    <w:rsid w:val="003505D6"/>
    <w:rsid w:val="003510BE"/>
    <w:rsid w:val="00351259"/>
    <w:rsid w:val="0035152B"/>
    <w:rsid w:val="00351DBD"/>
    <w:rsid w:val="00351FA1"/>
    <w:rsid w:val="00352335"/>
    <w:rsid w:val="00352CBA"/>
    <w:rsid w:val="00352D12"/>
    <w:rsid w:val="00353599"/>
    <w:rsid w:val="00353DDD"/>
    <w:rsid w:val="0035400E"/>
    <w:rsid w:val="003541FF"/>
    <w:rsid w:val="003545C1"/>
    <w:rsid w:val="00355010"/>
    <w:rsid w:val="00355077"/>
    <w:rsid w:val="0035543B"/>
    <w:rsid w:val="0035587E"/>
    <w:rsid w:val="0035590A"/>
    <w:rsid w:val="00355BE6"/>
    <w:rsid w:val="0035609B"/>
    <w:rsid w:val="003562D8"/>
    <w:rsid w:val="00356441"/>
    <w:rsid w:val="003564DE"/>
    <w:rsid w:val="003567FA"/>
    <w:rsid w:val="00356A06"/>
    <w:rsid w:val="00356A0A"/>
    <w:rsid w:val="00356A29"/>
    <w:rsid w:val="00356A9D"/>
    <w:rsid w:val="00357207"/>
    <w:rsid w:val="00357382"/>
    <w:rsid w:val="00357498"/>
    <w:rsid w:val="00357924"/>
    <w:rsid w:val="00357A2A"/>
    <w:rsid w:val="00357B98"/>
    <w:rsid w:val="003600CC"/>
    <w:rsid w:val="00360272"/>
    <w:rsid w:val="003606C9"/>
    <w:rsid w:val="00360CE8"/>
    <w:rsid w:val="00361252"/>
    <w:rsid w:val="003613C9"/>
    <w:rsid w:val="00361410"/>
    <w:rsid w:val="0036151F"/>
    <w:rsid w:val="003619B9"/>
    <w:rsid w:val="003624BE"/>
    <w:rsid w:val="00362869"/>
    <w:rsid w:val="003628B1"/>
    <w:rsid w:val="003629E4"/>
    <w:rsid w:val="00362A73"/>
    <w:rsid w:val="00363036"/>
    <w:rsid w:val="003630E0"/>
    <w:rsid w:val="0036323B"/>
    <w:rsid w:val="0036329E"/>
    <w:rsid w:val="0036361E"/>
    <w:rsid w:val="00363754"/>
    <w:rsid w:val="00363A60"/>
    <w:rsid w:val="00363BA7"/>
    <w:rsid w:val="00363E43"/>
    <w:rsid w:val="00363E96"/>
    <w:rsid w:val="00365048"/>
    <w:rsid w:val="0036522B"/>
    <w:rsid w:val="00365481"/>
    <w:rsid w:val="00365979"/>
    <w:rsid w:val="00365EDA"/>
    <w:rsid w:val="0036601A"/>
    <w:rsid w:val="00366253"/>
    <w:rsid w:val="003662D2"/>
    <w:rsid w:val="003663D1"/>
    <w:rsid w:val="00367143"/>
    <w:rsid w:val="00367258"/>
    <w:rsid w:val="00367C5D"/>
    <w:rsid w:val="00370031"/>
    <w:rsid w:val="003702B0"/>
    <w:rsid w:val="00370A0B"/>
    <w:rsid w:val="00370A20"/>
    <w:rsid w:val="00370B8F"/>
    <w:rsid w:val="003710B9"/>
    <w:rsid w:val="003714F3"/>
    <w:rsid w:val="0037237B"/>
    <w:rsid w:val="003724D9"/>
    <w:rsid w:val="00372584"/>
    <w:rsid w:val="00372683"/>
    <w:rsid w:val="00372B95"/>
    <w:rsid w:val="003731AA"/>
    <w:rsid w:val="00373319"/>
    <w:rsid w:val="00373525"/>
    <w:rsid w:val="00373630"/>
    <w:rsid w:val="003736C6"/>
    <w:rsid w:val="00373791"/>
    <w:rsid w:val="003737B9"/>
    <w:rsid w:val="00373C43"/>
    <w:rsid w:val="003746DE"/>
    <w:rsid w:val="00374903"/>
    <w:rsid w:val="00374CF0"/>
    <w:rsid w:val="003752E6"/>
    <w:rsid w:val="00375903"/>
    <w:rsid w:val="00375A68"/>
    <w:rsid w:val="00375EF7"/>
    <w:rsid w:val="00376670"/>
    <w:rsid w:val="00377222"/>
    <w:rsid w:val="00377260"/>
    <w:rsid w:val="0037788C"/>
    <w:rsid w:val="00377A82"/>
    <w:rsid w:val="00377BD9"/>
    <w:rsid w:val="00377C36"/>
    <w:rsid w:val="00380037"/>
    <w:rsid w:val="00380054"/>
    <w:rsid w:val="003801AC"/>
    <w:rsid w:val="0038051F"/>
    <w:rsid w:val="003805FE"/>
    <w:rsid w:val="00380636"/>
    <w:rsid w:val="00380729"/>
    <w:rsid w:val="0038092A"/>
    <w:rsid w:val="00380AC7"/>
    <w:rsid w:val="00380E4C"/>
    <w:rsid w:val="00380FAF"/>
    <w:rsid w:val="003812F4"/>
    <w:rsid w:val="00381BC1"/>
    <w:rsid w:val="00381DF7"/>
    <w:rsid w:val="00381FEA"/>
    <w:rsid w:val="00382432"/>
    <w:rsid w:val="0038245D"/>
    <w:rsid w:val="003824C6"/>
    <w:rsid w:val="00382B96"/>
    <w:rsid w:val="0038325B"/>
    <w:rsid w:val="0038331D"/>
    <w:rsid w:val="00383894"/>
    <w:rsid w:val="00383915"/>
    <w:rsid w:val="00383999"/>
    <w:rsid w:val="003839C0"/>
    <w:rsid w:val="003839CE"/>
    <w:rsid w:val="00383C5B"/>
    <w:rsid w:val="003844CA"/>
    <w:rsid w:val="00384865"/>
    <w:rsid w:val="00384A1A"/>
    <w:rsid w:val="00384DF1"/>
    <w:rsid w:val="00384E3B"/>
    <w:rsid w:val="00385249"/>
    <w:rsid w:val="00385250"/>
    <w:rsid w:val="003857C2"/>
    <w:rsid w:val="00385966"/>
    <w:rsid w:val="00385AF4"/>
    <w:rsid w:val="00385D24"/>
    <w:rsid w:val="00385DD5"/>
    <w:rsid w:val="00385EFE"/>
    <w:rsid w:val="00385F58"/>
    <w:rsid w:val="003868EE"/>
    <w:rsid w:val="00386B73"/>
    <w:rsid w:val="00386CE0"/>
    <w:rsid w:val="00386ECD"/>
    <w:rsid w:val="003873DE"/>
    <w:rsid w:val="0038749B"/>
    <w:rsid w:val="003879B2"/>
    <w:rsid w:val="00387C9D"/>
    <w:rsid w:val="003901F5"/>
    <w:rsid w:val="00390748"/>
    <w:rsid w:val="00391443"/>
    <w:rsid w:val="0039155E"/>
    <w:rsid w:val="003916DB"/>
    <w:rsid w:val="003916EA"/>
    <w:rsid w:val="0039191A"/>
    <w:rsid w:val="0039199F"/>
    <w:rsid w:val="00391A33"/>
    <w:rsid w:val="00391CF5"/>
    <w:rsid w:val="00391DF3"/>
    <w:rsid w:val="00391EBC"/>
    <w:rsid w:val="00391FA7"/>
    <w:rsid w:val="003920B1"/>
    <w:rsid w:val="00392CFF"/>
    <w:rsid w:val="00392F70"/>
    <w:rsid w:val="0039321C"/>
    <w:rsid w:val="0039351B"/>
    <w:rsid w:val="00393622"/>
    <w:rsid w:val="00393832"/>
    <w:rsid w:val="003938DA"/>
    <w:rsid w:val="00394A74"/>
    <w:rsid w:val="00394AF9"/>
    <w:rsid w:val="00394B2C"/>
    <w:rsid w:val="00394BFD"/>
    <w:rsid w:val="00394D05"/>
    <w:rsid w:val="00395215"/>
    <w:rsid w:val="003955A3"/>
    <w:rsid w:val="0039580F"/>
    <w:rsid w:val="00395D15"/>
    <w:rsid w:val="00396192"/>
    <w:rsid w:val="00396282"/>
    <w:rsid w:val="0039663A"/>
    <w:rsid w:val="00396BEA"/>
    <w:rsid w:val="00396D62"/>
    <w:rsid w:val="00396DAE"/>
    <w:rsid w:val="00396ED0"/>
    <w:rsid w:val="00396F20"/>
    <w:rsid w:val="0039713C"/>
    <w:rsid w:val="00397330"/>
    <w:rsid w:val="00397333"/>
    <w:rsid w:val="00397B74"/>
    <w:rsid w:val="00397D9F"/>
    <w:rsid w:val="00397DF0"/>
    <w:rsid w:val="003A028E"/>
    <w:rsid w:val="003A036E"/>
    <w:rsid w:val="003A0446"/>
    <w:rsid w:val="003A0699"/>
    <w:rsid w:val="003A0BAB"/>
    <w:rsid w:val="003A0E97"/>
    <w:rsid w:val="003A1039"/>
    <w:rsid w:val="003A108A"/>
    <w:rsid w:val="003A110C"/>
    <w:rsid w:val="003A1197"/>
    <w:rsid w:val="003A14EF"/>
    <w:rsid w:val="003A167A"/>
    <w:rsid w:val="003A1BA1"/>
    <w:rsid w:val="003A1C24"/>
    <w:rsid w:val="003A1D6D"/>
    <w:rsid w:val="003A1F4A"/>
    <w:rsid w:val="003A268A"/>
    <w:rsid w:val="003A2978"/>
    <w:rsid w:val="003A2DA0"/>
    <w:rsid w:val="003A2EB6"/>
    <w:rsid w:val="003A364E"/>
    <w:rsid w:val="003A3824"/>
    <w:rsid w:val="003A406B"/>
    <w:rsid w:val="003A459F"/>
    <w:rsid w:val="003A475F"/>
    <w:rsid w:val="003A4D6C"/>
    <w:rsid w:val="003A4D7B"/>
    <w:rsid w:val="003A517D"/>
    <w:rsid w:val="003A55B2"/>
    <w:rsid w:val="003A57E3"/>
    <w:rsid w:val="003A59F1"/>
    <w:rsid w:val="003A5D78"/>
    <w:rsid w:val="003A62E5"/>
    <w:rsid w:val="003A65B0"/>
    <w:rsid w:val="003A65DD"/>
    <w:rsid w:val="003A694E"/>
    <w:rsid w:val="003A6A7F"/>
    <w:rsid w:val="003A6B33"/>
    <w:rsid w:val="003A6BAE"/>
    <w:rsid w:val="003A6C74"/>
    <w:rsid w:val="003A6C8E"/>
    <w:rsid w:val="003A70FC"/>
    <w:rsid w:val="003A74F8"/>
    <w:rsid w:val="003A75B1"/>
    <w:rsid w:val="003A78E2"/>
    <w:rsid w:val="003A7995"/>
    <w:rsid w:val="003A7A01"/>
    <w:rsid w:val="003A7DE8"/>
    <w:rsid w:val="003A7DEE"/>
    <w:rsid w:val="003B051A"/>
    <w:rsid w:val="003B0723"/>
    <w:rsid w:val="003B0879"/>
    <w:rsid w:val="003B0E43"/>
    <w:rsid w:val="003B0E64"/>
    <w:rsid w:val="003B0EDB"/>
    <w:rsid w:val="003B1129"/>
    <w:rsid w:val="003B12D9"/>
    <w:rsid w:val="003B1353"/>
    <w:rsid w:val="003B13D1"/>
    <w:rsid w:val="003B2279"/>
    <w:rsid w:val="003B25E7"/>
    <w:rsid w:val="003B2EB5"/>
    <w:rsid w:val="003B3032"/>
    <w:rsid w:val="003B3304"/>
    <w:rsid w:val="003B371B"/>
    <w:rsid w:val="003B3759"/>
    <w:rsid w:val="003B401C"/>
    <w:rsid w:val="003B413F"/>
    <w:rsid w:val="003B473C"/>
    <w:rsid w:val="003B48AD"/>
    <w:rsid w:val="003B4B75"/>
    <w:rsid w:val="003B4FA8"/>
    <w:rsid w:val="003B5629"/>
    <w:rsid w:val="003B5AF2"/>
    <w:rsid w:val="003B6024"/>
    <w:rsid w:val="003B602A"/>
    <w:rsid w:val="003B6030"/>
    <w:rsid w:val="003B622C"/>
    <w:rsid w:val="003B6257"/>
    <w:rsid w:val="003B662C"/>
    <w:rsid w:val="003B67FB"/>
    <w:rsid w:val="003B6A34"/>
    <w:rsid w:val="003B6BA6"/>
    <w:rsid w:val="003B6BB1"/>
    <w:rsid w:val="003B6D3F"/>
    <w:rsid w:val="003B70CE"/>
    <w:rsid w:val="003B73E0"/>
    <w:rsid w:val="003B7579"/>
    <w:rsid w:val="003B799C"/>
    <w:rsid w:val="003B7A2B"/>
    <w:rsid w:val="003B7B3D"/>
    <w:rsid w:val="003B7D21"/>
    <w:rsid w:val="003B7F26"/>
    <w:rsid w:val="003B7F58"/>
    <w:rsid w:val="003B7F9C"/>
    <w:rsid w:val="003C01AB"/>
    <w:rsid w:val="003C035D"/>
    <w:rsid w:val="003C07EB"/>
    <w:rsid w:val="003C09F3"/>
    <w:rsid w:val="003C0BEF"/>
    <w:rsid w:val="003C0F0A"/>
    <w:rsid w:val="003C0F57"/>
    <w:rsid w:val="003C1735"/>
    <w:rsid w:val="003C1DFE"/>
    <w:rsid w:val="003C1F23"/>
    <w:rsid w:val="003C21C8"/>
    <w:rsid w:val="003C2287"/>
    <w:rsid w:val="003C2332"/>
    <w:rsid w:val="003C23DC"/>
    <w:rsid w:val="003C23F3"/>
    <w:rsid w:val="003C271B"/>
    <w:rsid w:val="003C28C6"/>
    <w:rsid w:val="003C2BE9"/>
    <w:rsid w:val="003C2EB0"/>
    <w:rsid w:val="003C349E"/>
    <w:rsid w:val="003C3D1B"/>
    <w:rsid w:val="003C3E88"/>
    <w:rsid w:val="003C4849"/>
    <w:rsid w:val="003C506F"/>
    <w:rsid w:val="003C5552"/>
    <w:rsid w:val="003C5666"/>
    <w:rsid w:val="003C66D4"/>
    <w:rsid w:val="003C6814"/>
    <w:rsid w:val="003C68A8"/>
    <w:rsid w:val="003C6D90"/>
    <w:rsid w:val="003C7243"/>
    <w:rsid w:val="003C724D"/>
    <w:rsid w:val="003C73AE"/>
    <w:rsid w:val="003C795F"/>
    <w:rsid w:val="003C7F9F"/>
    <w:rsid w:val="003D0137"/>
    <w:rsid w:val="003D05C3"/>
    <w:rsid w:val="003D0908"/>
    <w:rsid w:val="003D0975"/>
    <w:rsid w:val="003D0CD1"/>
    <w:rsid w:val="003D0CD7"/>
    <w:rsid w:val="003D0DAD"/>
    <w:rsid w:val="003D0DDA"/>
    <w:rsid w:val="003D131C"/>
    <w:rsid w:val="003D143F"/>
    <w:rsid w:val="003D1467"/>
    <w:rsid w:val="003D170E"/>
    <w:rsid w:val="003D19BE"/>
    <w:rsid w:val="003D1B88"/>
    <w:rsid w:val="003D1BF0"/>
    <w:rsid w:val="003D1D04"/>
    <w:rsid w:val="003D1D17"/>
    <w:rsid w:val="003D1DD7"/>
    <w:rsid w:val="003D1F81"/>
    <w:rsid w:val="003D2214"/>
    <w:rsid w:val="003D2D25"/>
    <w:rsid w:val="003D2EE5"/>
    <w:rsid w:val="003D31E1"/>
    <w:rsid w:val="003D335A"/>
    <w:rsid w:val="003D3473"/>
    <w:rsid w:val="003D367D"/>
    <w:rsid w:val="003D3753"/>
    <w:rsid w:val="003D37E7"/>
    <w:rsid w:val="003D3F57"/>
    <w:rsid w:val="003D3F7D"/>
    <w:rsid w:val="003D4091"/>
    <w:rsid w:val="003D40F2"/>
    <w:rsid w:val="003D487E"/>
    <w:rsid w:val="003D4987"/>
    <w:rsid w:val="003D4F54"/>
    <w:rsid w:val="003D53D7"/>
    <w:rsid w:val="003D5A46"/>
    <w:rsid w:val="003D5A57"/>
    <w:rsid w:val="003D623E"/>
    <w:rsid w:val="003D63BC"/>
    <w:rsid w:val="003D66EE"/>
    <w:rsid w:val="003D699A"/>
    <w:rsid w:val="003D6AC1"/>
    <w:rsid w:val="003D6AE6"/>
    <w:rsid w:val="003D6D67"/>
    <w:rsid w:val="003D6D84"/>
    <w:rsid w:val="003D6DA2"/>
    <w:rsid w:val="003D762E"/>
    <w:rsid w:val="003D7BDD"/>
    <w:rsid w:val="003E02C1"/>
    <w:rsid w:val="003E0359"/>
    <w:rsid w:val="003E07F7"/>
    <w:rsid w:val="003E0B96"/>
    <w:rsid w:val="003E0E38"/>
    <w:rsid w:val="003E0F68"/>
    <w:rsid w:val="003E0FE1"/>
    <w:rsid w:val="003E1023"/>
    <w:rsid w:val="003E113A"/>
    <w:rsid w:val="003E14A2"/>
    <w:rsid w:val="003E15A6"/>
    <w:rsid w:val="003E18B8"/>
    <w:rsid w:val="003E1E7B"/>
    <w:rsid w:val="003E1F22"/>
    <w:rsid w:val="003E2AEF"/>
    <w:rsid w:val="003E2C43"/>
    <w:rsid w:val="003E3044"/>
    <w:rsid w:val="003E381C"/>
    <w:rsid w:val="003E3BD5"/>
    <w:rsid w:val="003E438B"/>
    <w:rsid w:val="003E485C"/>
    <w:rsid w:val="003E4D27"/>
    <w:rsid w:val="003E500B"/>
    <w:rsid w:val="003E5517"/>
    <w:rsid w:val="003E5541"/>
    <w:rsid w:val="003E5581"/>
    <w:rsid w:val="003E573C"/>
    <w:rsid w:val="003E5BEF"/>
    <w:rsid w:val="003E6017"/>
    <w:rsid w:val="003E60AF"/>
    <w:rsid w:val="003E6514"/>
    <w:rsid w:val="003E6648"/>
    <w:rsid w:val="003E67C1"/>
    <w:rsid w:val="003E6FC3"/>
    <w:rsid w:val="003E7365"/>
    <w:rsid w:val="003E742F"/>
    <w:rsid w:val="003E77DC"/>
    <w:rsid w:val="003E787C"/>
    <w:rsid w:val="003E79FF"/>
    <w:rsid w:val="003E7C0A"/>
    <w:rsid w:val="003F0074"/>
    <w:rsid w:val="003F008A"/>
    <w:rsid w:val="003F00FB"/>
    <w:rsid w:val="003F0F70"/>
    <w:rsid w:val="003F0FA6"/>
    <w:rsid w:val="003F1081"/>
    <w:rsid w:val="003F1801"/>
    <w:rsid w:val="003F1DC1"/>
    <w:rsid w:val="003F239F"/>
    <w:rsid w:val="003F23F1"/>
    <w:rsid w:val="003F24ED"/>
    <w:rsid w:val="003F2A44"/>
    <w:rsid w:val="003F2AC5"/>
    <w:rsid w:val="003F2C86"/>
    <w:rsid w:val="003F35B9"/>
    <w:rsid w:val="003F391E"/>
    <w:rsid w:val="003F39C6"/>
    <w:rsid w:val="003F4259"/>
    <w:rsid w:val="003F43F9"/>
    <w:rsid w:val="003F4706"/>
    <w:rsid w:val="003F4893"/>
    <w:rsid w:val="003F4A0E"/>
    <w:rsid w:val="003F4A99"/>
    <w:rsid w:val="003F4D6B"/>
    <w:rsid w:val="003F53B6"/>
    <w:rsid w:val="003F54C3"/>
    <w:rsid w:val="003F5515"/>
    <w:rsid w:val="003F5525"/>
    <w:rsid w:val="003F55F8"/>
    <w:rsid w:val="003F60A7"/>
    <w:rsid w:val="003F6266"/>
    <w:rsid w:val="003F62D8"/>
    <w:rsid w:val="003F6F82"/>
    <w:rsid w:val="003F72AB"/>
    <w:rsid w:val="003F767B"/>
    <w:rsid w:val="003F775C"/>
    <w:rsid w:val="003F7ADB"/>
    <w:rsid w:val="003F7B56"/>
    <w:rsid w:val="0040039B"/>
    <w:rsid w:val="004005F8"/>
    <w:rsid w:val="00400FAC"/>
    <w:rsid w:val="004013A6"/>
    <w:rsid w:val="00401484"/>
    <w:rsid w:val="004016D1"/>
    <w:rsid w:val="00401D3E"/>
    <w:rsid w:val="00401E61"/>
    <w:rsid w:val="0040200D"/>
    <w:rsid w:val="004024ED"/>
    <w:rsid w:val="00402688"/>
    <w:rsid w:val="00402953"/>
    <w:rsid w:val="00402A3E"/>
    <w:rsid w:val="004037D8"/>
    <w:rsid w:val="004038C5"/>
    <w:rsid w:val="00403906"/>
    <w:rsid w:val="00403AC4"/>
    <w:rsid w:val="00403C7D"/>
    <w:rsid w:val="00403CC1"/>
    <w:rsid w:val="00404D01"/>
    <w:rsid w:val="00405292"/>
    <w:rsid w:val="004054D8"/>
    <w:rsid w:val="00405E50"/>
    <w:rsid w:val="00406242"/>
    <w:rsid w:val="00406272"/>
    <w:rsid w:val="004063D7"/>
    <w:rsid w:val="0040655B"/>
    <w:rsid w:val="004068F2"/>
    <w:rsid w:val="00406CD3"/>
    <w:rsid w:val="004070E1"/>
    <w:rsid w:val="0040734F"/>
    <w:rsid w:val="004074F5"/>
    <w:rsid w:val="00407A76"/>
    <w:rsid w:val="00407CB7"/>
    <w:rsid w:val="00407FAF"/>
    <w:rsid w:val="00410142"/>
    <w:rsid w:val="004103F3"/>
    <w:rsid w:val="00410404"/>
    <w:rsid w:val="004104B2"/>
    <w:rsid w:val="00410F93"/>
    <w:rsid w:val="004113C2"/>
    <w:rsid w:val="00411B21"/>
    <w:rsid w:val="00411BA5"/>
    <w:rsid w:val="00411C25"/>
    <w:rsid w:val="00411C96"/>
    <w:rsid w:val="00411DD8"/>
    <w:rsid w:val="004120D0"/>
    <w:rsid w:val="004123FA"/>
    <w:rsid w:val="004126F4"/>
    <w:rsid w:val="00412CE2"/>
    <w:rsid w:val="00412F43"/>
    <w:rsid w:val="00413559"/>
    <w:rsid w:val="0041368A"/>
    <w:rsid w:val="00413A1F"/>
    <w:rsid w:val="00413ACF"/>
    <w:rsid w:val="00413BE1"/>
    <w:rsid w:val="0041413A"/>
    <w:rsid w:val="004142CC"/>
    <w:rsid w:val="004142D8"/>
    <w:rsid w:val="004143EB"/>
    <w:rsid w:val="00414924"/>
    <w:rsid w:val="00414983"/>
    <w:rsid w:val="00414AD7"/>
    <w:rsid w:val="00414CE9"/>
    <w:rsid w:val="00415079"/>
    <w:rsid w:val="004151DD"/>
    <w:rsid w:val="00415444"/>
    <w:rsid w:val="004157D5"/>
    <w:rsid w:val="00415C2A"/>
    <w:rsid w:val="00415CA4"/>
    <w:rsid w:val="00415EAF"/>
    <w:rsid w:val="00416614"/>
    <w:rsid w:val="004167BD"/>
    <w:rsid w:val="00416B4E"/>
    <w:rsid w:val="00417851"/>
    <w:rsid w:val="00417968"/>
    <w:rsid w:val="00417C99"/>
    <w:rsid w:val="00417F10"/>
    <w:rsid w:val="00420082"/>
    <w:rsid w:val="00420095"/>
    <w:rsid w:val="00420152"/>
    <w:rsid w:val="004201D1"/>
    <w:rsid w:val="0042035A"/>
    <w:rsid w:val="004207E9"/>
    <w:rsid w:val="004208BE"/>
    <w:rsid w:val="00420C1E"/>
    <w:rsid w:val="00420D41"/>
    <w:rsid w:val="00420EE6"/>
    <w:rsid w:val="004211B3"/>
    <w:rsid w:val="0042134C"/>
    <w:rsid w:val="0042163F"/>
    <w:rsid w:val="00421AA9"/>
    <w:rsid w:val="00421D2D"/>
    <w:rsid w:val="00421FFD"/>
    <w:rsid w:val="004224F7"/>
    <w:rsid w:val="00422599"/>
    <w:rsid w:val="00422620"/>
    <w:rsid w:val="00422683"/>
    <w:rsid w:val="0042269D"/>
    <w:rsid w:val="00422BB0"/>
    <w:rsid w:val="00422FA0"/>
    <w:rsid w:val="00423127"/>
    <w:rsid w:val="00423A21"/>
    <w:rsid w:val="00423BB2"/>
    <w:rsid w:val="00423DBC"/>
    <w:rsid w:val="00423E19"/>
    <w:rsid w:val="004242E0"/>
    <w:rsid w:val="00424390"/>
    <w:rsid w:val="0042449F"/>
    <w:rsid w:val="004246B6"/>
    <w:rsid w:val="00424B0A"/>
    <w:rsid w:val="00424ED8"/>
    <w:rsid w:val="00425347"/>
    <w:rsid w:val="004255EF"/>
    <w:rsid w:val="0042575B"/>
    <w:rsid w:val="00425C2B"/>
    <w:rsid w:val="00425FCC"/>
    <w:rsid w:val="00426134"/>
    <w:rsid w:val="004261B6"/>
    <w:rsid w:val="004262DE"/>
    <w:rsid w:val="00426325"/>
    <w:rsid w:val="00426BAA"/>
    <w:rsid w:val="00426BEF"/>
    <w:rsid w:val="00426D97"/>
    <w:rsid w:val="00426DFE"/>
    <w:rsid w:val="00426E34"/>
    <w:rsid w:val="00426F0F"/>
    <w:rsid w:val="00426F45"/>
    <w:rsid w:val="0042749A"/>
    <w:rsid w:val="00427545"/>
    <w:rsid w:val="00427677"/>
    <w:rsid w:val="004278B8"/>
    <w:rsid w:val="00427960"/>
    <w:rsid w:val="004279B2"/>
    <w:rsid w:val="00427E69"/>
    <w:rsid w:val="00430798"/>
    <w:rsid w:val="00430A51"/>
    <w:rsid w:val="00430BD7"/>
    <w:rsid w:val="00430C8B"/>
    <w:rsid w:val="00430F8D"/>
    <w:rsid w:val="0043198E"/>
    <w:rsid w:val="00431AB9"/>
    <w:rsid w:val="00431DB5"/>
    <w:rsid w:val="00431E73"/>
    <w:rsid w:val="004326F2"/>
    <w:rsid w:val="00432799"/>
    <w:rsid w:val="00432893"/>
    <w:rsid w:val="00432990"/>
    <w:rsid w:val="00432E72"/>
    <w:rsid w:val="00433297"/>
    <w:rsid w:val="00433305"/>
    <w:rsid w:val="0043333C"/>
    <w:rsid w:val="004338D8"/>
    <w:rsid w:val="004339FA"/>
    <w:rsid w:val="00433BD6"/>
    <w:rsid w:val="00434274"/>
    <w:rsid w:val="00434616"/>
    <w:rsid w:val="00434687"/>
    <w:rsid w:val="004346C4"/>
    <w:rsid w:val="0043488C"/>
    <w:rsid w:val="00434944"/>
    <w:rsid w:val="00434CA4"/>
    <w:rsid w:val="00434DB5"/>
    <w:rsid w:val="00434E56"/>
    <w:rsid w:val="004351CD"/>
    <w:rsid w:val="0043599C"/>
    <w:rsid w:val="00435CAF"/>
    <w:rsid w:val="0043649F"/>
    <w:rsid w:val="004367B9"/>
    <w:rsid w:val="00436DCC"/>
    <w:rsid w:val="00436F2F"/>
    <w:rsid w:val="0043718A"/>
    <w:rsid w:val="00437405"/>
    <w:rsid w:val="004379A8"/>
    <w:rsid w:val="00437C1A"/>
    <w:rsid w:val="00437E53"/>
    <w:rsid w:val="00437F58"/>
    <w:rsid w:val="00437FB3"/>
    <w:rsid w:val="00440339"/>
    <w:rsid w:val="0044033C"/>
    <w:rsid w:val="00440798"/>
    <w:rsid w:val="00440C24"/>
    <w:rsid w:val="00441A43"/>
    <w:rsid w:val="00441ABC"/>
    <w:rsid w:val="00441FAE"/>
    <w:rsid w:val="004420BB"/>
    <w:rsid w:val="0044276B"/>
    <w:rsid w:val="00442C01"/>
    <w:rsid w:val="00443071"/>
    <w:rsid w:val="004431D1"/>
    <w:rsid w:val="00443400"/>
    <w:rsid w:val="00443847"/>
    <w:rsid w:val="00443D0E"/>
    <w:rsid w:val="00444054"/>
    <w:rsid w:val="004443E5"/>
    <w:rsid w:val="004449EF"/>
    <w:rsid w:val="00444BA9"/>
    <w:rsid w:val="0044517E"/>
    <w:rsid w:val="00445260"/>
    <w:rsid w:val="004456B9"/>
    <w:rsid w:val="00445778"/>
    <w:rsid w:val="00445B6A"/>
    <w:rsid w:val="00446360"/>
    <w:rsid w:val="004465D2"/>
    <w:rsid w:val="004465F4"/>
    <w:rsid w:val="00446669"/>
    <w:rsid w:val="0044674C"/>
    <w:rsid w:val="00446B56"/>
    <w:rsid w:val="00446B6B"/>
    <w:rsid w:val="00446BF3"/>
    <w:rsid w:val="00446C0C"/>
    <w:rsid w:val="0044703B"/>
    <w:rsid w:val="0044713A"/>
    <w:rsid w:val="004472CC"/>
    <w:rsid w:val="0044772F"/>
    <w:rsid w:val="00447EE6"/>
    <w:rsid w:val="00450147"/>
    <w:rsid w:val="0045032F"/>
    <w:rsid w:val="004503EB"/>
    <w:rsid w:val="00450540"/>
    <w:rsid w:val="0045088C"/>
    <w:rsid w:val="00450BD1"/>
    <w:rsid w:val="0045119A"/>
    <w:rsid w:val="00451236"/>
    <w:rsid w:val="0045124A"/>
    <w:rsid w:val="00451334"/>
    <w:rsid w:val="00451490"/>
    <w:rsid w:val="00451635"/>
    <w:rsid w:val="00451CDD"/>
    <w:rsid w:val="00451E38"/>
    <w:rsid w:val="00451E3C"/>
    <w:rsid w:val="00452497"/>
    <w:rsid w:val="004524A1"/>
    <w:rsid w:val="00452BAB"/>
    <w:rsid w:val="00452CA7"/>
    <w:rsid w:val="00452F3B"/>
    <w:rsid w:val="00453367"/>
    <w:rsid w:val="004533C7"/>
    <w:rsid w:val="00453693"/>
    <w:rsid w:val="00453F6D"/>
    <w:rsid w:val="004546C1"/>
    <w:rsid w:val="00454955"/>
    <w:rsid w:val="0045495B"/>
    <w:rsid w:val="00454BED"/>
    <w:rsid w:val="00454C3D"/>
    <w:rsid w:val="004556E0"/>
    <w:rsid w:val="00455770"/>
    <w:rsid w:val="004557FA"/>
    <w:rsid w:val="00455DBC"/>
    <w:rsid w:val="00455FD9"/>
    <w:rsid w:val="00456027"/>
    <w:rsid w:val="004563D6"/>
    <w:rsid w:val="004564E8"/>
    <w:rsid w:val="004565B3"/>
    <w:rsid w:val="00456944"/>
    <w:rsid w:val="00456A83"/>
    <w:rsid w:val="00456A9D"/>
    <w:rsid w:val="00456BCF"/>
    <w:rsid w:val="00456F21"/>
    <w:rsid w:val="004571C8"/>
    <w:rsid w:val="0045741D"/>
    <w:rsid w:val="00457866"/>
    <w:rsid w:val="004579DE"/>
    <w:rsid w:val="00457D04"/>
    <w:rsid w:val="00457D70"/>
    <w:rsid w:val="00457DA8"/>
    <w:rsid w:val="0046016E"/>
    <w:rsid w:val="004601B5"/>
    <w:rsid w:val="0046036B"/>
    <w:rsid w:val="0046043A"/>
    <w:rsid w:val="00460865"/>
    <w:rsid w:val="00460967"/>
    <w:rsid w:val="00460D6C"/>
    <w:rsid w:val="00460F35"/>
    <w:rsid w:val="00461295"/>
    <w:rsid w:val="004612FF"/>
    <w:rsid w:val="00461400"/>
    <w:rsid w:val="004616C3"/>
    <w:rsid w:val="004617E7"/>
    <w:rsid w:val="0046191F"/>
    <w:rsid w:val="00461A59"/>
    <w:rsid w:val="00461DA0"/>
    <w:rsid w:val="00461FC1"/>
    <w:rsid w:val="00462A86"/>
    <w:rsid w:val="00462C3C"/>
    <w:rsid w:val="00462EE9"/>
    <w:rsid w:val="00462FC6"/>
    <w:rsid w:val="00462FF8"/>
    <w:rsid w:val="004635CA"/>
    <w:rsid w:val="004637E3"/>
    <w:rsid w:val="00463E69"/>
    <w:rsid w:val="0046405C"/>
    <w:rsid w:val="0046436F"/>
    <w:rsid w:val="004643C8"/>
    <w:rsid w:val="0046471C"/>
    <w:rsid w:val="00464C09"/>
    <w:rsid w:val="00464D71"/>
    <w:rsid w:val="00464DED"/>
    <w:rsid w:val="0046512F"/>
    <w:rsid w:val="00465331"/>
    <w:rsid w:val="00465589"/>
    <w:rsid w:val="0046559D"/>
    <w:rsid w:val="00465C96"/>
    <w:rsid w:val="00465CCE"/>
    <w:rsid w:val="00465EF6"/>
    <w:rsid w:val="00466261"/>
    <w:rsid w:val="0046669B"/>
    <w:rsid w:val="004670BF"/>
    <w:rsid w:val="0046713B"/>
    <w:rsid w:val="0046719D"/>
    <w:rsid w:val="0046795A"/>
    <w:rsid w:val="00467ABB"/>
    <w:rsid w:val="00467E21"/>
    <w:rsid w:val="00467FDD"/>
    <w:rsid w:val="0047005F"/>
    <w:rsid w:val="00470114"/>
    <w:rsid w:val="004701F0"/>
    <w:rsid w:val="004706F1"/>
    <w:rsid w:val="00470B93"/>
    <w:rsid w:val="00471277"/>
    <w:rsid w:val="004714A6"/>
    <w:rsid w:val="004715E2"/>
    <w:rsid w:val="00471B59"/>
    <w:rsid w:val="00471F02"/>
    <w:rsid w:val="004724F0"/>
    <w:rsid w:val="004725D6"/>
    <w:rsid w:val="004726EF"/>
    <w:rsid w:val="004727E3"/>
    <w:rsid w:val="0047283D"/>
    <w:rsid w:val="00472AB9"/>
    <w:rsid w:val="00472C17"/>
    <w:rsid w:val="00472CA3"/>
    <w:rsid w:val="0047300A"/>
    <w:rsid w:val="00473130"/>
    <w:rsid w:val="004732F9"/>
    <w:rsid w:val="00473419"/>
    <w:rsid w:val="0047366E"/>
    <w:rsid w:val="004738BD"/>
    <w:rsid w:val="00473AB8"/>
    <w:rsid w:val="00473C13"/>
    <w:rsid w:val="00473E52"/>
    <w:rsid w:val="00473F11"/>
    <w:rsid w:val="0047453E"/>
    <w:rsid w:val="00474A67"/>
    <w:rsid w:val="00474CB6"/>
    <w:rsid w:val="00474D68"/>
    <w:rsid w:val="00474E37"/>
    <w:rsid w:val="0047529E"/>
    <w:rsid w:val="0047573F"/>
    <w:rsid w:val="004758BF"/>
    <w:rsid w:val="00475936"/>
    <w:rsid w:val="00475F30"/>
    <w:rsid w:val="004762A7"/>
    <w:rsid w:val="0047646A"/>
    <w:rsid w:val="004765FD"/>
    <w:rsid w:val="0047667F"/>
    <w:rsid w:val="004767F9"/>
    <w:rsid w:val="00476D38"/>
    <w:rsid w:val="004771E4"/>
    <w:rsid w:val="00477292"/>
    <w:rsid w:val="00477693"/>
    <w:rsid w:val="004776A4"/>
    <w:rsid w:val="0047776C"/>
    <w:rsid w:val="004778DA"/>
    <w:rsid w:val="00477B4C"/>
    <w:rsid w:val="0048074E"/>
    <w:rsid w:val="00480F27"/>
    <w:rsid w:val="00480FEF"/>
    <w:rsid w:val="00481367"/>
    <w:rsid w:val="004815D2"/>
    <w:rsid w:val="00481958"/>
    <w:rsid w:val="00481B5E"/>
    <w:rsid w:val="00481D0F"/>
    <w:rsid w:val="00482049"/>
    <w:rsid w:val="004822F5"/>
    <w:rsid w:val="00482A57"/>
    <w:rsid w:val="00482C80"/>
    <w:rsid w:val="00482D71"/>
    <w:rsid w:val="00482F1F"/>
    <w:rsid w:val="004830D9"/>
    <w:rsid w:val="00483202"/>
    <w:rsid w:val="00483A45"/>
    <w:rsid w:val="00483F34"/>
    <w:rsid w:val="00483FF4"/>
    <w:rsid w:val="00484C4B"/>
    <w:rsid w:val="004851CF"/>
    <w:rsid w:val="00485204"/>
    <w:rsid w:val="004853C6"/>
    <w:rsid w:val="0048592C"/>
    <w:rsid w:val="00485B89"/>
    <w:rsid w:val="00485BCF"/>
    <w:rsid w:val="004864DF"/>
    <w:rsid w:val="00486510"/>
    <w:rsid w:val="004865AA"/>
    <w:rsid w:val="00486826"/>
    <w:rsid w:val="00486A3A"/>
    <w:rsid w:val="00486CCE"/>
    <w:rsid w:val="00487059"/>
    <w:rsid w:val="00487106"/>
    <w:rsid w:val="004876DF"/>
    <w:rsid w:val="004877B5"/>
    <w:rsid w:val="00487CF3"/>
    <w:rsid w:val="00487DA1"/>
    <w:rsid w:val="00490578"/>
    <w:rsid w:val="0049095B"/>
    <w:rsid w:val="0049095C"/>
    <w:rsid w:val="00490A2B"/>
    <w:rsid w:val="00490F36"/>
    <w:rsid w:val="00490F85"/>
    <w:rsid w:val="00491231"/>
    <w:rsid w:val="00491261"/>
    <w:rsid w:val="00491401"/>
    <w:rsid w:val="0049164E"/>
    <w:rsid w:val="004916EB"/>
    <w:rsid w:val="00491770"/>
    <w:rsid w:val="004919E0"/>
    <w:rsid w:val="00491ACB"/>
    <w:rsid w:val="0049211B"/>
    <w:rsid w:val="0049226A"/>
    <w:rsid w:val="00492278"/>
    <w:rsid w:val="00492464"/>
    <w:rsid w:val="00492474"/>
    <w:rsid w:val="00492581"/>
    <w:rsid w:val="004925B3"/>
    <w:rsid w:val="0049271A"/>
    <w:rsid w:val="004927DB"/>
    <w:rsid w:val="0049299E"/>
    <w:rsid w:val="00492D59"/>
    <w:rsid w:val="00492EFF"/>
    <w:rsid w:val="00492FCA"/>
    <w:rsid w:val="00493556"/>
    <w:rsid w:val="0049399D"/>
    <w:rsid w:val="00493CC4"/>
    <w:rsid w:val="00493FB5"/>
    <w:rsid w:val="0049412F"/>
    <w:rsid w:val="0049415B"/>
    <w:rsid w:val="004943B5"/>
    <w:rsid w:val="0049453A"/>
    <w:rsid w:val="004945FA"/>
    <w:rsid w:val="0049499E"/>
    <w:rsid w:val="004949A5"/>
    <w:rsid w:val="004950DA"/>
    <w:rsid w:val="0049526A"/>
    <w:rsid w:val="004954CC"/>
    <w:rsid w:val="0049581E"/>
    <w:rsid w:val="00495FFF"/>
    <w:rsid w:val="00496076"/>
    <w:rsid w:val="004960AB"/>
    <w:rsid w:val="004963D3"/>
    <w:rsid w:val="00496581"/>
    <w:rsid w:val="00496701"/>
    <w:rsid w:val="00496AB0"/>
    <w:rsid w:val="00496B20"/>
    <w:rsid w:val="00497492"/>
    <w:rsid w:val="00497760"/>
    <w:rsid w:val="00497B20"/>
    <w:rsid w:val="004A00DA"/>
    <w:rsid w:val="004A03FA"/>
    <w:rsid w:val="004A03FF"/>
    <w:rsid w:val="004A0AB7"/>
    <w:rsid w:val="004A110F"/>
    <w:rsid w:val="004A1129"/>
    <w:rsid w:val="004A124B"/>
    <w:rsid w:val="004A12F9"/>
    <w:rsid w:val="004A17D1"/>
    <w:rsid w:val="004A2001"/>
    <w:rsid w:val="004A223B"/>
    <w:rsid w:val="004A22D5"/>
    <w:rsid w:val="004A2396"/>
    <w:rsid w:val="004A28A1"/>
    <w:rsid w:val="004A290C"/>
    <w:rsid w:val="004A293A"/>
    <w:rsid w:val="004A2996"/>
    <w:rsid w:val="004A2B20"/>
    <w:rsid w:val="004A2DB3"/>
    <w:rsid w:val="004A2E77"/>
    <w:rsid w:val="004A314D"/>
    <w:rsid w:val="004A38C1"/>
    <w:rsid w:val="004A3921"/>
    <w:rsid w:val="004A3A07"/>
    <w:rsid w:val="004A40E8"/>
    <w:rsid w:val="004A417D"/>
    <w:rsid w:val="004A4B6F"/>
    <w:rsid w:val="004A4F6B"/>
    <w:rsid w:val="004A57A4"/>
    <w:rsid w:val="004A5814"/>
    <w:rsid w:val="004A5B3D"/>
    <w:rsid w:val="004A5C43"/>
    <w:rsid w:val="004A5E94"/>
    <w:rsid w:val="004A5F8E"/>
    <w:rsid w:val="004A6260"/>
    <w:rsid w:val="004A67DB"/>
    <w:rsid w:val="004A67FB"/>
    <w:rsid w:val="004A6AAA"/>
    <w:rsid w:val="004A6BD3"/>
    <w:rsid w:val="004A6D43"/>
    <w:rsid w:val="004A7184"/>
    <w:rsid w:val="004A7463"/>
    <w:rsid w:val="004A74F5"/>
    <w:rsid w:val="004A78A7"/>
    <w:rsid w:val="004A7E3F"/>
    <w:rsid w:val="004B00D5"/>
    <w:rsid w:val="004B00DC"/>
    <w:rsid w:val="004B0363"/>
    <w:rsid w:val="004B05CA"/>
    <w:rsid w:val="004B09BA"/>
    <w:rsid w:val="004B0E7E"/>
    <w:rsid w:val="004B0F1D"/>
    <w:rsid w:val="004B13FF"/>
    <w:rsid w:val="004B1449"/>
    <w:rsid w:val="004B1483"/>
    <w:rsid w:val="004B16B4"/>
    <w:rsid w:val="004B1710"/>
    <w:rsid w:val="004B19E1"/>
    <w:rsid w:val="004B1BDD"/>
    <w:rsid w:val="004B1C55"/>
    <w:rsid w:val="004B1D58"/>
    <w:rsid w:val="004B2BF9"/>
    <w:rsid w:val="004B303A"/>
    <w:rsid w:val="004B356B"/>
    <w:rsid w:val="004B394D"/>
    <w:rsid w:val="004B39D7"/>
    <w:rsid w:val="004B3B87"/>
    <w:rsid w:val="004B3F1D"/>
    <w:rsid w:val="004B432A"/>
    <w:rsid w:val="004B43A5"/>
    <w:rsid w:val="004B48B8"/>
    <w:rsid w:val="004B4C22"/>
    <w:rsid w:val="004B4D55"/>
    <w:rsid w:val="004B4F44"/>
    <w:rsid w:val="004B51CC"/>
    <w:rsid w:val="004B5593"/>
    <w:rsid w:val="004B5680"/>
    <w:rsid w:val="004B5990"/>
    <w:rsid w:val="004B5D86"/>
    <w:rsid w:val="004B6110"/>
    <w:rsid w:val="004B6297"/>
    <w:rsid w:val="004B65CC"/>
    <w:rsid w:val="004B69C8"/>
    <w:rsid w:val="004B6B0D"/>
    <w:rsid w:val="004B6B5C"/>
    <w:rsid w:val="004B6BF4"/>
    <w:rsid w:val="004B6C3D"/>
    <w:rsid w:val="004B7570"/>
    <w:rsid w:val="004B759C"/>
    <w:rsid w:val="004B7F71"/>
    <w:rsid w:val="004C005D"/>
    <w:rsid w:val="004C0B32"/>
    <w:rsid w:val="004C0E95"/>
    <w:rsid w:val="004C122D"/>
    <w:rsid w:val="004C153A"/>
    <w:rsid w:val="004C15B4"/>
    <w:rsid w:val="004C1613"/>
    <w:rsid w:val="004C22DE"/>
    <w:rsid w:val="004C2315"/>
    <w:rsid w:val="004C2E0D"/>
    <w:rsid w:val="004C3260"/>
    <w:rsid w:val="004C33C1"/>
    <w:rsid w:val="004C3680"/>
    <w:rsid w:val="004C37AD"/>
    <w:rsid w:val="004C43C4"/>
    <w:rsid w:val="004C4643"/>
    <w:rsid w:val="004C49A5"/>
    <w:rsid w:val="004C5122"/>
    <w:rsid w:val="004C5256"/>
    <w:rsid w:val="004C5399"/>
    <w:rsid w:val="004C541F"/>
    <w:rsid w:val="004C61F3"/>
    <w:rsid w:val="004C6403"/>
    <w:rsid w:val="004C6434"/>
    <w:rsid w:val="004C69A3"/>
    <w:rsid w:val="004C6A76"/>
    <w:rsid w:val="004C6BB1"/>
    <w:rsid w:val="004C6C1D"/>
    <w:rsid w:val="004C6DCB"/>
    <w:rsid w:val="004C71A7"/>
    <w:rsid w:val="004C755A"/>
    <w:rsid w:val="004C77AA"/>
    <w:rsid w:val="004C7977"/>
    <w:rsid w:val="004C7C30"/>
    <w:rsid w:val="004C7EE0"/>
    <w:rsid w:val="004C7F6D"/>
    <w:rsid w:val="004D0009"/>
    <w:rsid w:val="004D01A1"/>
    <w:rsid w:val="004D09EA"/>
    <w:rsid w:val="004D0B5F"/>
    <w:rsid w:val="004D0D9C"/>
    <w:rsid w:val="004D11F4"/>
    <w:rsid w:val="004D12D6"/>
    <w:rsid w:val="004D1520"/>
    <w:rsid w:val="004D1730"/>
    <w:rsid w:val="004D1931"/>
    <w:rsid w:val="004D1984"/>
    <w:rsid w:val="004D1FDF"/>
    <w:rsid w:val="004D20AD"/>
    <w:rsid w:val="004D2107"/>
    <w:rsid w:val="004D216D"/>
    <w:rsid w:val="004D274F"/>
    <w:rsid w:val="004D2D9F"/>
    <w:rsid w:val="004D3018"/>
    <w:rsid w:val="004D3A77"/>
    <w:rsid w:val="004D3EF3"/>
    <w:rsid w:val="004D4455"/>
    <w:rsid w:val="004D447C"/>
    <w:rsid w:val="004D44F9"/>
    <w:rsid w:val="004D482E"/>
    <w:rsid w:val="004D49B0"/>
    <w:rsid w:val="004D49DF"/>
    <w:rsid w:val="004D4BEF"/>
    <w:rsid w:val="004D4EE0"/>
    <w:rsid w:val="004D52E8"/>
    <w:rsid w:val="004D53FD"/>
    <w:rsid w:val="004D5440"/>
    <w:rsid w:val="004D5649"/>
    <w:rsid w:val="004D5714"/>
    <w:rsid w:val="004D5914"/>
    <w:rsid w:val="004D5ACA"/>
    <w:rsid w:val="004D6083"/>
    <w:rsid w:val="004D6255"/>
    <w:rsid w:val="004D696F"/>
    <w:rsid w:val="004D7036"/>
    <w:rsid w:val="004D74F5"/>
    <w:rsid w:val="004D76CD"/>
    <w:rsid w:val="004D776E"/>
    <w:rsid w:val="004D78D1"/>
    <w:rsid w:val="004D79DE"/>
    <w:rsid w:val="004E02F9"/>
    <w:rsid w:val="004E04EC"/>
    <w:rsid w:val="004E052B"/>
    <w:rsid w:val="004E0559"/>
    <w:rsid w:val="004E06AE"/>
    <w:rsid w:val="004E0925"/>
    <w:rsid w:val="004E0FE1"/>
    <w:rsid w:val="004E15CF"/>
    <w:rsid w:val="004E1636"/>
    <w:rsid w:val="004E1776"/>
    <w:rsid w:val="004E17E5"/>
    <w:rsid w:val="004E1867"/>
    <w:rsid w:val="004E1BF1"/>
    <w:rsid w:val="004E1DFA"/>
    <w:rsid w:val="004E1E84"/>
    <w:rsid w:val="004E2402"/>
    <w:rsid w:val="004E26F1"/>
    <w:rsid w:val="004E2A7C"/>
    <w:rsid w:val="004E3239"/>
    <w:rsid w:val="004E326A"/>
    <w:rsid w:val="004E353E"/>
    <w:rsid w:val="004E3FD4"/>
    <w:rsid w:val="004E41A7"/>
    <w:rsid w:val="004E48D3"/>
    <w:rsid w:val="004E491B"/>
    <w:rsid w:val="004E4B36"/>
    <w:rsid w:val="004E4C3B"/>
    <w:rsid w:val="004E50AC"/>
    <w:rsid w:val="004E50EC"/>
    <w:rsid w:val="004E53F3"/>
    <w:rsid w:val="004E5467"/>
    <w:rsid w:val="004E598E"/>
    <w:rsid w:val="004E5CD7"/>
    <w:rsid w:val="004E5E55"/>
    <w:rsid w:val="004E5F85"/>
    <w:rsid w:val="004E610A"/>
    <w:rsid w:val="004E62CB"/>
    <w:rsid w:val="004E64C5"/>
    <w:rsid w:val="004E65F5"/>
    <w:rsid w:val="004E6C29"/>
    <w:rsid w:val="004E7190"/>
    <w:rsid w:val="004E7219"/>
    <w:rsid w:val="004E7A21"/>
    <w:rsid w:val="004E7A88"/>
    <w:rsid w:val="004F0703"/>
    <w:rsid w:val="004F07C4"/>
    <w:rsid w:val="004F0C1B"/>
    <w:rsid w:val="004F0C6F"/>
    <w:rsid w:val="004F0C98"/>
    <w:rsid w:val="004F1185"/>
    <w:rsid w:val="004F1245"/>
    <w:rsid w:val="004F125C"/>
    <w:rsid w:val="004F12C4"/>
    <w:rsid w:val="004F1A4C"/>
    <w:rsid w:val="004F1F7D"/>
    <w:rsid w:val="004F1F91"/>
    <w:rsid w:val="004F211D"/>
    <w:rsid w:val="004F220B"/>
    <w:rsid w:val="004F2671"/>
    <w:rsid w:val="004F29CA"/>
    <w:rsid w:val="004F2F16"/>
    <w:rsid w:val="004F2FA7"/>
    <w:rsid w:val="004F30CA"/>
    <w:rsid w:val="004F332C"/>
    <w:rsid w:val="004F3728"/>
    <w:rsid w:val="004F3B49"/>
    <w:rsid w:val="004F3D5B"/>
    <w:rsid w:val="004F4025"/>
    <w:rsid w:val="004F41BF"/>
    <w:rsid w:val="004F4337"/>
    <w:rsid w:val="004F4506"/>
    <w:rsid w:val="004F4526"/>
    <w:rsid w:val="004F46D7"/>
    <w:rsid w:val="004F48C3"/>
    <w:rsid w:val="004F49C0"/>
    <w:rsid w:val="004F4BA9"/>
    <w:rsid w:val="004F4D3D"/>
    <w:rsid w:val="004F4E05"/>
    <w:rsid w:val="004F4FF3"/>
    <w:rsid w:val="004F5123"/>
    <w:rsid w:val="004F56DF"/>
    <w:rsid w:val="004F574D"/>
    <w:rsid w:val="004F5997"/>
    <w:rsid w:val="004F5D39"/>
    <w:rsid w:val="004F6134"/>
    <w:rsid w:val="004F620C"/>
    <w:rsid w:val="004F62E8"/>
    <w:rsid w:val="004F6338"/>
    <w:rsid w:val="004F63B8"/>
    <w:rsid w:val="004F6453"/>
    <w:rsid w:val="004F64F5"/>
    <w:rsid w:val="004F6B8C"/>
    <w:rsid w:val="004F6CF0"/>
    <w:rsid w:val="004F739C"/>
    <w:rsid w:val="004F7579"/>
    <w:rsid w:val="004F79A8"/>
    <w:rsid w:val="004F7DE2"/>
    <w:rsid w:val="005002A5"/>
    <w:rsid w:val="00500317"/>
    <w:rsid w:val="005003E9"/>
    <w:rsid w:val="00500683"/>
    <w:rsid w:val="00500759"/>
    <w:rsid w:val="0050080B"/>
    <w:rsid w:val="0050094B"/>
    <w:rsid w:val="00500B0A"/>
    <w:rsid w:val="00500BE0"/>
    <w:rsid w:val="005014D1"/>
    <w:rsid w:val="00501523"/>
    <w:rsid w:val="0050171E"/>
    <w:rsid w:val="005017C6"/>
    <w:rsid w:val="00501B9D"/>
    <w:rsid w:val="0050201D"/>
    <w:rsid w:val="0050244F"/>
    <w:rsid w:val="00502757"/>
    <w:rsid w:val="00502861"/>
    <w:rsid w:val="0050289F"/>
    <w:rsid w:val="005028F7"/>
    <w:rsid w:val="00502C38"/>
    <w:rsid w:val="00502FD8"/>
    <w:rsid w:val="00503035"/>
    <w:rsid w:val="00503184"/>
    <w:rsid w:val="0050319C"/>
    <w:rsid w:val="005036F4"/>
    <w:rsid w:val="005038D9"/>
    <w:rsid w:val="005038FF"/>
    <w:rsid w:val="005039B8"/>
    <w:rsid w:val="005039D6"/>
    <w:rsid w:val="00503A7A"/>
    <w:rsid w:val="00503BB1"/>
    <w:rsid w:val="00503BC9"/>
    <w:rsid w:val="00503C7B"/>
    <w:rsid w:val="00503E48"/>
    <w:rsid w:val="0050406B"/>
    <w:rsid w:val="0050407D"/>
    <w:rsid w:val="005048B8"/>
    <w:rsid w:val="0050499D"/>
    <w:rsid w:val="00504A66"/>
    <w:rsid w:val="00504B85"/>
    <w:rsid w:val="00504CA9"/>
    <w:rsid w:val="00504CC2"/>
    <w:rsid w:val="00504EBC"/>
    <w:rsid w:val="005053B4"/>
    <w:rsid w:val="00505487"/>
    <w:rsid w:val="00505920"/>
    <w:rsid w:val="00506313"/>
    <w:rsid w:val="005064B4"/>
    <w:rsid w:val="005065E0"/>
    <w:rsid w:val="00506C1C"/>
    <w:rsid w:val="00506EEF"/>
    <w:rsid w:val="0050733F"/>
    <w:rsid w:val="005074B9"/>
    <w:rsid w:val="005076C9"/>
    <w:rsid w:val="0050770C"/>
    <w:rsid w:val="00507754"/>
    <w:rsid w:val="00507821"/>
    <w:rsid w:val="00507BA3"/>
    <w:rsid w:val="00507C3B"/>
    <w:rsid w:val="00507D07"/>
    <w:rsid w:val="00510007"/>
    <w:rsid w:val="005102C2"/>
    <w:rsid w:val="00510ABE"/>
    <w:rsid w:val="00510D4B"/>
    <w:rsid w:val="00510D8F"/>
    <w:rsid w:val="00511003"/>
    <w:rsid w:val="0051190D"/>
    <w:rsid w:val="00511C31"/>
    <w:rsid w:val="00511F51"/>
    <w:rsid w:val="00512499"/>
    <w:rsid w:val="005125EE"/>
    <w:rsid w:val="0051294A"/>
    <w:rsid w:val="00512BA3"/>
    <w:rsid w:val="00512FBF"/>
    <w:rsid w:val="00513217"/>
    <w:rsid w:val="005132B6"/>
    <w:rsid w:val="005133E6"/>
    <w:rsid w:val="0051348C"/>
    <w:rsid w:val="00513517"/>
    <w:rsid w:val="005138A3"/>
    <w:rsid w:val="00513B64"/>
    <w:rsid w:val="00513C87"/>
    <w:rsid w:val="00513F73"/>
    <w:rsid w:val="0051406A"/>
    <w:rsid w:val="00514170"/>
    <w:rsid w:val="0051436B"/>
    <w:rsid w:val="00514481"/>
    <w:rsid w:val="00514594"/>
    <w:rsid w:val="0051473A"/>
    <w:rsid w:val="00514741"/>
    <w:rsid w:val="00514954"/>
    <w:rsid w:val="00514A3D"/>
    <w:rsid w:val="00514A66"/>
    <w:rsid w:val="00514AE3"/>
    <w:rsid w:val="0051535D"/>
    <w:rsid w:val="0051539F"/>
    <w:rsid w:val="00515F79"/>
    <w:rsid w:val="005161D3"/>
    <w:rsid w:val="00516209"/>
    <w:rsid w:val="005162AB"/>
    <w:rsid w:val="00516692"/>
    <w:rsid w:val="0051730A"/>
    <w:rsid w:val="00517534"/>
    <w:rsid w:val="0051792D"/>
    <w:rsid w:val="00517B0E"/>
    <w:rsid w:val="00517B7C"/>
    <w:rsid w:val="00517C57"/>
    <w:rsid w:val="00517DEC"/>
    <w:rsid w:val="00520371"/>
    <w:rsid w:val="005203F8"/>
    <w:rsid w:val="005204F6"/>
    <w:rsid w:val="0052054E"/>
    <w:rsid w:val="0052057C"/>
    <w:rsid w:val="00520667"/>
    <w:rsid w:val="00520918"/>
    <w:rsid w:val="00520A07"/>
    <w:rsid w:val="00520B95"/>
    <w:rsid w:val="00521279"/>
    <w:rsid w:val="00521710"/>
    <w:rsid w:val="00521DC2"/>
    <w:rsid w:val="0052210F"/>
    <w:rsid w:val="005221A4"/>
    <w:rsid w:val="00522202"/>
    <w:rsid w:val="0052220C"/>
    <w:rsid w:val="005223DE"/>
    <w:rsid w:val="0052249A"/>
    <w:rsid w:val="0052272D"/>
    <w:rsid w:val="00522809"/>
    <w:rsid w:val="005229B9"/>
    <w:rsid w:val="00522DF6"/>
    <w:rsid w:val="005235C6"/>
    <w:rsid w:val="0052360F"/>
    <w:rsid w:val="005238D4"/>
    <w:rsid w:val="00523FE1"/>
    <w:rsid w:val="005240DD"/>
    <w:rsid w:val="0052427D"/>
    <w:rsid w:val="005243B7"/>
    <w:rsid w:val="005246FE"/>
    <w:rsid w:val="005250D5"/>
    <w:rsid w:val="00525308"/>
    <w:rsid w:val="00525362"/>
    <w:rsid w:val="00525980"/>
    <w:rsid w:val="00525985"/>
    <w:rsid w:val="00525E6D"/>
    <w:rsid w:val="00525F54"/>
    <w:rsid w:val="0052681B"/>
    <w:rsid w:val="00526E19"/>
    <w:rsid w:val="00527871"/>
    <w:rsid w:val="005279C2"/>
    <w:rsid w:val="00527A6B"/>
    <w:rsid w:val="00527C4E"/>
    <w:rsid w:val="005300E4"/>
    <w:rsid w:val="0053030D"/>
    <w:rsid w:val="005308E0"/>
    <w:rsid w:val="00530A2B"/>
    <w:rsid w:val="00530B95"/>
    <w:rsid w:val="00530BCA"/>
    <w:rsid w:val="005310A0"/>
    <w:rsid w:val="00531158"/>
    <w:rsid w:val="00531640"/>
    <w:rsid w:val="00531946"/>
    <w:rsid w:val="00531FEF"/>
    <w:rsid w:val="005323E8"/>
    <w:rsid w:val="0053259C"/>
    <w:rsid w:val="00533231"/>
    <w:rsid w:val="0053378E"/>
    <w:rsid w:val="0053396F"/>
    <w:rsid w:val="005339E5"/>
    <w:rsid w:val="00533B98"/>
    <w:rsid w:val="00533BD5"/>
    <w:rsid w:val="00533ED3"/>
    <w:rsid w:val="00534581"/>
    <w:rsid w:val="00535291"/>
    <w:rsid w:val="00535904"/>
    <w:rsid w:val="005361EF"/>
    <w:rsid w:val="00536BDC"/>
    <w:rsid w:val="00536C11"/>
    <w:rsid w:val="00536F44"/>
    <w:rsid w:val="0053716A"/>
    <w:rsid w:val="0053727B"/>
    <w:rsid w:val="00537556"/>
    <w:rsid w:val="00537614"/>
    <w:rsid w:val="00537915"/>
    <w:rsid w:val="00537A50"/>
    <w:rsid w:val="00537A87"/>
    <w:rsid w:val="00537D54"/>
    <w:rsid w:val="00540031"/>
    <w:rsid w:val="005402FD"/>
    <w:rsid w:val="0054059B"/>
    <w:rsid w:val="0054067F"/>
    <w:rsid w:val="0054073F"/>
    <w:rsid w:val="00540EC4"/>
    <w:rsid w:val="0054130A"/>
    <w:rsid w:val="005417C2"/>
    <w:rsid w:val="00541878"/>
    <w:rsid w:val="00542103"/>
    <w:rsid w:val="005424A1"/>
    <w:rsid w:val="00542737"/>
    <w:rsid w:val="00542773"/>
    <w:rsid w:val="005430AB"/>
    <w:rsid w:val="00543289"/>
    <w:rsid w:val="00543411"/>
    <w:rsid w:val="005439BD"/>
    <w:rsid w:val="00544104"/>
    <w:rsid w:val="005441F0"/>
    <w:rsid w:val="005443B5"/>
    <w:rsid w:val="00544619"/>
    <w:rsid w:val="00544648"/>
    <w:rsid w:val="005448EA"/>
    <w:rsid w:val="00544EB8"/>
    <w:rsid w:val="00545171"/>
    <w:rsid w:val="00545450"/>
    <w:rsid w:val="0054567B"/>
    <w:rsid w:val="00545807"/>
    <w:rsid w:val="00545B29"/>
    <w:rsid w:val="00545CB9"/>
    <w:rsid w:val="00545D65"/>
    <w:rsid w:val="0054632D"/>
    <w:rsid w:val="00546537"/>
    <w:rsid w:val="00546622"/>
    <w:rsid w:val="0054684F"/>
    <w:rsid w:val="0054749B"/>
    <w:rsid w:val="00547A1F"/>
    <w:rsid w:val="00547A66"/>
    <w:rsid w:val="00547B52"/>
    <w:rsid w:val="00550352"/>
    <w:rsid w:val="0055048C"/>
    <w:rsid w:val="00550B97"/>
    <w:rsid w:val="00551976"/>
    <w:rsid w:val="00551ECB"/>
    <w:rsid w:val="005521B8"/>
    <w:rsid w:val="00552233"/>
    <w:rsid w:val="00552A46"/>
    <w:rsid w:val="00552A74"/>
    <w:rsid w:val="0055300C"/>
    <w:rsid w:val="0055309B"/>
    <w:rsid w:val="0055320A"/>
    <w:rsid w:val="005533E3"/>
    <w:rsid w:val="00553552"/>
    <w:rsid w:val="0055355B"/>
    <w:rsid w:val="00553949"/>
    <w:rsid w:val="00553DC6"/>
    <w:rsid w:val="00553EBD"/>
    <w:rsid w:val="00553F8B"/>
    <w:rsid w:val="00553FA5"/>
    <w:rsid w:val="00554113"/>
    <w:rsid w:val="005543EE"/>
    <w:rsid w:val="00554593"/>
    <w:rsid w:val="00554696"/>
    <w:rsid w:val="0055472F"/>
    <w:rsid w:val="00554B17"/>
    <w:rsid w:val="00554D10"/>
    <w:rsid w:val="00555001"/>
    <w:rsid w:val="005550E8"/>
    <w:rsid w:val="005552CE"/>
    <w:rsid w:val="005552FE"/>
    <w:rsid w:val="005557C7"/>
    <w:rsid w:val="00555882"/>
    <w:rsid w:val="00555FB2"/>
    <w:rsid w:val="00555FF6"/>
    <w:rsid w:val="00556656"/>
    <w:rsid w:val="00556981"/>
    <w:rsid w:val="005569F4"/>
    <w:rsid w:val="00556A49"/>
    <w:rsid w:val="00556CC7"/>
    <w:rsid w:val="00556F74"/>
    <w:rsid w:val="005574F0"/>
    <w:rsid w:val="005579CB"/>
    <w:rsid w:val="00557B88"/>
    <w:rsid w:val="00557DDE"/>
    <w:rsid w:val="00557F74"/>
    <w:rsid w:val="005600CB"/>
    <w:rsid w:val="0056043E"/>
    <w:rsid w:val="00560828"/>
    <w:rsid w:val="005608B2"/>
    <w:rsid w:val="00560B18"/>
    <w:rsid w:val="00560F9E"/>
    <w:rsid w:val="0056154A"/>
    <w:rsid w:val="00561609"/>
    <w:rsid w:val="00561633"/>
    <w:rsid w:val="00561A6F"/>
    <w:rsid w:val="00561BE9"/>
    <w:rsid w:val="00561C8C"/>
    <w:rsid w:val="00561F78"/>
    <w:rsid w:val="0056200E"/>
    <w:rsid w:val="005630CC"/>
    <w:rsid w:val="005631E7"/>
    <w:rsid w:val="00563365"/>
    <w:rsid w:val="00563F35"/>
    <w:rsid w:val="00564AFE"/>
    <w:rsid w:val="00564B58"/>
    <w:rsid w:val="00564E7A"/>
    <w:rsid w:val="005654C1"/>
    <w:rsid w:val="0056633E"/>
    <w:rsid w:val="00566533"/>
    <w:rsid w:val="005666CE"/>
    <w:rsid w:val="005668A9"/>
    <w:rsid w:val="00566DAD"/>
    <w:rsid w:val="005671D5"/>
    <w:rsid w:val="005671E7"/>
    <w:rsid w:val="00567351"/>
    <w:rsid w:val="005673E1"/>
    <w:rsid w:val="005673E2"/>
    <w:rsid w:val="00567448"/>
    <w:rsid w:val="00567CF8"/>
    <w:rsid w:val="00567FAB"/>
    <w:rsid w:val="005700CC"/>
    <w:rsid w:val="00570789"/>
    <w:rsid w:val="00570B23"/>
    <w:rsid w:val="00570BF8"/>
    <w:rsid w:val="00570EC6"/>
    <w:rsid w:val="00570F77"/>
    <w:rsid w:val="0057133B"/>
    <w:rsid w:val="00571686"/>
    <w:rsid w:val="00571717"/>
    <w:rsid w:val="005720BC"/>
    <w:rsid w:val="0057216C"/>
    <w:rsid w:val="0057233A"/>
    <w:rsid w:val="00572420"/>
    <w:rsid w:val="005726CF"/>
    <w:rsid w:val="00572CFB"/>
    <w:rsid w:val="00573117"/>
    <w:rsid w:val="00573339"/>
    <w:rsid w:val="00573A4B"/>
    <w:rsid w:val="00573B2C"/>
    <w:rsid w:val="00573C9B"/>
    <w:rsid w:val="00573DCF"/>
    <w:rsid w:val="0057440F"/>
    <w:rsid w:val="00574AAC"/>
    <w:rsid w:val="00574DEA"/>
    <w:rsid w:val="0057561A"/>
    <w:rsid w:val="005757AF"/>
    <w:rsid w:val="00575A38"/>
    <w:rsid w:val="00575B56"/>
    <w:rsid w:val="00575DBD"/>
    <w:rsid w:val="00575FA8"/>
    <w:rsid w:val="00576149"/>
    <w:rsid w:val="00576297"/>
    <w:rsid w:val="00576524"/>
    <w:rsid w:val="00576B1B"/>
    <w:rsid w:val="00576D8C"/>
    <w:rsid w:val="00576DF1"/>
    <w:rsid w:val="0057754E"/>
    <w:rsid w:val="005778CA"/>
    <w:rsid w:val="0057793F"/>
    <w:rsid w:val="00577A65"/>
    <w:rsid w:val="00580B8B"/>
    <w:rsid w:val="00580C3A"/>
    <w:rsid w:val="00580C5D"/>
    <w:rsid w:val="00580D96"/>
    <w:rsid w:val="005812C9"/>
    <w:rsid w:val="0058146F"/>
    <w:rsid w:val="005816A0"/>
    <w:rsid w:val="00581B19"/>
    <w:rsid w:val="005825D4"/>
    <w:rsid w:val="005829C4"/>
    <w:rsid w:val="00582B68"/>
    <w:rsid w:val="00583040"/>
    <w:rsid w:val="005830CF"/>
    <w:rsid w:val="005834A3"/>
    <w:rsid w:val="00583860"/>
    <w:rsid w:val="00583864"/>
    <w:rsid w:val="00583B35"/>
    <w:rsid w:val="0058405C"/>
    <w:rsid w:val="00584334"/>
    <w:rsid w:val="00584A22"/>
    <w:rsid w:val="00584D7A"/>
    <w:rsid w:val="00585146"/>
    <w:rsid w:val="0058541F"/>
    <w:rsid w:val="0058547B"/>
    <w:rsid w:val="0058560C"/>
    <w:rsid w:val="005857E1"/>
    <w:rsid w:val="0058590E"/>
    <w:rsid w:val="00585963"/>
    <w:rsid w:val="00585CBD"/>
    <w:rsid w:val="00586057"/>
    <w:rsid w:val="005862C1"/>
    <w:rsid w:val="00586403"/>
    <w:rsid w:val="0058663D"/>
    <w:rsid w:val="00586A11"/>
    <w:rsid w:val="00586E47"/>
    <w:rsid w:val="00587186"/>
    <w:rsid w:val="0058721B"/>
    <w:rsid w:val="00587261"/>
    <w:rsid w:val="0058751D"/>
    <w:rsid w:val="005875A4"/>
    <w:rsid w:val="005877AF"/>
    <w:rsid w:val="00590082"/>
    <w:rsid w:val="00590114"/>
    <w:rsid w:val="00590C4E"/>
    <w:rsid w:val="00590E2B"/>
    <w:rsid w:val="005913D8"/>
    <w:rsid w:val="00591572"/>
    <w:rsid w:val="005916E7"/>
    <w:rsid w:val="00591800"/>
    <w:rsid w:val="00591EF4"/>
    <w:rsid w:val="0059200B"/>
    <w:rsid w:val="0059233F"/>
    <w:rsid w:val="00592512"/>
    <w:rsid w:val="0059260F"/>
    <w:rsid w:val="00592798"/>
    <w:rsid w:val="005927A8"/>
    <w:rsid w:val="0059299E"/>
    <w:rsid w:val="00592DA5"/>
    <w:rsid w:val="00593186"/>
    <w:rsid w:val="00593288"/>
    <w:rsid w:val="005932B8"/>
    <w:rsid w:val="00593863"/>
    <w:rsid w:val="00593900"/>
    <w:rsid w:val="00593DC0"/>
    <w:rsid w:val="005941DF"/>
    <w:rsid w:val="0059469D"/>
    <w:rsid w:val="005948FC"/>
    <w:rsid w:val="0059490B"/>
    <w:rsid w:val="005949F8"/>
    <w:rsid w:val="00594EC8"/>
    <w:rsid w:val="005955CE"/>
    <w:rsid w:val="00595672"/>
    <w:rsid w:val="00595CDD"/>
    <w:rsid w:val="00595D2E"/>
    <w:rsid w:val="00595E2B"/>
    <w:rsid w:val="00595EBE"/>
    <w:rsid w:val="00596131"/>
    <w:rsid w:val="005961F2"/>
    <w:rsid w:val="00596339"/>
    <w:rsid w:val="00596710"/>
    <w:rsid w:val="005967A4"/>
    <w:rsid w:val="00596895"/>
    <w:rsid w:val="005969FD"/>
    <w:rsid w:val="00596B3A"/>
    <w:rsid w:val="00596C58"/>
    <w:rsid w:val="005971F1"/>
    <w:rsid w:val="00597307"/>
    <w:rsid w:val="00597697"/>
    <w:rsid w:val="005978FA"/>
    <w:rsid w:val="005979F8"/>
    <w:rsid w:val="00597A23"/>
    <w:rsid w:val="005A003C"/>
    <w:rsid w:val="005A01CC"/>
    <w:rsid w:val="005A04F4"/>
    <w:rsid w:val="005A0C70"/>
    <w:rsid w:val="005A0DFC"/>
    <w:rsid w:val="005A0F1A"/>
    <w:rsid w:val="005A10E9"/>
    <w:rsid w:val="005A1168"/>
    <w:rsid w:val="005A12BD"/>
    <w:rsid w:val="005A14BF"/>
    <w:rsid w:val="005A153F"/>
    <w:rsid w:val="005A189D"/>
    <w:rsid w:val="005A1CC6"/>
    <w:rsid w:val="005A1D8C"/>
    <w:rsid w:val="005A1E3B"/>
    <w:rsid w:val="005A1F96"/>
    <w:rsid w:val="005A1FCF"/>
    <w:rsid w:val="005A2526"/>
    <w:rsid w:val="005A26D2"/>
    <w:rsid w:val="005A2719"/>
    <w:rsid w:val="005A27FB"/>
    <w:rsid w:val="005A28EB"/>
    <w:rsid w:val="005A2AE1"/>
    <w:rsid w:val="005A310D"/>
    <w:rsid w:val="005A31BB"/>
    <w:rsid w:val="005A3420"/>
    <w:rsid w:val="005A3477"/>
    <w:rsid w:val="005A3A70"/>
    <w:rsid w:val="005A3E51"/>
    <w:rsid w:val="005A4271"/>
    <w:rsid w:val="005A44FB"/>
    <w:rsid w:val="005A46C9"/>
    <w:rsid w:val="005A47DE"/>
    <w:rsid w:val="005A4C8C"/>
    <w:rsid w:val="005A5048"/>
    <w:rsid w:val="005A50EE"/>
    <w:rsid w:val="005A551A"/>
    <w:rsid w:val="005A5D00"/>
    <w:rsid w:val="005A5E67"/>
    <w:rsid w:val="005A5E9E"/>
    <w:rsid w:val="005A60D2"/>
    <w:rsid w:val="005A631B"/>
    <w:rsid w:val="005A65A4"/>
    <w:rsid w:val="005A68D4"/>
    <w:rsid w:val="005A7096"/>
    <w:rsid w:val="005A7307"/>
    <w:rsid w:val="005A736E"/>
    <w:rsid w:val="005A75A4"/>
    <w:rsid w:val="005A75B0"/>
    <w:rsid w:val="005A7684"/>
    <w:rsid w:val="005A76B4"/>
    <w:rsid w:val="005A7A9E"/>
    <w:rsid w:val="005B071C"/>
    <w:rsid w:val="005B076C"/>
    <w:rsid w:val="005B081B"/>
    <w:rsid w:val="005B0AA0"/>
    <w:rsid w:val="005B0BAD"/>
    <w:rsid w:val="005B0CEF"/>
    <w:rsid w:val="005B0FDE"/>
    <w:rsid w:val="005B182D"/>
    <w:rsid w:val="005B192A"/>
    <w:rsid w:val="005B20B0"/>
    <w:rsid w:val="005B2224"/>
    <w:rsid w:val="005B2272"/>
    <w:rsid w:val="005B2339"/>
    <w:rsid w:val="005B23BC"/>
    <w:rsid w:val="005B2AE5"/>
    <w:rsid w:val="005B2D62"/>
    <w:rsid w:val="005B2E82"/>
    <w:rsid w:val="005B320B"/>
    <w:rsid w:val="005B336E"/>
    <w:rsid w:val="005B3490"/>
    <w:rsid w:val="005B39DB"/>
    <w:rsid w:val="005B4444"/>
    <w:rsid w:val="005B45B9"/>
    <w:rsid w:val="005B45EF"/>
    <w:rsid w:val="005B4657"/>
    <w:rsid w:val="005B46D4"/>
    <w:rsid w:val="005B4ACD"/>
    <w:rsid w:val="005B4C6D"/>
    <w:rsid w:val="005B4EC8"/>
    <w:rsid w:val="005B505F"/>
    <w:rsid w:val="005B51F0"/>
    <w:rsid w:val="005B55F1"/>
    <w:rsid w:val="005B5C96"/>
    <w:rsid w:val="005B64AF"/>
    <w:rsid w:val="005B651C"/>
    <w:rsid w:val="005B7229"/>
    <w:rsid w:val="005B7438"/>
    <w:rsid w:val="005B7663"/>
    <w:rsid w:val="005B7949"/>
    <w:rsid w:val="005B7B2D"/>
    <w:rsid w:val="005B7B32"/>
    <w:rsid w:val="005B7BC5"/>
    <w:rsid w:val="005B7BC6"/>
    <w:rsid w:val="005C01EB"/>
    <w:rsid w:val="005C0664"/>
    <w:rsid w:val="005C09CF"/>
    <w:rsid w:val="005C09DE"/>
    <w:rsid w:val="005C0A4F"/>
    <w:rsid w:val="005C0C75"/>
    <w:rsid w:val="005C0DF1"/>
    <w:rsid w:val="005C11E0"/>
    <w:rsid w:val="005C1208"/>
    <w:rsid w:val="005C135B"/>
    <w:rsid w:val="005C14E3"/>
    <w:rsid w:val="005C16F0"/>
    <w:rsid w:val="005C17F0"/>
    <w:rsid w:val="005C19DB"/>
    <w:rsid w:val="005C1CEE"/>
    <w:rsid w:val="005C238F"/>
    <w:rsid w:val="005C2631"/>
    <w:rsid w:val="005C26A7"/>
    <w:rsid w:val="005C2966"/>
    <w:rsid w:val="005C2CBC"/>
    <w:rsid w:val="005C2D0C"/>
    <w:rsid w:val="005C36B1"/>
    <w:rsid w:val="005C3B86"/>
    <w:rsid w:val="005C3B95"/>
    <w:rsid w:val="005C3CA0"/>
    <w:rsid w:val="005C3D93"/>
    <w:rsid w:val="005C3D94"/>
    <w:rsid w:val="005C3DB9"/>
    <w:rsid w:val="005C3E57"/>
    <w:rsid w:val="005C3F84"/>
    <w:rsid w:val="005C4074"/>
    <w:rsid w:val="005C429E"/>
    <w:rsid w:val="005C4B7E"/>
    <w:rsid w:val="005C4EED"/>
    <w:rsid w:val="005C51DE"/>
    <w:rsid w:val="005C531A"/>
    <w:rsid w:val="005C5441"/>
    <w:rsid w:val="005C5617"/>
    <w:rsid w:val="005C5885"/>
    <w:rsid w:val="005C6018"/>
    <w:rsid w:val="005C6273"/>
    <w:rsid w:val="005C63DF"/>
    <w:rsid w:val="005C6A10"/>
    <w:rsid w:val="005C6E8D"/>
    <w:rsid w:val="005C6FDB"/>
    <w:rsid w:val="005C729D"/>
    <w:rsid w:val="005C72B1"/>
    <w:rsid w:val="005C72CF"/>
    <w:rsid w:val="005C73FF"/>
    <w:rsid w:val="005C787B"/>
    <w:rsid w:val="005C7A35"/>
    <w:rsid w:val="005C7E9A"/>
    <w:rsid w:val="005C7EFD"/>
    <w:rsid w:val="005D02FF"/>
    <w:rsid w:val="005D033D"/>
    <w:rsid w:val="005D05EA"/>
    <w:rsid w:val="005D06CD"/>
    <w:rsid w:val="005D0741"/>
    <w:rsid w:val="005D0864"/>
    <w:rsid w:val="005D0DD3"/>
    <w:rsid w:val="005D0E46"/>
    <w:rsid w:val="005D129A"/>
    <w:rsid w:val="005D12B1"/>
    <w:rsid w:val="005D144E"/>
    <w:rsid w:val="005D156A"/>
    <w:rsid w:val="005D16D5"/>
    <w:rsid w:val="005D16FF"/>
    <w:rsid w:val="005D18BD"/>
    <w:rsid w:val="005D1AB8"/>
    <w:rsid w:val="005D1CF7"/>
    <w:rsid w:val="005D2073"/>
    <w:rsid w:val="005D2CAB"/>
    <w:rsid w:val="005D3466"/>
    <w:rsid w:val="005D3738"/>
    <w:rsid w:val="005D3E34"/>
    <w:rsid w:val="005D417B"/>
    <w:rsid w:val="005D4388"/>
    <w:rsid w:val="005D491A"/>
    <w:rsid w:val="005D4C7F"/>
    <w:rsid w:val="005D52E5"/>
    <w:rsid w:val="005D5445"/>
    <w:rsid w:val="005D576F"/>
    <w:rsid w:val="005D57A3"/>
    <w:rsid w:val="005D5BED"/>
    <w:rsid w:val="005D5FF3"/>
    <w:rsid w:val="005D6342"/>
    <w:rsid w:val="005D6630"/>
    <w:rsid w:val="005D6764"/>
    <w:rsid w:val="005D6AF2"/>
    <w:rsid w:val="005D6E5F"/>
    <w:rsid w:val="005D6ECA"/>
    <w:rsid w:val="005D6F32"/>
    <w:rsid w:val="005D7456"/>
    <w:rsid w:val="005D76B8"/>
    <w:rsid w:val="005D7AA1"/>
    <w:rsid w:val="005D7CF5"/>
    <w:rsid w:val="005D7F4D"/>
    <w:rsid w:val="005E003E"/>
    <w:rsid w:val="005E005A"/>
    <w:rsid w:val="005E0130"/>
    <w:rsid w:val="005E02D0"/>
    <w:rsid w:val="005E0475"/>
    <w:rsid w:val="005E048B"/>
    <w:rsid w:val="005E0AAD"/>
    <w:rsid w:val="005E14B7"/>
    <w:rsid w:val="005E1F7B"/>
    <w:rsid w:val="005E2059"/>
    <w:rsid w:val="005E23D9"/>
    <w:rsid w:val="005E2C37"/>
    <w:rsid w:val="005E2C5E"/>
    <w:rsid w:val="005E3271"/>
    <w:rsid w:val="005E32C6"/>
    <w:rsid w:val="005E34BD"/>
    <w:rsid w:val="005E34E1"/>
    <w:rsid w:val="005E350A"/>
    <w:rsid w:val="005E3878"/>
    <w:rsid w:val="005E3CD7"/>
    <w:rsid w:val="005E44FE"/>
    <w:rsid w:val="005E4523"/>
    <w:rsid w:val="005E4B11"/>
    <w:rsid w:val="005E4C54"/>
    <w:rsid w:val="005E4D8F"/>
    <w:rsid w:val="005E556B"/>
    <w:rsid w:val="005E562E"/>
    <w:rsid w:val="005E5954"/>
    <w:rsid w:val="005E5A9E"/>
    <w:rsid w:val="005E5C67"/>
    <w:rsid w:val="005E5D42"/>
    <w:rsid w:val="005E6067"/>
    <w:rsid w:val="005E6193"/>
    <w:rsid w:val="005E628F"/>
    <w:rsid w:val="005E6D1A"/>
    <w:rsid w:val="005E7079"/>
    <w:rsid w:val="005E75DA"/>
    <w:rsid w:val="005E77BC"/>
    <w:rsid w:val="005E7E31"/>
    <w:rsid w:val="005E7FDB"/>
    <w:rsid w:val="005F06EB"/>
    <w:rsid w:val="005F0AF9"/>
    <w:rsid w:val="005F1390"/>
    <w:rsid w:val="005F1434"/>
    <w:rsid w:val="005F1857"/>
    <w:rsid w:val="005F2011"/>
    <w:rsid w:val="005F2378"/>
    <w:rsid w:val="005F28AD"/>
    <w:rsid w:val="005F3006"/>
    <w:rsid w:val="005F30AF"/>
    <w:rsid w:val="005F3304"/>
    <w:rsid w:val="005F33EC"/>
    <w:rsid w:val="005F366C"/>
    <w:rsid w:val="005F3DF7"/>
    <w:rsid w:val="005F443B"/>
    <w:rsid w:val="005F4FC2"/>
    <w:rsid w:val="005F533F"/>
    <w:rsid w:val="005F57B5"/>
    <w:rsid w:val="005F5CB1"/>
    <w:rsid w:val="005F5E4E"/>
    <w:rsid w:val="005F65B5"/>
    <w:rsid w:val="005F65CB"/>
    <w:rsid w:val="005F6600"/>
    <w:rsid w:val="005F6949"/>
    <w:rsid w:val="005F69A8"/>
    <w:rsid w:val="005F6AF6"/>
    <w:rsid w:val="005F6F75"/>
    <w:rsid w:val="005F706D"/>
    <w:rsid w:val="005F7375"/>
    <w:rsid w:val="005F7645"/>
    <w:rsid w:val="005F7B02"/>
    <w:rsid w:val="005F7E04"/>
    <w:rsid w:val="0060020B"/>
    <w:rsid w:val="00600273"/>
    <w:rsid w:val="00600442"/>
    <w:rsid w:val="0060045A"/>
    <w:rsid w:val="0060065F"/>
    <w:rsid w:val="00600AA5"/>
    <w:rsid w:val="00600B34"/>
    <w:rsid w:val="00600B90"/>
    <w:rsid w:val="00600C4E"/>
    <w:rsid w:val="00600C7F"/>
    <w:rsid w:val="00600DF3"/>
    <w:rsid w:val="006018D8"/>
    <w:rsid w:val="00601986"/>
    <w:rsid w:val="00601B50"/>
    <w:rsid w:val="00601F38"/>
    <w:rsid w:val="006020AA"/>
    <w:rsid w:val="00602222"/>
    <w:rsid w:val="0060233C"/>
    <w:rsid w:val="00602635"/>
    <w:rsid w:val="00602887"/>
    <w:rsid w:val="00602A55"/>
    <w:rsid w:val="006033D0"/>
    <w:rsid w:val="006047F2"/>
    <w:rsid w:val="00604E52"/>
    <w:rsid w:val="00605003"/>
    <w:rsid w:val="006052EE"/>
    <w:rsid w:val="00605A88"/>
    <w:rsid w:val="00606437"/>
    <w:rsid w:val="0060644B"/>
    <w:rsid w:val="0060654C"/>
    <w:rsid w:val="00606561"/>
    <w:rsid w:val="00606875"/>
    <w:rsid w:val="006069B5"/>
    <w:rsid w:val="00606BFE"/>
    <w:rsid w:val="00606DE0"/>
    <w:rsid w:val="00606F44"/>
    <w:rsid w:val="00607698"/>
    <w:rsid w:val="00607AE2"/>
    <w:rsid w:val="00607C9F"/>
    <w:rsid w:val="00607E47"/>
    <w:rsid w:val="00610344"/>
    <w:rsid w:val="00610399"/>
    <w:rsid w:val="006103D8"/>
    <w:rsid w:val="0061055D"/>
    <w:rsid w:val="00610876"/>
    <w:rsid w:val="00610FB1"/>
    <w:rsid w:val="00611029"/>
    <w:rsid w:val="006112D5"/>
    <w:rsid w:val="0061153A"/>
    <w:rsid w:val="006115D7"/>
    <w:rsid w:val="00611904"/>
    <w:rsid w:val="00611A25"/>
    <w:rsid w:val="00611BE6"/>
    <w:rsid w:val="00611F12"/>
    <w:rsid w:val="00611FF9"/>
    <w:rsid w:val="006121D8"/>
    <w:rsid w:val="006122C8"/>
    <w:rsid w:val="00612591"/>
    <w:rsid w:val="00612704"/>
    <w:rsid w:val="00612E46"/>
    <w:rsid w:val="00612FD5"/>
    <w:rsid w:val="00613534"/>
    <w:rsid w:val="0061367D"/>
    <w:rsid w:val="006139B7"/>
    <w:rsid w:val="00613A9D"/>
    <w:rsid w:val="00613B24"/>
    <w:rsid w:val="00613BD7"/>
    <w:rsid w:val="00613DED"/>
    <w:rsid w:val="00613FC8"/>
    <w:rsid w:val="00614028"/>
    <w:rsid w:val="00614283"/>
    <w:rsid w:val="00614480"/>
    <w:rsid w:val="006145A9"/>
    <w:rsid w:val="00614713"/>
    <w:rsid w:val="0061472E"/>
    <w:rsid w:val="00614B8B"/>
    <w:rsid w:val="006150DA"/>
    <w:rsid w:val="006153FD"/>
    <w:rsid w:val="0061545D"/>
    <w:rsid w:val="00615504"/>
    <w:rsid w:val="00615A1E"/>
    <w:rsid w:val="00615A55"/>
    <w:rsid w:val="00615BE3"/>
    <w:rsid w:val="00615DBC"/>
    <w:rsid w:val="0061612B"/>
    <w:rsid w:val="0061653A"/>
    <w:rsid w:val="006167A7"/>
    <w:rsid w:val="00616A4E"/>
    <w:rsid w:val="00616BBF"/>
    <w:rsid w:val="00617238"/>
    <w:rsid w:val="0061760F"/>
    <w:rsid w:val="00617631"/>
    <w:rsid w:val="00617B5E"/>
    <w:rsid w:val="00617C59"/>
    <w:rsid w:val="00617EDA"/>
    <w:rsid w:val="006200DC"/>
    <w:rsid w:val="0062047A"/>
    <w:rsid w:val="00620B02"/>
    <w:rsid w:val="00620F58"/>
    <w:rsid w:val="00620FC7"/>
    <w:rsid w:val="00621351"/>
    <w:rsid w:val="006216BB"/>
    <w:rsid w:val="0062195A"/>
    <w:rsid w:val="00621A2E"/>
    <w:rsid w:val="00621E05"/>
    <w:rsid w:val="00621F41"/>
    <w:rsid w:val="00623021"/>
    <w:rsid w:val="00623340"/>
    <w:rsid w:val="006233B4"/>
    <w:rsid w:val="006235AE"/>
    <w:rsid w:val="00623629"/>
    <w:rsid w:val="0062388D"/>
    <w:rsid w:val="00623982"/>
    <w:rsid w:val="006239AF"/>
    <w:rsid w:val="00623D88"/>
    <w:rsid w:val="00623DBB"/>
    <w:rsid w:val="0062450C"/>
    <w:rsid w:val="00624553"/>
    <w:rsid w:val="00624868"/>
    <w:rsid w:val="00625420"/>
    <w:rsid w:val="00625447"/>
    <w:rsid w:val="006255DD"/>
    <w:rsid w:val="00625B62"/>
    <w:rsid w:val="00625E35"/>
    <w:rsid w:val="00625FEE"/>
    <w:rsid w:val="006260F2"/>
    <w:rsid w:val="00626419"/>
    <w:rsid w:val="00626847"/>
    <w:rsid w:val="00626B95"/>
    <w:rsid w:val="00626C05"/>
    <w:rsid w:val="00626FFA"/>
    <w:rsid w:val="006273B6"/>
    <w:rsid w:val="006273E2"/>
    <w:rsid w:val="006273FD"/>
    <w:rsid w:val="00627571"/>
    <w:rsid w:val="006277BD"/>
    <w:rsid w:val="0062798B"/>
    <w:rsid w:val="00627C7A"/>
    <w:rsid w:val="00630296"/>
    <w:rsid w:val="006305E7"/>
    <w:rsid w:val="00630B42"/>
    <w:rsid w:val="00630B70"/>
    <w:rsid w:val="0063147A"/>
    <w:rsid w:val="00631491"/>
    <w:rsid w:val="006315C6"/>
    <w:rsid w:val="00631C9F"/>
    <w:rsid w:val="006322D4"/>
    <w:rsid w:val="00632EBB"/>
    <w:rsid w:val="00632EED"/>
    <w:rsid w:val="00633418"/>
    <w:rsid w:val="00633B55"/>
    <w:rsid w:val="00633BDE"/>
    <w:rsid w:val="00634083"/>
    <w:rsid w:val="00634603"/>
    <w:rsid w:val="0063460F"/>
    <w:rsid w:val="0063478A"/>
    <w:rsid w:val="006349F0"/>
    <w:rsid w:val="00634F21"/>
    <w:rsid w:val="00635022"/>
    <w:rsid w:val="0063524E"/>
    <w:rsid w:val="006354C9"/>
    <w:rsid w:val="006355D5"/>
    <w:rsid w:val="00635AB1"/>
    <w:rsid w:val="00635C05"/>
    <w:rsid w:val="00636126"/>
    <w:rsid w:val="0063636A"/>
    <w:rsid w:val="00636C7E"/>
    <w:rsid w:val="00636CF4"/>
    <w:rsid w:val="00636D7B"/>
    <w:rsid w:val="00636EA6"/>
    <w:rsid w:val="0063708A"/>
    <w:rsid w:val="0063716D"/>
    <w:rsid w:val="00637549"/>
    <w:rsid w:val="006377E0"/>
    <w:rsid w:val="006378B0"/>
    <w:rsid w:val="00637C69"/>
    <w:rsid w:val="00637C7C"/>
    <w:rsid w:val="006402CE"/>
    <w:rsid w:val="00640D55"/>
    <w:rsid w:val="00640F5E"/>
    <w:rsid w:val="00640F9B"/>
    <w:rsid w:val="00641014"/>
    <w:rsid w:val="0064134B"/>
    <w:rsid w:val="006414B3"/>
    <w:rsid w:val="0064191A"/>
    <w:rsid w:val="00641A0A"/>
    <w:rsid w:val="00641C28"/>
    <w:rsid w:val="006420AB"/>
    <w:rsid w:val="0064228B"/>
    <w:rsid w:val="00642390"/>
    <w:rsid w:val="006426F7"/>
    <w:rsid w:val="00642AA1"/>
    <w:rsid w:val="00642D7D"/>
    <w:rsid w:val="00643473"/>
    <w:rsid w:val="00643690"/>
    <w:rsid w:val="00643A50"/>
    <w:rsid w:val="00643C98"/>
    <w:rsid w:val="0064418C"/>
    <w:rsid w:val="006441CF"/>
    <w:rsid w:val="00644251"/>
    <w:rsid w:val="00644376"/>
    <w:rsid w:val="0064510C"/>
    <w:rsid w:val="00645550"/>
    <w:rsid w:val="00645565"/>
    <w:rsid w:val="0064563A"/>
    <w:rsid w:val="0064586C"/>
    <w:rsid w:val="00645888"/>
    <w:rsid w:val="00645B88"/>
    <w:rsid w:val="0064619C"/>
    <w:rsid w:val="006461DA"/>
    <w:rsid w:val="0064681A"/>
    <w:rsid w:val="00646F96"/>
    <w:rsid w:val="006479B4"/>
    <w:rsid w:val="00647C3C"/>
    <w:rsid w:val="00647EEF"/>
    <w:rsid w:val="00647F9A"/>
    <w:rsid w:val="0065011E"/>
    <w:rsid w:val="0065034D"/>
    <w:rsid w:val="00650389"/>
    <w:rsid w:val="00650528"/>
    <w:rsid w:val="0065086D"/>
    <w:rsid w:val="00650A89"/>
    <w:rsid w:val="00650F30"/>
    <w:rsid w:val="006513F4"/>
    <w:rsid w:val="00651A53"/>
    <w:rsid w:val="00651D9E"/>
    <w:rsid w:val="00652609"/>
    <w:rsid w:val="00652766"/>
    <w:rsid w:val="00652820"/>
    <w:rsid w:val="006530BC"/>
    <w:rsid w:val="006534A6"/>
    <w:rsid w:val="00653614"/>
    <w:rsid w:val="006536AB"/>
    <w:rsid w:val="00653721"/>
    <w:rsid w:val="00653F67"/>
    <w:rsid w:val="006549BC"/>
    <w:rsid w:val="00654B63"/>
    <w:rsid w:val="00654EA5"/>
    <w:rsid w:val="00655229"/>
    <w:rsid w:val="006556B2"/>
    <w:rsid w:val="006556C6"/>
    <w:rsid w:val="0065575C"/>
    <w:rsid w:val="00655F8C"/>
    <w:rsid w:val="006561A1"/>
    <w:rsid w:val="006561B4"/>
    <w:rsid w:val="0065643F"/>
    <w:rsid w:val="0065647A"/>
    <w:rsid w:val="00656895"/>
    <w:rsid w:val="006569CF"/>
    <w:rsid w:val="00656FDB"/>
    <w:rsid w:val="006570B4"/>
    <w:rsid w:val="00657297"/>
    <w:rsid w:val="00657311"/>
    <w:rsid w:val="00657363"/>
    <w:rsid w:val="00657471"/>
    <w:rsid w:val="006576F0"/>
    <w:rsid w:val="0065779D"/>
    <w:rsid w:val="00657947"/>
    <w:rsid w:val="00657B8F"/>
    <w:rsid w:val="00657C30"/>
    <w:rsid w:val="00657DBE"/>
    <w:rsid w:val="00657E08"/>
    <w:rsid w:val="00660332"/>
    <w:rsid w:val="006603DB"/>
    <w:rsid w:val="00660A6A"/>
    <w:rsid w:val="00660F7C"/>
    <w:rsid w:val="006611A4"/>
    <w:rsid w:val="006614D3"/>
    <w:rsid w:val="00661831"/>
    <w:rsid w:val="00661963"/>
    <w:rsid w:val="00661A17"/>
    <w:rsid w:val="00661BC9"/>
    <w:rsid w:val="006620CE"/>
    <w:rsid w:val="00662499"/>
    <w:rsid w:val="00662A03"/>
    <w:rsid w:val="00662DB8"/>
    <w:rsid w:val="00662FBC"/>
    <w:rsid w:val="006631AC"/>
    <w:rsid w:val="006637E4"/>
    <w:rsid w:val="006638A2"/>
    <w:rsid w:val="00663953"/>
    <w:rsid w:val="006639DF"/>
    <w:rsid w:val="00663E6D"/>
    <w:rsid w:val="00664087"/>
    <w:rsid w:val="0066440D"/>
    <w:rsid w:val="0066458C"/>
    <w:rsid w:val="00664663"/>
    <w:rsid w:val="0066483C"/>
    <w:rsid w:val="00664B90"/>
    <w:rsid w:val="006651D3"/>
    <w:rsid w:val="0066554C"/>
    <w:rsid w:val="006659C4"/>
    <w:rsid w:val="00665A40"/>
    <w:rsid w:val="00665C83"/>
    <w:rsid w:val="00665D27"/>
    <w:rsid w:val="00665FBB"/>
    <w:rsid w:val="006661A5"/>
    <w:rsid w:val="006661B1"/>
    <w:rsid w:val="006667CA"/>
    <w:rsid w:val="00666F94"/>
    <w:rsid w:val="0066705B"/>
    <w:rsid w:val="00667233"/>
    <w:rsid w:val="00667241"/>
    <w:rsid w:val="00667565"/>
    <w:rsid w:val="006675DE"/>
    <w:rsid w:val="006676D5"/>
    <w:rsid w:val="00667D25"/>
    <w:rsid w:val="006700A8"/>
    <w:rsid w:val="00670207"/>
    <w:rsid w:val="006703C5"/>
    <w:rsid w:val="006706D4"/>
    <w:rsid w:val="00670965"/>
    <w:rsid w:val="00670A7A"/>
    <w:rsid w:val="00670B3B"/>
    <w:rsid w:val="0067113F"/>
    <w:rsid w:val="006718FC"/>
    <w:rsid w:val="00671FC7"/>
    <w:rsid w:val="006721E2"/>
    <w:rsid w:val="0067234E"/>
    <w:rsid w:val="006724A2"/>
    <w:rsid w:val="00672596"/>
    <w:rsid w:val="0067284B"/>
    <w:rsid w:val="006730A5"/>
    <w:rsid w:val="006735FE"/>
    <w:rsid w:val="00673A4C"/>
    <w:rsid w:val="00673BA8"/>
    <w:rsid w:val="00673E16"/>
    <w:rsid w:val="00674277"/>
    <w:rsid w:val="006745CB"/>
    <w:rsid w:val="006746C6"/>
    <w:rsid w:val="006746E9"/>
    <w:rsid w:val="00674A20"/>
    <w:rsid w:val="00674F3D"/>
    <w:rsid w:val="00675009"/>
    <w:rsid w:val="00675198"/>
    <w:rsid w:val="00675705"/>
    <w:rsid w:val="00675FE9"/>
    <w:rsid w:val="006764DC"/>
    <w:rsid w:val="006764FA"/>
    <w:rsid w:val="00676614"/>
    <w:rsid w:val="006768A0"/>
    <w:rsid w:val="00676A71"/>
    <w:rsid w:val="00676C87"/>
    <w:rsid w:val="00676CBB"/>
    <w:rsid w:val="00676D02"/>
    <w:rsid w:val="00676FC0"/>
    <w:rsid w:val="0067712D"/>
    <w:rsid w:val="0067724C"/>
    <w:rsid w:val="00677D1D"/>
    <w:rsid w:val="0068020B"/>
    <w:rsid w:val="0068025E"/>
    <w:rsid w:val="00680490"/>
    <w:rsid w:val="0068085D"/>
    <w:rsid w:val="00680959"/>
    <w:rsid w:val="00680B27"/>
    <w:rsid w:val="006811E3"/>
    <w:rsid w:val="00681230"/>
    <w:rsid w:val="006815C6"/>
    <w:rsid w:val="006818A2"/>
    <w:rsid w:val="00681DD1"/>
    <w:rsid w:val="00681ED1"/>
    <w:rsid w:val="00681FA3"/>
    <w:rsid w:val="006822BB"/>
    <w:rsid w:val="0068235B"/>
    <w:rsid w:val="006824EA"/>
    <w:rsid w:val="00682522"/>
    <w:rsid w:val="00683162"/>
    <w:rsid w:val="00683904"/>
    <w:rsid w:val="00683A03"/>
    <w:rsid w:val="00683A82"/>
    <w:rsid w:val="00683FBD"/>
    <w:rsid w:val="00684929"/>
    <w:rsid w:val="006856CD"/>
    <w:rsid w:val="00685869"/>
    <w:rsid w:val="0068587F"/>
    <w:rsid w:val="00685916"/>
    <w:rsid w:val="006859EC"/>
    <w:rsid w:val="00685DD1"/>
    <w:rsid w:val="0068672C"/>
    <w:rsid w:val="00686B0A"/>
    <w:rsid w:val="00686EF6"/>
    <w:rsid w:val="00687027"/>
    <w:rsid w:val="00687490"/>
    <w:rsid w:val="0068773E"/>
    <w:rsid w:val="00690219"/>
    <w:rsid w:val="0069032F"/>
    <w:rsid w:val="0069049D"/>
    <w:rsid w:val="006904B2"/>
    <w:rsid w:val="0069069E"/>
    <w:rsid w:val="00690D0D"/>
    <w:rsid w:val="00691112"/>
    <w:rsid w:val="006916E9"/>
    <w:rsid w:val="0069193B"/>
    <w:rsid w:val="00691D70"/>
    <w:rsid w:val="00691FFB"/>
    <w:rsid w:val="0069227D"/>
    <w:rsid w:val="0069236B"/>
    <w:rsid w:val="00692ACD"/>
    <w:rsid w:val="00693166"/>
    <w:rsid w:val="00693629"/>
    <w:rsid w:val="0069367D"/>
    <w:rsid w:val="0069383F"/>
    <w:rsid w:val="0069392A"/>
    <w:rsid w:val="00693C3F"/>
    <w:rsid w:val="00693DB9"/>
    <w:rsid w:val="006940FE"/>
    <w:rsid w:val="0069449F"/>
    <w:rsid w:val="00694598"/>
    <w:rsid w:val="00694621"/>
    <w:rsid w:val="006946E9"/>
    <w:rsid w:val="0069474A"/>
    <w:rsid w:val="00694847"/>
    <w:rsid w:val="00694DBF"/>
    <w:rsid w:val="00694F5E"/>
    <w:rsid w:val="00695030"/>
    <w:rsid w:val="00695076"/>
    <w:rsid w:val="006953AC"/>
    <w:rsid w:val="0069568B"/>
    <w:rsid w:val="0069575D"/>
    <w:rsid w:val="006957FF"/>
    <w:rsid w:val="00695C3E"/>
    <w:rsid w:val="00695D1F"/>
    <w:rsid w:val="00695F35"/>
    <w:rsid w:val="006960E5"/>
    <w:rsid w:val="00696699"/>
    <w:rsid w:val="006966C5"/>
    <w:rsid w:val="00696823"/>
    <w:rsid w:val="006968E3"/>
    <w:rsid w:val="00696A72"/>
    <w:rsid w:val="00696B33"/>
    <w:rsid w:val="00696EFB"/>
    <w:rsid w:val="00696F13"/>
    <w:rsid w:val="00697446"/>
    <w:rsid w:val="006975AA"/>
    <w:rsid w:val="0069776F"/>
    <w:rsid w:val="00697D93"/>
    <w:rsid w:val="00697FDD"/>
    <w:rsid w:val="006A0446"/>
    <w:rsid w:val="006A04E1"/>
    <w:rsid w:val="006A0B25"/>
    <w:rsid w:val="006A0BB0"/>
    <w:rsid w:val="006A0CB3"/>
    <w:rsid w:val="006A0E6D"/>
    <w:rsid w:val="006A130E"/>
    <w:rsid w:val="006A1372"/>
    <w:rsid w:val="006A1AA7"/>
    <w:rsid w:val="006A1DCA"/>
    <w:rsid w:val="006A22D4"/>
    <w:rsid w:val="006A23EF"/>
    <w:rsid w:val="006A24B6"/>
    <w:rsid w:val="006A26C8"/>
    <w:rsid w:val="006A2A58"/>
    <w:rsid w:val="006A2DF4"/>
    <w:rsid w:val="006A2FBD"/>
    <w:rsid w:val="006A3389"/>
    <w:rsid w:val="006A34C5"/>
    <w:rsid w:val="006A3A81"/>
    <w:rsid w:val="006A4483"/>
    <w:rsid w:val="006A468A"/>
    <w:rsid w:val="006A4BB1"/>
    <w:rsid w:val="006A4F4E"/>
    <w:rsid w:val="006A5ABD"/>
    <w:rsid w:val="006A5B5F"/>
    <w:rsid w:val="006A60B8"/>
    <w:rsid w:val="006A6368"/>
    <w:rsid w:val="006A65BA"/>
    <w:rsid w:val="006A6669"/>
    <w:rsid w:val="006A67C7"/>
    <w:rsid w:val="006A76E1"/>
    <w:rsid w:val="006A7A17"/>
    <w:rsid w:val="006A7D48"/>
    <w:rsid w:val="006B00D3"/>
    <w:rsid w:val="006B04FC"/>
    <w:rsid w:val="006B1143"/>
    <w:rsid w:val="006B1202"/>
    <w:rsid w:val="006B1231"/>
    <w:rsid w:val="006B12E2"/>
    <w:rsid w:val="006B14A6"/>
    <w:rsid w:val="006B1785"/>
    <w:rsid w:val="006B1863"/>
    <w:rsid w:val="006B1938"/>
    <w:rsid w:val="006B1AB4"/>
    <w:rsid w:val="006B1BE1"/>
    <w:rsid w:val="006B1C73"/>
    <w:rsid w:val="006B1D0D"/>
    <w:rsid w:val="006B2125"/>
    <w:rsid w:val="006B220A"/>
    <w:rsid w:val="006B231C"/>
    <w:rsid w:val="006B2FA1"/>
    <w:rsid w:val="006B33CD"/>
    <w:rsid w:val="006B366C"/>
    <w:rsid w:val="006B3A15"/>
    <w:rsid w:val="006B4523"/>
    <w:rsid w:val="006B4651"/>
    <w:rsid w:val="006B4A1D"/>
    <w:rsid w:val="006B4D4F"/>
    <w:rsid w:val="006B51FE"/>
    <w:rsid w:val="006B5865"/>
    <w:rsid w:val="006B59B5"/>
    <w:rsid w:val="006B5AE7"/>
    <w:rsid w:val="006B61DD"/>
    <w:rsid w:val="006B64C3"/>
    <w:rsid w:val="006B6666"/>
    <w:rsid w:val="006B6A1B"/>
    <w:rsid w:val="006B736F"/>
    <w:rsid w:val="006B7650"/>
    <w:rsid w:val="006C01F7"/>
    <w:rsid w:val="006C055A"/>
    <w:rsid w:val="006C0D2A"/>
    <w:rsid w:val="006C0D3C"/>
    <w:rsid w:val="006C1450"/>
    <w:rsid w:val="006C199D"/>
    <w:rsid w:val="006C2370"/>
    <w:rsid w:val="006C24D5"/>
    <w:rsid w:val="006C2EBF"/>
    <w:rsid w:val="006C2FA4"/>
    <w:rsid w:val="006C33ED"/>
    <w:rsid w:val="006C345C"/>
    <w:rsid w:val="006C3550"/>
    <w:rsid w:val="006C3668"/>
    <w:rsid w:val="006C38BF"/>
    <w:rsid w:val="006C3A50"/>
    <w:rsid w:val="006C3B5B"/>
    <w:rsid w:val="006C3F43"/>
    <w:rsid w:val="006C40CC"/>
    <w:rsid w:val="006C441A"/>
    <w:rsid w:val="006C55E7"/>
    <w:rsid w:val="006C5B2C"/>
    <w:rsid w:val="006C6041"/>
    <w:rsid w:val="006C67FA"/>
    <w:rsid w:val="006C6ECE"/>
    <w:rsid w:val="006C73A6"/>
    <w:rsid w:val="006C7681"/>
    <w:rsid w:val="006C768B"/>
    <w:rsid w:val="006C76E7"/>
    <w:rsid w:val="006C7798"/>
    <w:rsid w:val="006C7952"/>
    <w:rsid w:val="006C79CB"/>
    <w:rsid w:val="006D007F"/>
    <w:rsid w:val="006D08AD"/>
    <w:rsid w:val="006D099B"/>
    <w:rsid w:val="006D0B94"/>
    <w:rsid w:val="006D0E42"/>
    <w:rsid w:val="006D0E7B"/>
    <w:rsid w:val="006D10F4"/>
    <w:rsid w:val="006D118B"/>
    <w:rsid w:val="006D1552"/>
    <w:rsid w:val="006D1694"/>
    <w:rsid w:val="006D16BF"/>
    <w:rsid w:val="006D16DA"/>
    <w:rsid w:val="006D16E3"/>
    <w:rsid w:val="006D1700"/>
    <w:rsid w:val="006D178C"/>
    <w:rsid w:val="006D19B7"/>
    <w:rsid w:val="006D1B87"/>
    <w:rsid w:val="006D22A0"/>
    <w:rsid w:val="006D2412"/>
    <w:rsid w:val="006D24ED"/>
    <w:rsid w:val="006D2759"/>
    <w:rsid w:val="006D32EF"/>
    <w:rsid w:val="006D357F"/>
    <w:rsid w:val="006D3764"/>
    <w:rsid w:val="006D4115"/>
    <w:rsid w:val="006D434A"/>
    <w:rsid w:val="006D45BE"/>
    <w:rsid w:val="006D46C0"/>
    <w:rsid w:val="006D4956"/>
    <w:rsid w:val="006D4D77"/>
    <w:rsid w:val="006D4F33"/>
    <w:rsid w:val="006D58C0"/>
    <w:rsid w:val="006D5962"/>
    <w:rsid w:val="006D5C4D"/>
    <w:rsid w:val="006D5D7B"/>
    <w:rsid w:val="006D5E4E"/>
    <w:rsid w:val="006D5F0C"/>
    <w:rsid w:val="006D60EC"/>
    <w:rsid w:val="006D6484"/>
    <w:rsid w:val="006D694B"/>
    <w:rsid w:val="006D732A"/>
    <w:rsid w:val="006D739A"/>
    <w:rsid w:val="006E0241"/>
    <w:rsid w:val="006E030E"/>
    <w:rsid w:val="006E042C"/>
    <w:rsid w:val="006E04C2"/>
    <w:rsid w:val="006E070B"/>
    <w:rsid w:val="006E075D"/>
    <w:rsid w:val="006E092F"/>
    <w:rsid w:val="006E0BEC"/>
    <w:rsid w:val="006E103A"/>
    <w:rsid w:val="006E1084"/>
    <w:rsid w:val="006E1384"/>
    <w:rsid w:val="006E14DF"/>
    <w:rsid w:val="006E176F"/>
    <w:rsid w:val="006E1867"/>
    <w:rsid w:val="006E1AC9"/>
    <w:rsid w:val="006E1B2D"/>
    <w:rsid w:val="006E2057"/>
    <w:rsid w:val="006E22A3"/>
    <w:rsid w:val="006E22A7"/>
    <w:rsid w:val="006E26B6"/>
    <w:rsid w:val="006E288D"/>
    <w:rsid w:val="006E2900"/>
    <w:rsid w:val="006E2DD9"/>
    <w:rsid w:val="006E2F88"/>
    <w:rsid w:val="006E2FFB"/>
    <w:rsid w:val="006E31F6"/>
    <w:rsid w:val="006E36B0"/>
    <w:rsid w:val="006E3E52"/>
    <w:rsid w:val="006E3F9E"/>
    <w:rsid w:val="006E44E7"/>
    <w:rsid w:val="006E46FB"/>
    <w:rsid w:val="006E4C74"/>
    <w:rsid w:val="006E4D89"/>
    <w:rsid w:val="006E4F37"/>
    <w:rsid w:val="006E4F6B"/>
    <w:rsid w:val="006E56C3"/>
    <w:rsid w:val="006E5E19"/>
    <w:rsid w:val="006E62DA"/>
    <w:rsid w:val="006E641F"/>
    <w:rsid w:val="006E64C8"/>
    <w:rsid w:val="006E653E"/>
    <w:rsid w:val="006E675D"/>
    <w:rsid w:val="006E67F6"/>
    <w:rsid w:val="006E6A35"/>
    <w:rsid w:val="006E6BD5"/>
    <w:rsid w:val="006E7221"/>
    <w:rsid w:val="006E799F"/>
    <w:rsid w:val="006E7BED"/>
    <w:rsid w:val="006E7F71"/>
    <w:rsid w:val="006F0307"/>
    <w:rsid w:val="006F07A9"/>
    <w:rsid w:val="006F0BB7"/>
    <w:rsid w:val="006F1100"/>
    <w:rsid w:val="006F13C6"/>
    <w:rsid w:val="006F14E8"/>
    <w:rsid w:val="006F1A00"/>
    <w:rsid w:val="006F1BC9"/>
    <w:rsid w:val="006F215E"/>
    <w:rsid w:val="006F23BF"/>
    <w:rsid w:val="006F2B83"/>
    <w:rsid w:val="006F3127"/>
    <w:rsid w:val="006F3577"/>
    <w:rsid w:val="006F36BB"/>
    <w:rsid w:val="006F38A5"/>
    <w:rsid w:val="006F38EE"/>
    <w:rsid w:val="006F3C1F"/>
    <w:rsid w:val="006F3CD7"/>
    <w:rsid w:val="006F3DCB"/>
    <w:rsid w:val="006F3E5F"/>
    <w:rsid w:val="006F3EDF"/>
    <w:rsid w:val="006F4274"/>
    <w:rsid w:val="006F445E"/>
    <w:rsid w:val="006F46D5"/>
    <w:rsid w:val="006F48AF"/>
    <w:rsid w:val="006F50F7"/>
    <w:rsid w:val="006F51F8"/>
    <w:rsid w:val="006F5210"/>
    <w:rsid w:val="006F525B"/>
    <w:rsid w:val="006F5841"/>
    <w:rsid w:val="006F58A1"/>
    <w:rsid w:val="006F5D18"/>
    <w:rsid w:val="006F5D55"/>
    <w:rsid w:val="006F5E04"/>
    <w:rsid w:val="006F61DC"/>
    <w:rsid w:val="006F657F"/>
    <w:rsid w:val="006F688A"/>
    <w:rsid w:val="006F6BD5"/>
    <w:rsid w:val="006F6CB3"/>
    <w:rsid w:val="006F6EC2"/>
    <w:rsid w:val="006F72CB"/>
    <w:rsid w:val="006F74CE"/>
    <w:rsid w:val="006F7500"/>
    <w:rsid w:val="006F7574"/>
    <w:rsid w:val="006F7A31"/>
    <w:rsid w:val="006F7B88"/>
    <w:rsid w:val="006F7D75"/>
    <w:rsid w:val="007003B7"/>
    <w:rsid w:val="00700501"/>
    <w:rsid w:val="00700C1E"/>
    <w:rsid w:val="00700CA5"/>
    <w:rsid w:val="00700EB5"/>
    <w:rsid w:val="007016EA"/>
    <w:rsid w:val="00701719"/>
    <w:rsid w:val="00701A15"/>
    <w:rsid w:val="00701AC5"/>
    <w:rsid w:val="007020B4"/>
    <w:rsid w:val="00702345"/>
    <w:rsid w:val="007025A6"/>
    <w:rsid w:val="007027B7"/>
    <w:rsid w:val="00702902"/>
    <w:rsid w:val="00702C96"/>
    <w:rsid w:val="00703116"/>
    <w:rsid w:val="007035F8"/>
    <w:rsid w:val="0070360C"/>
    <w:rsid w:val="0070364A"/>
    <w:rsid w:val="0070383A"/>
    <w:rsid w:val="00703DD6"/>
    <w:rsid w:val="00703F5E"/>
    <w:rsid w:val="007040EC"/>
    <w:rsid w:val="0070464C"/>
    <w:rsid w:val="0070488D"/>
    <w:rsid w:val="00704AF6"/>
    <w:rsid w:val="00704B29"/>
    <w:rsid w:val="00704B52"/>
    <w:rsid w:val="007052B9"/>
    <w:rsid w:val="00705ACF"/>
    <w:rsid w:val="00706124"/>
    <w:rsid w:val="007062E2"/>
    <w:rsid w:val="00706658"/>
    <w:rsid w:val="007069BC"/>
    <w:rsid w:val="007069E4"/>
    <w:rsid w:val="00706B14"/>
    <w:rsid w:val="0070710C"/>
    <w:rsid w:val="007072A2"/>
    <w:rsid w:val="007072AB"/>
    <w:rsid w:val="007074E9"/>
    <w:rsid w:val="007079D2"/>
    <w:rsid w:val="00707C5B"/>
    <w:rsid w:val="00707C81"/>
    <w:rsid w:val="00707F58"/>
    <w:rsid w:val="00710701"/>
    <w:rsid w:val="007107EA"/>
    <w:rsid w:val="00710954"/>
    <w:rsid w:val="007109CF"/>
    <w:rsid w:val="00710A41"/>
    <w:rsid w:val="00710D91"/>
    <w:rsid w:val="0071100D"/>
    <w:rsid w:val="00711057"/>
    <w:rsid w:val="007114E5"/>
    <w:rsid w:val="007116E2"/>
    <w:rsid w:val="00711A68"/>
    <w:rsid w:val="00711CB8"/>
    <w:rsid w:val="00711CD6"/>
    <w:rsid w:val="00711EBF"/>
    <w:rsid w:val="00712104"/>
    <w:rsid w:val="00712C6C"/>
    <w:rsid w:val="00712D61"/>
    <w:rsid w:val="00713367"/>
    <w:rsid w:val="00713889"/>
    <w:rsid w:val="0071398E"/>
    <w:rsid w:val="00713E25"/>
    <w:rsid w:val="007140B5"/>
    <w:rsid w:val="00714283"/>
    <w:rsid w:val="00714382"/>
    <w:rsid w:val="007144D7"/>
    <w:rsid w:val="007145C6"/>
    <w:rsid w:val="00714935"/>
    <w:rsid w:val="00714AA5"/>
    <w:rsid w:val="00714D56"/>
    <w:rsid w:val="00714F36"/>
    <w:rsid w:val="007157E8"/>
    <w:rsid w:val="00715E21"/>
    <w:rsid w:val="0071605E"/>
    <w:rsid w:val="00716592"/>
    <w:rsid w:val="00716622"/>
    <w:rsid w:val="0071664A"/>
    <w:rsid w:val="00716DD7"/>
    <w:rsid w:val="0071703E"/>
    <w:rsid w:val="0071768A"/>
    <w:rsid w:val="0071771A"/>
    <w:rsid w:val="007201F4"/>
    <w:rsid w:val="007205E1"/>
    <w:rsid w:val="00720B25"/>
    <w:rsid w:val="00720B2B"/>
    <w:rsid w:val="00720D69"/>
    <w:rsid w:val="00720FBC"/>
    <w:rsid w:val="00721196"/>
    <w:rsid w:val="0072131D"/>
    <w:rsid w:val="00721513"/>
    <w:rsid w:val="007217D9"/>
    <w:rsid w:val="00721865"/>
    <w:rsid w:val="00721B2D"/>
    <w:rsid w:val="00721EA2"/>
    <w:rsid w:val="00721F19"/>
    <w:rsid w:val="00722408"/>
    <w:rsid w:val="0072265B"/>
    <w:rsid w:val="007228F8"/>
    <w:rsid w:val="00722A64"/>
    <w:rsid w:val="00722AB7"/>
    <w:rsid w:val="00722BCD"/>
    <w:rsid w:val="00722E0E"/>
    <w:rsid w:val="00722FFB"/>
    <w:rsid w:val="00723159"/>
    <w:rsid w:val="00723702"/>
    <w:rsid w:val="00723735"/>
    <w:rsid w:val="00723CEC"/>
    <w:rsid w:val="00723ECD"/>
    <w:rsid w:val="00723F11"/>
    <w:rsid w:val="007243D0"/>
    <w:rsid w:val="00724780"/>
    <w:rsid w:val="007247FB"/>
    <w:rsid w:val="00724817"/>
    <w:rsid w:val="007255E7"/>
    <w:rsid w:val="007256D6"/>
    <w:rsid w:val="00725ABA"/>
    <w:rsid w:val="00725C26"/>
    <w:rsid w:val="00725E2E"/>
    <w:rsid w:val="00726188"/>
    <w:rsid w:val="00726481"/>
    <w:rsid w:val="007265A6"/>
    <w:rsid w:val="007268D3"/>
    <w:rsid w:val="00726D5F"/>
    <w:rsid w:val="007274C1"/>
    <w:rsid w:val="0072762A"/>
    <w:rsid w:val="00727F53"/>
    <w:rsid w:val="00730460"/>
    <w:rsid w:val="00730543"/>
    <w:rsid w:val="007306A0"/>
    <w:rsid w:val="007308DA"/>
    <w:rsid w:val="00730D2F"/>
    <w:rsid w:val="00730EA3"/>
    <w:rsid w:val="00731091"/>
    <w:rsid w:val="00731423"/>
    <w:rsid w:val="00731578"/>
    <w:rsid w:val="00731805"/>
    <w:rsid w:val="00731ACF"/>
    <w:rsid w:val="00731AD6"/>
    <w:rsid w:val="00731CE6"/>
    <w:rsid w:val="00732139"/>
    <w:rsid w:val="00732449"/>
    <w:rsid w:val="00732458"/>
    <w:rsid w:val="007327CE"/>
    <w:rsid w:val="00732FA2"/>
    <w:rsid w:val="00733658"/>
    <w:rsid w:val="00733909"/>
    <w:rsid w:val="00733FE0"/>
    <w:rsid w:val="00733FEB"/>
    <w:rsid w:val="007342CA"/>
    <w:rsid w:val="007343D4"/>
    <w:rsid w:val="00734459"/>
    <w:rsid w:val="00734A4E"/>
    <w:rsid w:val="00734CBD"/>
    <w:rsid w:val="00734DF7"/>
    <w:rsid w:val="00734F50"/>
    <w:rsid w:val="00734F6D"/>
    <w:rsid w:val="00735201"/>
    <w:rsid w:val="00735A62"/>
    <w:rsid w:val="0073621C"/>
    <w:rsid w:val="007362D8"/>
    <w:rsid w:val="00736456"/>
    <w:rsid w:val="0073675A"/>
    <w:rsid w:val="007367DD"/>
    <w:rsid w:val="00736823"/>
    <w:rsid w:val="00736F38"/>
    <w:rsid w:val="00737052"/>
    <w:rsid w:val="00737140"/>
    <w:rsid w:val="0073751D"/>
    <w:rsid w:val="007378A4"/>
    <w:rsid w:val="00737DB9"/>
    <w:rsid w:val="00737E6C"/>
    <w:rsid w:val="00737E72"/>
    <w:rsid w:val="00740069"/>
    <w:rsid w:val="0074042E"/>
    <w:rsid w:val="0074045E"/>
    <w:rsid w:val="00740463"/>
    <w:rsid w:val="007407C0"/>
    <w:rsid w:val="00740BDD"/>
    <w:rsid w:val="00740E36"/>
    <w:rsid w:val="00740FA7"/>
    <w:rsid w:val="0074108F"/>
    <w:rsid w:val="0074152C"/>
    <w:rsid w:val="00741667"/>
    <w:rsid w:val="007419FA"/>
    <w:rsid w:val="00741A51"/>
    <w:rsid w:val="00741B8D"/>
    <w:rsid w:val="00741D1A"/>
    <w:rsid w:val="00741E09"/>
    <w:rsid w:val="00742248"/>
    <w:rsid w:val="00742460"/>
    <w:rsid w:val="00742AC8"/>
    <w:rsid w:val="00742E71"/>
    <w:rsid w:val="0074339C"/>
    <w:rsid w:val="00743477"/>
    <w:rsid w:val="007435FF"/>
    <w:rsid w:val="00743955"/>
    <w:rsid w:val="00743ADA"/>
    <w:rsid w:val="00743B1C"/>
    <w:rsid w:val="007446A5"/>
    <w:rsid w:val="007449D6"/>
    <w:rsid w:val="00744C19"/>
    <w:rsid w:val="00745760"/>
    <w:rsid w:val="00745E14"/>
    <w:rsid w:val="00745F0B"/>
    <w:rsid w:val="00746256"/>
    <w:rsid w:val="00746641"/>
    <w:rsid w:val="007472A0"/>
    <w:rsid w:val="00747703"/>
    <w:rsid w:val="00747B94"/>
    <w:rsid w:val="00750029"/>
    <w:rsid w:val="007501DE"/>
    <w:rsid w:val="0075108B"/>
    <w:rsid w:val="00751B0C"/>
    <w:rsid w:val="00751DC0"/>
    <w:rsid w:val="00751DD8"/>
    <w:rsid w:val="00752186"/>
    <w:rsid w:val="007526DB"/>
    <w:rsid w:val="00752789"/>
    <w:rsid w:val="0075302F"/>
    <w:rsid w:val="00753F87"/>
    <w:rsid w:val="00754015"/>
    <w:rsid w:val="007541EB"/>
    <w:rsid w:val="007541F6"/>
    <w:rsid w:val="007543F0"/>
    <w:rsid w:val="00754723"/>
    <w:rsid w:val="00754748"/>
    <w:rsid w:val="00754888"/>
    <w:rsid w:val="00754BFD"/>
    <w:rsid w:val="00754D68"/>
    <w:rsid w:val="00755463"/>
    <w:rsid w:val="00755496"/>
    <w:rsid w:val="007558FE"/>
    <w:rsid w:val="00756179"/>
    <w:rsid w:val="00756641"/>
    <w:rsid w:val="007569AF"/>
    <w:rsid w:val="00756EC4"/>
    <w:rsid w:val="00756F97"/>
    <w:rsid w:val="0075708D"/>
    <w:rsid w:val="0075710A"/>
    <w:rsid w:val="00757863"/>
    <w:rsid w:val="00757B15"/>
    <w:rsid w:val="00757B6D"/>
    <w:rsid w:val="00760283"/>
    <w:rsid w:val="00760348"/>
    <w:rsid w:val="00760588"/>
    <w:rsid w:val="007606E8"/>
    <w:rsid w:val="00760AEC"/>
    <w:rsid w:val="0076135A"/>
    <w:rsid w:val="007613F9"/>
    <w:rsid w:val="0076175E"/>
    <w:rsid w:val="007617FC"/>
    <w:rsid w:val="00761E14"/>
    <w:rsid w:val="007626C5"/>
    <w:rsid w:val="007628FD"/>
    <w:rsid w:val="007630F0"/>
    <w:rsid w:val="007631A1"/>
    <w:rsid w:val="0076345E"/>
    <w:rsid w:val="007634AA"/>
    <w:rsid w:val="0076376D"/>
    <w:rsid w:val="00763C70"/>
    <w:rsid w:val="00763F5A"/>
    <w:rsid w:val="00763FA7"/>
    <w:rsid w:val="00764001"/>
    <w:rsid w:val="00764023"/>
    <w:rsid w:val="0076403D"/>
    <w:rsid w:val="007640C0"/>
    <w:rsid w:val="007640F6"/>
    <w:rsid w:val="007641F3"/>
    <w:rsid w:val="00764919"/>
    <w:rsid w:val="0076498E"/>
    <w:rsid w:val="00764BBD"/>
    <w:rsid w:val="00764CED"/>
    <w:rsid w:val="007650F5"/>
    <w:rsid w:val="0076513B"/>
    <w:rsid w:val="00765276"/>
    <w:rsid w:val="007655C1"/>
    <w:rsid w:val="007656E8"/>
    <w:rsid w:val="00765957"/>
    <w:rsid w:val="00765F6B"/>
    <w:rsid w:val="00766436"/>
    <w:rsid w:val="00766A5C"/>
    <w:rsid w:val="00766C53"/>
    <w:rsid w:val="00766D68"/>
    <w:rsid w:val="00766DA0"/>
    <w:rsid w:val="00767747"/>
    <w:rsid w:val="00767BD3"/>
    <w:rsid w:val="00767D83"/>
    <w:rsid w:val="00767DAB"/>
    <w:rsid w:val="007703D6"/>
    <w:rsid w:val="00770A0B"/>
    <w:rsid w:val="00770A62"/>
    <w:rsid w:val="00770A69"/>
    <w:rsid w:val="007712B7"/>
    <w:rsid w:val="0077130A"/>
    <w:rsid w:val="0077161C"/>
    <w:rsid w:val="0077208A"/>
    <w:rsid w:val="00772D49"/>
    <w:rsid w:val="00772D85"/>
    <w:rsid w:val="00772FE0"/>
    <w:rsid w:val="0077302C"/>
    <w:rsid w:val="007734EC"/>
    <w:rsid w:val="007735C7"/>
    <w:rsid w:val="00773B1F"/>
    <w:rsid w:val="00774274"/>
    <w:rsid w:val="00774574"/>
    <w:rsid w:val="00774753"/>
    <w:rsid w:val="00774B12"/>
    <w:rsid w:val="00775079"/>
    <w:rsid w:val="007750E6"/>
    <w:rsid w:val="007750FA"/>
    <w:rsid w:val="00775722"/>
    <w:rsid w:val="007757D3"/>
    <w:rsid w:val="00775A29"/>
    <w:rsid w:val="00775AD2"/>
    <w:rsid w:val="00775B82"/>
    <w:rsid w:val="00775F3E"/>
    <w:rsid w:val="00776206"/>
    <w:rsid w:val="0077646E"/>
    <w:rsid w:val="00776663"/>
    <w:rsid w:val="007770FF"/>
    <w:rsid w:val="0077750E"/>
    <w:rsid w:val="0077761F"/>
    <w:rsid w:val="00777CFE"/>
    <w:rsid w:val="00777DAA"/>
    <w:rsid w:val="00780159"/>
    <w:rsid w:val="007801B3"/>
    <w:rsid w:val="007803E2"/>
    <w:rsid w:val="0078051B"/>
    <w:rsid w:val="00780D85"/>
    <w:rsid w:val="007814F7"/>
    <w:rsid w:val="00781833"/>
    <w:rsid w:val="00781E10"/>
    <w:rsid w:val="007821F9"/>
    <w:rsid w:val="0078256E"/>
    <w:rsid w:val="007826FA"/>
    <w:rsid w:val="00782828"/>
    <w:rsid w:val="007829E5"/>
    <w:rsid w:val="00782CAF"/>
    <w:rsid w:val="007832FB"/>
    <w:rsid w:val="007832FF"/>
    <w:rsid w:val="0078345A"/>
    <w:rsid w:val="00783B32"/>
    <w:rsid w:val="00783E98"/>
    <w:rsid w:val="00783F1C"/>
    <w:rsid w:val="0078404C"/>
    <w:rsid w:val="00784378"/>
    <w:rsid w:val="007847AF"/>
    <w:rsid w:val="00784DA9"/>
    <w:rsid w:val="00784EAD"/>
    <w:rsid w:val="00785125"/>
    <w:rsid w:val="007855EB"/>
    <w:rsid w:val="00785709"/>
    <w:rsid w:val="00785B24"/>
    <w:rsid w:val="00786842"/>
    <w:rsid w:val="00786C8D"/>
    <w:rsid w:val="00787918"/>
    <w:rsid w:val="0078799F"/>
    <w:rsid w:val="00787D26"/>
    <w:rsid w:val="00787F8A"/>
    <w:rsid w:val="007902E0"/>
    <w:rsid w:val="0079055A"/>
    <w:rsid w:val="007907C2"/>
    <w:rsid w:val="007908FF"/>
    <w:rsid w:val="00790AB6"/>
    <w:rsid w:val="00790D63"/>
    <w:rsid w:val="0079156D"/>
    <w:rsid w:val="00791798"/>
    <w:rsid w:val="007919A7"/>
    <w:rsid w:val="00791ECA"/>
    <w:rsid w:val="00792032"/>
    <w:rsid w:val="0079205B"/>
    <w:rsid w:val="007926D9"/>
    <w:rsid w:val="00792917"/>
    <w:rsid w:val="00792AB3"/>
    <w:rsid w:val="00792D2F"/>
    <w:rsid w:val="00792E4A"/>
    <w:rsid w:val="00792FA9"/>
    <w:rsid w:val="007933E4"/>
    <w:rsid w:val="007938D7"/>
    <w:rsid w:val="00793B43"/>
    <w:rsid w:val="00793D2B"/>
    <w:rsid w:val="00793E3E"/>
    <w:rsid w:val="00794215"/>
    <w:rsid w:val="007944C5"/>
    <w:rsid w:val="00794787"/>
    <w:rsid w:val="00794A1C"/>
    <w:rsid w:val="00794B36"/>
    <w:rsid w:val="0079503B"/>
    <w:rsid w:val="00795236"/>
    <w:rsid w:val="00795376"/>
    <w:rsid w:val="00795921"/>
    <w:rsid w:val="00796110"/>
    <w:rsid w:val="0079612B"/>
    <w:rsid w:val="007961F3"/>
    <w:rsid w:val="00796239"/>
    <w:rsid w:val="00796515"/>
    <w:rsid w:val="00796A63"/>
    <w:rsid w:val="00796CE4"/>
    <w:rsid w:val="00796E8C"/>
    <w:rsid w:val="007975A9"/>
    <w:rsid w:val="00797984"/>
    <w:rsid w:val="007979F4"/>
    <w:rsid w:val="00797E3C"/>
    <w:rsid w:val="007A03AA"/>
    <w:rsid w:val="007A070E"/>
    <w:rsid w:val="007A0792"/>
    <w:rsid w:val="007A0C86"/>
    <w:rsid w:val="007A0DDA"/>
    <w:rsid w:val="007A0F52"/>
    <w:rsid w:val="007A10D9"/>
    <w:rsid w:val="007A1284"/>
    <w:rsid w:val="007A12A4"/>
    <w:rsid w:val="007A15D2"/>
    <w:rsid w:val="007A169E"/>
    <w:rsid w:val="007A187E"/>
    <w:rsid w:val="007A1974"/>
    <w:rsid w:val="007A1A17"/>
    <w:rsid w:val="007A1A7E"/>
    <w:rsid w:val="007A1ACE"/>
    <w:rsid w:val="007A1DA0"/>
    <w:rsid w:val="007A21A4"/>
    <w:rsid w:val="007A21F9"/>
    <w:rsid w:val="007A2C0C"/>
    <w:rsid w:val="007A2CA8"/>
    <w:rsid w:val="007A2D28"/>
    <w:rsid w:val="007A2E72"/>
    <w:rsid w:val="007A2EF9"/>
    <w:rsid w:val="007A3024"/>
    <w:rsid w:val="007A3550"/>
    <w:rsid w:val="007A35F5"/>
    <w:rsid w:val="007A37C6"/>
    <w:rsid w:val="007A3925"/>
    <w:rsid w:val="007A3C03"/>
    <w:rsid w:val="007A410F"/>
    <w:rsid w:val="007A4331"/>
    <w:rsid w:val="007A4892"/>
    <w:rsid w:val="007A4B1C"/>
    <w:rsid w:val="007A4B28"/>
    <w:rsid w:val="007A4B9D"/>
    <w:rsid w:val="007A4CC7"/>
    <w:rsid w:val="007A5433"/>
    <w:rsid w:val="007A5742"/>
    <w:rsid w:val="007A57E1"/>
    <w:rsid w:val="007A5D5D"/>
    <w:rsid w:val="007A5D6E"/>
    <w:rsid w:val="007A61D6"/>
    <w:rsid w:val="007A66B6"/>
    <w:rsid w:val="007A6AAF"/>
    <w:rsid w:val="007A6B87"/>
    <w:rsid w:val="007A6DC6"/>
    <w:rsid w:val="007A6DF1"/>
    <w:rsid w:val="007A70A4"/>
    <w:rsid w:val="007A7494"/>
    <w:rsid w:val="007A74DC"/>
    <w:rsid w:val="007A74ED"/>
    <w:rsid w:val="007A75A3"/>
    <w:rsid w:val="007A7FC1"/>
    <w:rsid w:val="007B019E"/>
    <w:rsid w:val="007B041F"/>
    <w:rsid w:val="007B04DE"/>
    <w:rsid w:val="007B06C0"/>
    <w:rsid w:val="007B113B"/>
    <w:rsid w:val="007B1246"/>
    <w:rsid w:val="007B14A6"/>
    <w:rsid w:val="007B16D8"/>
    <w:rsid w:val="007B18A0"/>
    <w:rsid w:val="007B1907"/>
    <w:rsid w:val="007B1A27"/>
    <w:rsid w:val="007B218E"/>
    <w:rsid w:val="007B26CB"/>
    <w:rsid w:val="007B28EC"/>
    <w:rsid w:val="007B2B44"/>
    <w:rsid w:val="007B3211"/>
    <w:rsid w:val="007B3332"/>
    <w:rsid w:val="007B3343"/>
    <w:rsid w:val="007B3B02"/>
    <w:rsid w:val="007B3F27"/>
    <w:rsid w:val="007B45EE"/>
    <w:rsid w:val="007B469D"/>
    <w:rsid w:val="007B5BE7"/>
    <w:rsid w:val="007B609E"/>
    <w:rsid w:val="007B6357"/>
    <w:rsid w:val="007B647A"/>
    <w:rsid w:val="007B7566"/>
    <w:rsid w:val="007B763F"/>
    <w:rsid w:val="007B785B"/>
    <w:rsid w:val="007C00A8"/>
    <w:rsid w:val="007C040B"/>
    <w:rsid w:val="007C07F2"/>
    <w:rsid w:val="007C0B34"/>
    <w:rsid w:val="007C0CC9"/>
    <w:rsid w:val="007C0CE7"/>
    <w:rsid w:val="007C146F"/>
    <w:rsid w:val="007C1789"/>
    <w:rsid w:val="007C1DEA"/>
    <w:rsid w:val="007C1F74"/>
    <w:rsid w:val="007C2037"/>
    <w:rsid w:val="007C2798"/>
    <w:rsid w:val="007C27FE"/>
    <w:rsid w:val="007C2988"/>
    <w:rsid w:val="007C2E1F"/>
    <w:rsid w:val="007C34CB"/>
    <w:rsid w:val="007C35B0"/>
    <w:rsid w:val="007C3748"/>
    <w:rsid w:val="007C38D2"/>
    <w:rsid w:val="007C4197"/>
    <w:rsid w:val="007C44BD"/>
    <w:rsid w:val="007C4962"/>
    <w:rsid w:val="007C4A88"/>
    <w:rsid w:val="007C4AF2"/>
    <w:rsid w:val="007C4E95"/>
    <w:rsid w:val="007C50D5"/>
    <w:rsid w:val="007C55AF"/>
    <w:rsid w:val="007C5945"/>
    <w:rsid w:val="007C5B18"/>
    <w:rsid w:val="007C5B8F"/>
    <w:rsid w:val="007C6221"/>
    <w:rsid w:val="007C6853"/>
    <w:rsid w:val="007C6F03"/>
    <w:rsid w:val="007C6FC2"/>
    <w:rsid w:val="007C76B3"/>
    <w:rsid w:val="007C79D3"/>
    <w:rsid w:val="007C7A42"/>
    <w:rsid w:val="007C7B28"/>
    <w:rsid w:val="007C7DC2"/>
    <w:rsid w:val="007D056D"/>
    <w:rsid w:val="007D080A"/>
    <w:rsid w:val="007D0A05"/>
    <w:rsid w:val="007D0C4D"/>
    <w:rsid w:val="007D0D45"/>
    <w:rsid w:val="007D25CB"/>
    <w:rsid w:val="007D277B"/>
    <w:rsid w:val="007D2821"/>
    <w:rsid w:val="007D28F7"/>
    <w:rsid w:val="007D2A70"/>
    <w:rsid w:val="007D3054"/>
    <w:rsid w:val="007D331E"/>
    <w:rsid w:val="007D36C3"/>
    <w:rsid w:val="007D37AD"/>
    <w:rsid w:val="007D3B52"/>
    <w:rsid w:val="007D3E40"/>
    <w:rsid w:val="007D3FA2"/>
    <w:rsid w:val="007D4948"/>
    <w:rsid w:val="007D4FFB"/>
    <w:rsid w:val="007D5206"/>
    <w:rsid w:val="007D55D4"/>
    <w:rsid w:val="007D5B12"/>
    <w:rsid w:val="007D5C7A"/>
    <w:rsid w:val="007D5D64"/>
    <w:rsid w:val="007D5EA6"/>
    <w:rsid w:val="007D6002"/>
    <w:rsid w:val="007D63EA"/>
    <w:rsid w:val="007D653D"/>
    <w:rsid w:val="007D6C92"/>
    <w:rsid w:val="007D6EB8"/>
    <w:rsid w:val="007D7149"/>
    <w:rsid w:val="007D7252"/>
    <w:rsid w:val="007D72CB"/>
    <w:rsid w:val="007D732D"/>
    <w:rsid w:val="007D773C"/>
    <w:rsid w:val="007D7F41"/>
    <w:rsid w:val="007E021D"/>
    <w:rsid w:val="007E0320"/>
    <w:rsid w:val="007E05B6"/>
    <w:rsid w:val="007E0910"/>
    <w:rsid w:val="007E0DF2"/>
    <w:rsid w:val="007E112F"/>
    <w:rsid w:val="007E13B0"/>
    <w:rsid w:val="007E14F0"/>
    <w:rsid w:val="007E1B98"/>
    <w:rsid w:val="007E2837"/>
    <w:rsid w:val="007E2A02"/>
    <w:rsid w:val="007E2AC1"/>
    <w:rsid w:val="007E2E42"/>
    <w:rsid w:val="007E3326"/>
    <w:rsid w:val="007E3A09"/>
    <w:rsid w:val="007E3AFE"/>
    <w:rsid w:val="007E3D76"/>
    <w:rsid w:val="007E401F"/>
    <w:rsid w:val="007E4462"/>
    <w:rsid w:val="007E4485"/>
    <w:rsid w:val="007E45D9"/>
    <w:rsid w:val="007E4722"/>
    <w:rsid w:val="007E48C1"/>
    <w:rsid w:val="007E4B17"/>
    <w:rsid w:val="007E4F58"/>
    <w:rsid w:val="007E51FE"/>
    <w:rsid w:val="007E54F2"/>
    <w:rsid w:val="007E5838"/>
    <w:rsid w:val="007E6090"/>
    <w:rsid w:val="007E60BE"/>
    <w:rsid w:val="007E6397"/>
    <w:rsid w:val="007E74B5"/>
    <w:rsid w:val="007E7DE5"/>
    <w:rsid w:val="007F0877"/>
    <w:rsid w:val="007F0DA3"/>
    <w:rsid w:val="007F0E78"/>
    <w:rsid w:val="007F0E8F"/>
    <w:rsid w:val="007F15C4"/>
    <w:rsid w:val="007F16CB"/>
    <w:rsid w:val="007F189B"/>
    <w:rsid w:val="007F18AE"/>
    <w:rsid w:val="007F18D6"/>
    <w:rsid w:val="007F1906"/>
    <w:rsid w:val="007F1960"/>
    <w:rsid w:val="007F1B6C"/>
    <w:rsid w:val="007F1C92"/>
    <w:rsid w:val="007F1F3E"/>
    <w:rsid w:val="007F217B"/>
    <w:rsid w:val="007F217F"/>
    <w:rsid w:val="007F227E"/>
    <w:rsid w:val="007F2A32"/>
    <w:rsid w:val="007F366C"/>
    <w:rsid w:val="007F3AE7"/>
    <w:rsid w:val="007F3B62"/>
    <w:rsid w:val="007F44B3"/>
    <w:rsid w:val="007F45EF"/>
    <w:rsid w:val="007F4D93"/>
    <w:rsid w:val="007F4F10"/>
    <w:rsid w:val="007F5069"/>
    <w:rsid w:val="007F532B"/>
    <w:rsid w:val="007F5989"/>
    <w:rsid w:val="007F5BF3"/>
    <w:rsid w:val="007F5F83"/>
    <w:rsid w:val="007F60F4"/>
    <w:rsid w:val="007F6B4A"/>
    <w:rsid w:val="007F6D1C"/>
    <w:rsid w:val="007F6F00"/>
    <w:rsid w:val="007F7B5C"/>
    <w:rsid w:val="007F7BD1"/>
    <w:rsid w:val="007F7DE9"/>
    <w:rsid w:val="007F7E76"/>
    <w:rsid w:val="00800703"/>
    <w:rsid w:val="008007EE"/>
    <w:rsid w:val="008011C1"/>
    <w:rsid w:val="008015F7"/>
    <w:rsid w:val="00801733"/>
    <w:rsid w:val="00801A36"/>
    <w:rsid w:val="00801A3C"/>
    <w:rsid w:val="00801B46"/>
    <w:rsid w:val="00801D0F"/>
    <w:rsid w:val="00801D9C"/>
    <w:rsid w:val="00802019"/>
    <w:rsid w:val="008022A1"/>
    <w:rsid w:val="008024AD"/>
    <w:rsid w:val="00802F74"/>
    <w:rsid w:val="00802F87"/>
    <w:rsid w:val="008030DB"/>
    <w:rsid w:val="0080312A"/>
    <w:rsid w:val="00803217"/>
    <w:rsid w:val="00803362"/>
    <w:rsid w:val="0080339C"/>
    <w:rsid w:val="008037C3"/>
    <w:rsid w:val="00803C6D"/>
    <w:rsid w:val="00803CD8"/>
    <w:rsid w:val="00803DEA"/>
    <w:rsid w:val="00803EB6"/>
    <w:rsid w:val="00803FFD"/>
    <w:rsid w:val="00804002"/>
    <w:rsid w:val="00804361"/>
    <w:rsid w:val="008048C8"/>
    <w:rsid w:val="008048FF"/>
    <w:rsid w:val="00804B45"/>
    <w:rsid w:val="0080506F"/>
    <w:rsid w:val="00805577"/>
    <w:rsid w:val="0080589B"/>
    <w:rsid w:val="00805B3D"/>
    <w:rsid w:val="00805B50"/>
    <w:rsid w:val="00805F1B"/>
    <w:rsid w:val="00805FE3"/>
    <w:rsid w:val="008066B4"/>
    <w:rsid w:val="00806768"/>
    <w:rsid w:val="008070FF"/>
    <w:rsid w:val="0080710D"/>
    <w:rsid w:val="0080710F"/>
    <w:rsid w:val="0080760D"/>
    <w:rsid w:val="00807674"/>
    <w:rsid w:val="00807C73"/>
    <w:rsid w:val="0081003B"/>
    <w:rsid w:val="008102E0"/>
    <w:rsid w:val="00810518"/>
    <w:rsid w:val="00810645"/>
    <w:rsid w:val="00810B61"/>
    <w:rsid w:val="00810B88"/>
    <w:rsid w:val="00810CEA"/>
    <w:rsid w:val="0081113D"/>
    <w:rsid w:val="00811319"/>
    <w:rsid w:val="008114DE"/>
    <w:rsid w:val="00811586"/>
    <w:rsid w:val="008116CA"/>
    <w:rsid w:val="00811C5A"/>
    <w:rsid w:val="00811D35"/>
    <w:rsid w:val="00811F28"/>
    <w:rsid w:val="00811F78"/>
    <w:rsid w:val="00812133"/>
    <w:rsid w:val="008123A4"/>
    <w:rsid w:val="008125B9"/>
    <w:rsid w:val="00812608"/>
    <w:rsid w:val="00812B27"/>
    <w:rsid w:val="00812B8A"/>
    <w:rsid w:val="00812D46"/>
    <w:rsid w:val="008130EB"/>
    <w:rsid w:val="0081324D"/>
    <w:rsid w:val="00813588"/>
    <w:rsid w:val="0081385A"/>
    <w:rsid w:val="00813D40"/>
    <w:rsid w:val="00813E50"/>
    <w:rsid w:val="00813EE2"/>
    <w:rsid w:val="00813FEA"/>
    <w:rsid w:val="00814147"/>
    <w:rsid w:val="00814242"/>
    <w:rsid w:val="008143DB"/>
    <w:rsid w:val="00814465"/>
    <w:rsid w:val="008144F4"/>
    <w:rsid w:val="00814AB3"/>
    <w:rsid w:val="00814F73"/>
    <w:rsid w:val="008150D7"/>
    <w:rsid w:val="008151C8"/>
    <w:rsid w:val="0081565D"/>
    <w:rsid w:val="00815F2D"/>
    <w:rsid w:val="00815FC7"/>
    <w:rsid w:val="008163A7"/>
    <w:rsid w:val="00816775"/>
    <w:rsid w:val="00816FAD"/>
    <w:rsid w:val="00817173"/>
    <w:rsid w:val="008173FE"/>
    <w:rsid w:val="00817528"/>
    <w:rsid w:val="00817759"/>
    <w:rsid w:val="008178BB"/>
    <w:rsid w:val="00817B4B"/>
    <w:rsid w:val="00817B75"/>
    <w:rsid w:val="00817CEF"/>
    <w:rsid w:val="0082015E"/>
    <w:rsid w:val="00820230"/>
    <w:rsid w:val="008204FC"/>
    <w:rsid w:val="0082061E"/>
    <w:rsid w:val="00820656"/>
    <w:rsid w:val="00820751"/>
    <w:rsid w:val="00820B9C"/>
    <w:rsid w:val="00820CD2"/>
    <w:rsid w:val="00820DFD"/>
    <w:rsid w:val="00820F1B"/>
    <w:rsid w:val="008210FC"/>
    <w:rsid w:val="008211A8"/>
    <w:rsid w:val="00821AE8"/>
    <w:rsid w:val="00821E6E"/>
    <w:rsid w:val="00822105"/>
    <w:rsid w:val="00822864"/>
    <w:rsid w:val="00822A5F"/>
    <w:rsid w:val="00822D83"/>
    <w:rsid w:val="00822FE0"/>
    <w:rsid w:val="00823433"/>
    <w:rsid w:val="0082371A"/>
    <w:rsid w:val="00823859"/>
    <w:rsid w:val="00823974"/>
    <w:rsid w:val="00823F97"/>
    <w:rsid w:val="0082434C"/>
    <w:rsid w:val="008248CE"/>
    <w:rsid w:val="00824B54"/>
    <w:rsid w:val="00824C3E"/>
    <w:rsid w:val="00824C64"/>
    <w:rsid w:val="00824E06"/>
    <w:rsid w:val="00825607"/>
    <w:rsid w:val="00825892"/>
    <w:rsid w:val="008259E7"/>
    <w:rsid w:val="008260D1"/>
    <w:rsid w:val="00826987"/>
    <w:rsid w:val="00826DBC"/>
    <w:rsid w:val="00827270"/>
    <w:rsid w:val="008277AA"/>
    <w:rsid w:val="00827B0E"/>
    <w:rsid w:val="0083028F"/>
    <w:rsid w:val="008304B0"/>
    <w:rsid w:val="00830645"/>
    <w:rsid w:val="00830999"/>
    <w:rsid w:val="008309A2"/>
    <w:rsid w:val="00830D50"/>
    <w:rsid w:val="00830DED"/>
    <w:rsid w:val="00830EAC"/>
    <w:rsid w:val="00830FE4"/>
    <w:rsid w:val="008318CF"/>
    <w:rsid w:val="00831B72"/>
    <w:rsid w:val="00831D40"/>
    <w:rsid w:val="00831E35"/>
    <w:rsid w:val="00831EA5"/>
    <w:rsid w:val="0083224D"/>
    <w:rsid w:val="008322D9"/>
    <w:rsid w:val="0083259B"/>
    <w:rsid w:val="00832688"/>
    <w:rsid w:val="00832878"/>
    <w:rsid w:val="00833037"/>
    <w:rsid w:val="008330F2"/>
    <w:rsid w:val="0083365D"/>
    <w:rsid w:val="00833D1E"/>
    <w:rsid w:val="0083445E"/>
    <w:rsid w:val="0083478F"/>
    <w:rsid w:val="008349A6"/>
    <w:rsid w:val="00834A17"/>
    <w:rsid w:val="00835126"/>
    <w:rsid w:val="0083542A"/>
    <w:rsid w:val="0083568F"/>
    <w:rsid w:val="0083573F"/>
    <w:rsid w:val="008357C6"/>
    <w:rsid w:val="00835B7A"/>
    <w:rsid w:val="00835CD2"/>
    <w:rsid w:val="00835EBF"/>
    <w:rsid w:val="00835FCD"/>
    <w:rsid w:val="008362AC"/>
    <w:rsid w:val="008363BD"/>
    <w:rsid w:val="008363BF"/>
    <w:rsid w:val="0083648E"/>
    <w:rsid w:val="00836765"/>
    <w:rsid w:val="00836A0C"/>
    <w:rsid w:val="0083720E"/>
    <w:rsid w:val="0083753A"/>
    <w:rsid w:val="00837598"/>
    <w:rsid w:val="0083761E"/>
    <w:rsid w:val="00837782"/>
    <w:rsid w:val="0083781F"/>
    <w:rsid w:val="008378A4"/>
    <w:rsid w:val="008378DC"/>
    <w:rsid w:val="00837E5A"/>
    <w:rsid w:val="00837F63"/>
    <w:rsid w:val="008400B8"/>
    <w:rsid w:val="00840194"/>
    <w:rsid w:val="00840266"/>
    <w:rsid w:val="00840B3E"/>
    <w:rsid w:val="00840D0F"/>
    <w:rsid w:val="00840DC9"/>
    <w:rsid w:val="00841170"/>
    <w:rsid w:val="00841899"/>
    <w:rsid w:val="00841E4D"/>
    <w:rsid w:val="00841E5A"/>
    <w:rsid w:val="00841FD2"/>
    <w:rsid w:val="008420A6"/>
    <w:rsid w:val="00842358"/>
    <w:rsid w:val="00842923"/>
    <w:rsid w:val="00842C70"/>
    <w:rsid w:val="00843143"/>
    <w:rsid w:val="0084339A"/>
    <w:rsid w:val="0084381B"/>
    <w:rsid w:val="008439EE"/>
    <w:rsid w:val="00843A9E"/>
    <w:rsid w:val="00843AC6"/>
    <w:rsid w:val="00843BE1"/>
    <w:rsid w:val="00843BE3"/>
    <w:rsid w:val="00843EB9"/>
    <w:rsid w:val="008440F3"/>
    <w:rsid w:val="00844BD7"/>
    <w:rsid w:val="008451A8"/>
    <w:rsid w:val="00845F59"/>
    <w:rsid w:val="0084625D"/>
    <w:rsid w:val="008463FD"/>
    <w:rsid w:val="008466EA"/>
    <w:rsid w:val="0084699B"/>
    <w:rsid w:val="00847619"/>
    <w:rsid w:val="00847790"/>
    <w:rsid w:val="008477BA"/>
    <w:rsid w:val="008479F1"/>
    <w:rsid w:val="00847B69"/>
    <w:rsid w:val="00850035"/>
    <w:rsid w:val="008500DE"/>
    <w:rsid w:val="0085042A"/>
    <w:rsid w:val="00850FE0"/>
    <w:rsid w:val="008517AA"/>
    <w:rsid w:val="008521DD"/>
    <w:rsid w:val="0085282F"/>
    <w:rsid w:val="00852A7E"/>
    <w:rsid w:val="00853030"/>
    <w:rsid w:val="0085343B"/>
    <w:rsid w:val="00853599"/>
    <w:rsid w:val="00853722"/>
    <w:rsid w:val="00853940"/>
    <w:rsid w:val="00854398"/>
    <w:rsid w:val="008543DB"/>
    <w:rsid w:val="0085442A"/>
    <w:rsid w:val="00854485"/>
    <w:rsid w:val="008544F2"/>
    <w:rsid w:val="00854782"/>
    <w:rsid w:val="00855052"/>
    <w:rsid w:val="008550D3"/>
    <w:rsid w:val="00855381"/>
    <w:rsid w:val="00855860"/>
    <w:rsid w:val="00855C36"/>
    <w:rsid w:val="00855EBB"/>
    <w:rsid w:val="00855FB8"/>
    <w:rsid w:val="0085609C"/>
    <w:rsid w:val="008563FC"/>
    <w:rsid w:val="00856577"/>
    <w:rsid w:val="0085664E"/>
    <w:rsid w:val="00856E75"/>
    <w:rsid w:val="00857282"/>
    <w:rsid w:val="00857A8B"/>
    <w:rsid w:val="00857D20"/>
    <w:rsid w:val="008601B9"/>
    <w:rsid w:val="0086024B"/>
    <w:rsid w:val="0086038B"/>
    <w:rsid w:val="008603FB"/>
    <w:rsid w:val="0086042C"/>
    <w:rsid w:val="00860854"/>
    <w:rsid w:val="00860F44"/>
    <w:rsid w:val="00861182"/>
    <w:rsid w:val="00861464"/>
    <w:rsid w:val="008616BE"/>
    <w:rsid w:val="00861CBF"/>
    <w:rsid w:val="00861EA4"/>
    <w:rsid w:val="00862052"/>
    <w:rsid w:val="008628A9"/>
    <w:rsid w:val="00862BD1"/>
    <w:rsid w:val="00862EE5"/>
    <w:rsid w:val="0086301F"/>
    <w:rsid w:val="008632D4"/>
    <w:rsid w:val="00863610"/>
    <w:rsid w:val="0086372C"/>
    <w:rsid w:val="0086384F"/>
    <w:rsid w:val="00863DFD"/>
    <w:rsid w:val="0086468C"/>
    <w:rsid w:val="00864843"/>
    <w:rsid w:val="008649FD"/>
    <w:rsid w:val="00864AD0"/>
    <w:rsid w:val="00864BFB"/>
    <w:rsid w:val="00864C85"/>
    <w:rsid w:val="008653E1"/>
    <w:rsid w:val="00865653"/>
    <w:rsid w:val="00865674"/>
    <w:rsid w:val="008657EB"/>
    <w:rsid w:val="00865B06"/>
    <w:rsid w:val="00865C13"/>
    <w:rsid w:val="00865C7D"/>
    <w:rsid w:val="00865EE9"/>
    <w:rsid w:val="008664C8"/>
    <w:rsid w:val="008665A2"/>
    <w:rsid w:val="00866679"/>
    <w:rsid w:val="00866B0F"/>
    <w:rsid w:val="00866FBE"/>
    <w:rsid w:val="00867296"/>
    <w:rsid w:val="0086733E"/>
    <w:rsid w:val="00867656"/>
    <w:rsid w:val="00867937"/>
    <w:rsid w:val="00867A48"/>
    <w:rsid w:val="00867AE1"/>
    <w:rsid w:val="00870213"/>
    <w:rsid w:val="00870372"/>
    <w:rsid w:val="00870AF0"/>
    <w:rsid w:val="0087112F"/>
    <w:rsid w:val="00871853"/>
    <w:rsid w:val="008718B2"/>
    <w:rsid w:val="0087198A"/>
    <w:rsid w:val="00871EEE"/>
    <w:rsid w:val="00871FAA"/>
    <w:rsid w:val="0087232A"/>
    <w:rsid w:val="00872381"/>
    <w:rsid w:val="00872454"/>
    <w:rsid w:val="00872915"/>
    <w:rsid w:val="00872BA9"/>
    <w:rsid w:val="00872C82"/>
    <w:rsid w:val="00872F99"/>
    <w:rsid w:val="008731CB"/>
    <w:rsid w:val="0087323F"/>
    <w:rsid w:val="008735A2"/>
    <w:rsid w:val="00873611"/>
    <w:rsid w:val="00873737"/>
    <w:rsid w:val="00873A9B"/>
    <w:rsid w:val="00873D34"/>
    <w:rsid w:val="00874991"/>
    <w:rsid w:val="00874D7F"/>
    <w:rsid w:val="00875039"/>
    <w:rsid w:val="00875702"/>
    <w:rsid w:val="008758B0"/>
    <w:rsid w:val="00875903"/>
    <w:rsid w:val="00875A7F"/>
    <w:rsid w:val="00875BB6"/>
    <w:rsid w:val="00875CEB"/>
    <w:rsid w:val="00875DDD"/>
    <w:rsid w:val="00875E54"/>
    <w:rsid w:val="00875F88"/>
    <w:rsid w:val="008764BB"/>
    <w:rsid w:val="00876837"/>
    <w:rsid w:val="00876AF5"/>
    <w:rsid w:val="00876ED3"/>
    <w:rsid w:val="00877105"/>
    <w:rsid w:val="00877115"/>
    <w:rsid w:val="008773E4"/>
    <w:rsid w:val="0087770F"/>
    <w:rsid w:val="00877805"/>
    <w:rsid w:val="00877807"/>
    <w:rsid w:val="00877F4A"/>
    <w:rsid w:val="00880084"/>
    <w:rsid w:val="00880179"/>
    <w:rsid w:val="00880502"/>
    <w:rsid w:val="0088062A"/>
    <w:rsid w:val="00880668"/>
    <w:rsid w:val="008808C3"/>
    <w:rsid w:val="00880E1B"/>
    <w:rsid w:val="00880FDB"/>
    <w:rsid w:val="008810B4"/>
    <w:rsid w:val="0088112E"/>
    <w:rsid w:val="00881205"/>
    <w:rsid w:val="008813BA"/>
    <w:rsid w:val="00881400"/>
    <w:rsid w:val="00881886"/>
    <w:rsid w:val="008818BD"/>
    <w:rsid w:val="00882391"/>
    <w:rsid w:val="008823D4"/>
    <w:rsid w:val="008824EC"/>
    <w:rsid w:val="00882500"/>
    <w:rsid w:val="0088254B"/>
    <w:rsid w:val="00882732"/>
    <w:rsid w:val="00882C27"/>
    <w:rsid w:val="00882CA9"/>
    <w:rsid w:val="00882E2C"/>
    <w:rsid w:val="00883036"/>
    <w:rsid w:val="00883154"/>
    <w:rsid w:val="00883357"/>
    <w:rsid w:val="008835E2"/>
    <w:rsid w:val="008837F9"/>
    <w:rsid w:val="008838D7"/>
    <w:rsid w:val="00883976"/>
    <w:rsid w:val="00883A74"/>
    <w:rsid w:val="00883F89"/>
    <w:rsid w:val="008843B7"/>
    <w:rsid w:val="00884850"/>
    <w:rsid w:val="0088498D"/>
    <w:rsid w:val="00884CDA"/>
    <w:rsid w:val="00884E61"/>
    <w:rsid w:val="0088532A"/>
    <w:rsid w:val="00885452"/>
    <w:rsid w:val="0088549C"/>
    <w:rsid w:val="0088573E"/>
    <w:rsid w:val="0088592A"/>
    <w:rsid w:val="00885D2C"/>
    <w:rsid w:val="00885E71"/>
    <w:rsid w:val="00885F1A"/>
    <w:rsid w:val="008865F7"/>
    <w:rsid w:val="00886ED7"/>
    <w:rsid w:val="00886F59"/>
    <w:rsid w:val="008872BC"/>
    <w:rsid w:val="0088743E"/>
    <w:rsid w:val="008874E5"/>
    <w:rsid w:val="00887DBF"/>
    <w:rsid w:val="008901E7"/>
    <w:rsid w:val="008902E1"/>
    <w:rsid w:val="00891352"/>
    <w:rsid w:val="008918AC"/>
    <w:rsid w:val="00891A3B"/>
    <w:rsid w:val="00892262"/>
    <w:rsid w:val="008925A8"/>
    <w:rsid w:val="008926AA"/>
    <w:rsid w:val="00892791"/>
    <w:rsid w:val="00892E60"/>
    <w:rsid w:val="0089324B"/>
    <w:rsid w:val="00893817"/>
    <w:rsid w:val="00893BCC"/>
    <w:rsid w:val="00894012"/>
    <w:rsid w:val="008940DF"/>
    <w:rsid w:val="00894F2F"/>
    <w:rsid w:val="0089539B"/>
    <w:rsid w:val="008959B0"/>
    <w:rsid w:val="00895FB9"/>
    <w:rsid w:val="008960B0"/>
    <w:rsid w:val="0089639B"/>
    <w:rsid w:val="008966B0"/>
    <w:rsid w:val="00896C77"/>
    <w:rsid w:val="008970EB"/>
    <w:rsid w:val="0089788A"/>
    <w:rsid w:val="00897AEE"/>
    <w:rsid w:val="00897C22"/>
    <w:rsid w:val="00897CE7"/>
    <w:rsid w:val="00897E54"/>
    <w:rsid w:val="008A05AA"/>
    <w:rsid w:val="008A0ABE"/>
    <w:rsid w:val="008A0D6D"/>
    <w:rsid w:val="008A102D"/>
    <w:rsid w:val="008A124C"/>
    <w:rsid w:val="008A17D5"/>
    <w:rsid w:val="008A1929"/>
    <w:rsid w:val="008A1A4C"/>
    <w:rsid w:val="008A1A54"/>
    <w:rsid w:val="008A1BFB"/>
    <w:rsid w:val="008A207D"/>
    <w:rsid w:val="008A2350"/>
    <w:rsid w:val="008A298B"/>
    <w:rsid w:val="008A2BC9"/>
    <w:rsid w:val="008A2C0F"/>
    <w:rsid w:val="008A2F33"/>
    <w:rsid w:val="008A2FC4"/>
    <w:rsid w:val="008A2FF7"/>
    <w:rsid w:val="008A3016"/>
    <w:rsid w:val="008A31C1"/>
    <w:rsid w:val="008A35E2"/>
    <w:rsid w:val="008A3F1C"/>
    <w:rsid w:val="008A41F1"/>
    <w:rsid w:val="008A425D"/>
    <w:rsid w:val="008A4367"/>
    <w:rsid w:val="008A4534"/>
    <w:rsid w:val="008A456B"/>
    <w:rsid w:val="008A45AD"/>
    <w:rsid w:val="008A49B2"/>
    <w:rsid w:val="008A4F52"/>
    <w:rsid w:val="008A579F"/>
    <w:rsid w:val="008A5A53"/>
    <w:rsid w:val="008A5D57"/>
    <w:rsid w:val="008A5FD7"/>
    <w:rsid w:val="008A6322"/>
    <w:rsid w:val="008A67FE"/>
    <w:rsid w:val="008A6BCE"/>
    <w:rsid w:val="008A6C16"/>
    <w:rsid w:val="008A7232"/>
    <w:rsid w:val="008A7682"/>
    <w:rsid w:val="008A778E"/>
    <w:rsid w:val="008A7B06"/>
    <w:rsid w:val="008A7C48"/>
    <w:rsid w:val="008B00FE"/>
    <w:rsid w:val="008B076F"/>
    <w:rsid w:val="008B09D3"/>
    <w:rsid w:val="008B1317"/>
    <w:rsid w:val="008B141A"/>
    <w:rsid w:val="008B165D"/>
    <w:rsid w:val="008B16BE"/>
    <w:rsid w:val="008B1983"/>
    <w:rsid w:val="008B1CEE"/>
    <w:rsid w:val="008B1D16"/>
    <w:rsid w:val="008B20DF"/>
    <w:rsid w:val="008B2104"/>
    <w:rsid w:val="008B2720"/>
    <w:rsid w:val="008B2803"/>
    <w:rsid w:val="008B28EB"/>
    <w:rsid w:val="008B44A6"/>
    <w:rsid w:val="008B46CA"/>
    <w:rsid w:val="008B4712"/>
    <w:rsid w:val="008B49A2"/>
    <w:rsid w:val="008B4EB8"/>
    <w:rsid w:val="008B54B9"/>
    <w:rsid w:val="008B55F3"/>
    <w:rsid w:val="008B5DFF"/>
    <w:rsid w:val="008B5E43"/>
    <w:rsid w:val="008B614D"/>
    <w:rsid w:val="008B6618"/>
    <w:rsid w:val="008B6F84"/>
    <w:rsid w:val="008B6F88"/>
    <w:rsid w:val="008B6FC1"/>
    <w:rsid w:val="008B71EC"/>
    <w:rsid w:val="008B72D6"/>
    <w:rsid w:val="008B7626"/>
    <w:rsid w:val="008B775F"/>
    <w:rsid w:val="008B7D40"/>
    <w:rsid w:val="008B7D59"/>
    <w:rsid w:val="008B7DC8"/>
    <w:rsid w:val="008C00B7"/>
    <w:rsid w:val="008C03CF"/>
    <w:rsid w:val="008C0688"/>
    <w:rsid w:val="008C06E7"/>
    <w:rsid w:val="008C073F"/>
    <w:rsid w:val="008C0FA7"/>
    <w:rsid w:val="008C130D"/>
    <w:rsid w:val="008C1631"/>
    <w:rsid w:val="008C1678"/>
    <w:rsid w:val="008C1908"/>
    <w:rsid w:val="008C21FB"/>
    <w:rsid w:val="008C2411"/>
    <w:rsid w:val="008C262C"/>
    <w:rsid w:val="008C2876"/>
    <w:rsid w:val="008C2930"/>
    <w:rsid w:val="008C2B99"/>
    <w:rsid w:val="008C34F3"/>
    <w:rsid w:val="008C3C26"/>
    <w:rsid w:val="008C3D3C"/>
    <w:rsid w:val="008C3E95"/>
    <w:rsid w:val="008C3FA2"/>
    <w:rsid w:val="008C41B1"/>
    <w:rsid w:val="008C4257"/>
    <w:rsid w:val="008C4BDF"/>
    <w:rsid w:val="008C4D3B"/>
    <w:rsid w:val="008C4E7D"/>
    <w:rsid w:val="008C51CC"/>
    <w:rsid w:val="008C527D"/>
    <w:rsid w:val="008C531F"/>
    <w:rsid w:val="008C562D"/>
    <w:rsid w:val="008C5A43"/>
    <w:rsid w:val="008C6811"/>
    <w:rsid w:val="008C6B68"/>
    <w:rsid w:val="008C6C77"/>
    <w:rsid w:val="008C6CC8"/>
    <w:rsid w:val="008C6F62"/>
    <w:rsid w:val="008C6F7C"/>
    <w:rsid w:val="008C76AE"/>
    <w:rsid w:val="008C7AAB"/>
    <w:rsid w:val="008C7B26"/>
    <w:rsid w:val="008C7BAA"/>
    <w:rsid w:val="008C7DB7"/>
    <w:rsid w:val="008D066A"/>
    <w:rsid w:val="008D0991"/>
    <w:rsid w:val="008D0B5A"/>
    <w:rsid w:val="008D0F24"/>
    <w:rsid w:val="008D0F36"/>
    <w:rsid w:val="008D107A"/>
    <w:rsid w:val="008D13E9"/>
    <w:rsid w:val="008D1494"/>
    <w:rsid w:val="008D1A10"/>
    <w:rsid w:val="008D1C5F"/>
    <w:rsid w:val="008D1C89"/>
    <w:rsid w:val="008D1D50"/>
    <w:rsid w:val="008D1FF8"/>
    <w:rsid w:val="008D259D"/>
    <w:rsid w:val="008D3024"/>
    <w:rsid w:val="008D3078"/>
    <w:rsid w:val="008D3183"/>
    <w:rsid w:val="008D31BC"/>
    <w:rsid w:val="008D38FB"/>
    <w:rsid w:val="008D3995"/>
    <w:rsid w:val="008D3A7C"/>
    <w:rsid w:val="008D3B43"/>
    <w:rsid w:val="008D3EBB"/>
    <w:rsid w:val="008D3EF9"/>
    <w:rsid w:val="008D4861"/>
    <w:rsid w:val="008D4A21"/>
    <w:rsid w:val="008D4B2A"/>
    <w:rsid w:val="008D5409"/>
    <w:rsid w:val="008D5446"/>
    <w:rsid w:val="008D573E"/>
    <w:rsid w:val="008D5A07"/>
    <w:rsid w:val="008D5FA2"/>
    <w:rsid w:val="008D6173"/>
    <w:rsid w:val="008D621A"/>
    <w:rsid w:val="008D64B0"/>
    <w:rsid w:val="008D66DD"/>
    <w:rsid w:val="008D66E6"/>
    <w:rsid w:val="008D6898"/>
    <w:rsid w:val="008D6B98"/>
    <w:rsid w:val="008D72E8"/>
    <w:rsid w:val="008D73D2"/>
    <w:rsid w:val="008D7E08"/>
    <w:rsid w:val="008E0209"/>
    <w:rsid w:val="008E0221"/>
    <w:rsid w:val="008E034B"/>
    <w:rsid w:val="008E0B35"/>
    <w:rsid w:val="008E111E"/>
    <w:rsid w:val="008E1460"/>
    <w:rsid w:val="008E17D2"/>
    <w:rsid w:val="008E1897"/>
    <w:rsid w:val="008E1A13"/>
    <w:rsid w:val="008E1AF2"/>
    <w:rsid w:val="008E1C4E"/>
    <w:rsid w:val="008E2103"/>
    <w:rsid w:val="008E2342"/>
    <w:rsid w:val="008E241A"/>
    <w:rsid w:val="008E2977"/>
    <w:rsid w:val="008E2987"/>
    <w:rsid w:val="008E2FF7"/>
    <w:rsid w:val="008E336B"/>
    <w:rsid w:val="008E364B"/>
    <w:rsid w:val="008E37A4"/>
    <w:rsid w:val="008E3D55"/>
    <w:rsid w:val="008E3F82"/>
    <w:rsid w:val="008E4466"/>
    <w:rsid w:val="008E4614"/>
    <w:rsid w:val="008E4715"/>
    <w:rsid w:val="008E49B0"/>
    <w:rsid w:val="008E4E05"/>
    <w:rsid w:val="008E4F4A"/>
    <w:rsid w:val="008E5012"/>
    <w:rsid w:val="008E50BF"/>
    <w:rsid w:val="008E5190"/>
    <w:rsid w:val="008E5885"/>
    <w:rsid w:val="008E5CA0"/>
    <w:rsid w:val="008E5FFD"/>
    <w:rsid w:val="008E6441"/>
    <w:rsid w:val="008E6457"/>
    <w:rsid w:val="008E64CB"/>
    <w:rsid w:val="008E66D3"/>
    <w:rsid w:val="008E69EF"/>
    <w:rsid w:val="008E6B58"/>
    <w:rsid w:val="008E6E82"/>
    <w:rsid w:val="008E6E9F"/>
    <w:rsid w:val="008E6EA5"/>
    <w:rsid w:val="008E74E1"/>
    <w:rsid w:val="008E74E4"/>
    <w:rsid w:val="008E7D14"/>
    <w:rsid w:val="008F0B27"/>
    <w:rsid w:val="008F0C87"/>
    <w:rsid w:val="008F1192"/>
    <w:rsid w:val="008F14C8"/>
    <w:rsid w:val="008F1720"/>
    <w:rsid w:val="008F1746"/>
    <w:rsid w:val="008F1982"/>
    <w:rsid w:val="008F1EC2"/>
    <w:rsid w:val="008F2042"/>
    <w:rsid w:val="008F2414"/>
    <w:rsid w:val="008F2AE6"/>
    <w:rsid w:val="008F2B8B"/>
    <w:rsid w:val="008F2CD9"/>
    <w:rsid w:val="008F2DFC"/>
    <w:rsid w:val="008F31F6"/>
    <w:rsid w:val="008F3313"/>
    <w:rsid w:val="008F3487"/>
    <w:rsid w:val="008F3CC6"/>
    <w:rsid w:val="008F402F"/>
    <w:rsid w:val="008F40D3"/>
    <w:rsid w:val="008F4557"/>
    <w:rsid w:val="008F46A1"/>
    <w:rsid w:val="008F484D"/>
    <w:rsid w:val="008F4A32"/>
    <w:rsid w:val="008F4A68"/>
    <w:rsid w:val="008F4BCB"/>
    <w:rsid w:val="008F4E93"/>
    <w:rsid w:val="008F51C1"/>
    <w:rsid w:val="008F5B3C"/>
    <w:rsid w:val="008F5D48"/>
    <w:rsid w:val="008F62C6"/>
    <w:rsid w:val="008F660F"/>
    <w:rsid w:val="008F6A5C"/>
    <w:rsid w:val="008F6E81"/>
    <w:rsid w:val="008F6FDD"/>
    <w:rsid w:val="008F72AE"/>
    <w:rsid w:val="008F7503"/>
    <w:rsid w:val="008F759F"/>
    <w:rsid w:val="008F76FF"/>
    <w:rsid w:val="008F7B22"/>
    <w:rsid w:val="008F7DF9"/>
    <w:rsid w:val="008F7FD6"/>
    <w:rsid w:val="00900BF5"/>
    <w:rsid w:val="0090130F"/>
    <w:rsid w:val="00901346"/>
    <w:rsid w:val="0090146E"/>
    <w:rsid w:val="009018FB"/>
    <w:rsid w:val="00901A13"/>
    <w:rsid w:val="00901CC0"/>
    <w:rsid w:val="00901F06"/>
    <w:rsid w:val="00901F37"/>
    <w:rsid w:val="00901FFE"/>
    <w:rsid w:val="00902124"/>
    <w:rsid w:val="009022FC"/>
    <w:rsid w:val="00902569"/>
    <w:rsid w:val="0090273B"/>
    <w:rsid w:val="009027E9"/>
    <w:rsid w:val="009034E5"/>
    <w:rsid w:val="0090398F"/>
    <w:rsid w:val="00903A1D"/>
    <w:rsid w:val="00904511"/>
    <w:rsid w:val="00904C4D"/>
    <w:rsid w:val="00904CCD"/>
    <w:rsid w:val="00904EEF"/>
    <w:rsid w:val="009055FE"/>
    <w:rsid w:val="0090596E"/>
    <w:rsid w:val="009059A6"/>
    <w:rsid w:val="00905B93"/>
    <w:rsid w:val="00905C34"/>
    <w:rsid w:val="00906161"/>
    <w:rsid w:val="009064CF"/>
    <w:rsid w:val="0090656E"/>
    <w:rsid w:val="00906643"/>
    <w:rsid w:val="00906681"/>
    <w:rsid w:val="009067D0"/>
    <w:rsid w:val="00906852"/>
    <w:rsid w:val="009068A7"/>
    <w:rsid w:val="00906F27"/>
    <w:rsid w:val="009071BC"/>
    <w:rsid w:val="00907288"/>
    <w:rsid w:val="00907B68"/>
    <w:rsid w:val="00907B8E"/>
    <w:rsid w:val="00907BCF"/>
    <w:rsid w:val="00907C54"/>
    <w:rsid w:val="00907D85"/>
    <w:rsid w:val="00907DE4"/>
    <w:rsid w:val="00910089"/>
    <w:rsid w:val="009102B1"/>
    <w:rsid w:val="009106F9"/>
    <w:rsid w:val="00910C71"/>
    <w:rsid w:val="00911532"/>
    <w:rsid w:val="0091159C"/>
    <w:rsid w:val="00911D99"/>
    <w:rsid w:val="009120EF"/>
    <w:rsid w:val="009123CE"/>
    <w:rsid w:val="009126F5"/>
    <w:rsid w:val="0091291D"/>
    <w:rsid w:val="00912A65"/>
    <w:rsid w:val="00912ACD"/>
    <w:rsid w:val="00912CCD"/>
    <w:rsid w:val="00912FB8"/>
    <w:rsid w:val="00912FB9"/>
    <w:rsid w:val="00913031"/>
    <w:rsid w:val="00913079"/>
    <w:rsid w:val="0091316A"/>
    <w:rsid w:val="0091317C"/>
    <w:rsid w:val="0091338A"/>
    <w:rsid w:val="0091378A"/>
    <w:rsid w:val="00913DE9"/>
    <w:rsid w:val="009145B5"/>
    <w:rsid w:val="00914891"/>
    <w:rsid w:val="00914C91"/>
    <w:rsid w:val="00914DD1"/>
    <w:rsid w:val="00914EC3"/>
    <w:rsid w:val="009150B0"/>
    <w:rsid w:val="0091538C"/>
    <w:rsid w:val="0091547C"/>
    <w:rsid w:val="0091551B"/>
    <w:rsid w:val="0091645A"/>
    <w:rsid w:val="009164DF"/>
    <w:rsid w:val="009164E7"/>
    <w:rsid w:val="00916C87"/>
    <w:rsid w:val="00917063"/>
    <w:rsid w:val="0091734C"/>
    <w:rsid w:val="009176BE"/>
    <w:rsid w:val="00917E2D"/>
    <w:rsid w:val="00917E3C"/>
    <w:rsid w:val="00920167"/>
    <w:rsid w:val="009202B8"/>
    <w:rsid w:val="00920379"/>
    <w:rsid w:val="0092074A"/>
    <w:rsid w:val="00920AF8"/>
    <w:rsid w:val="00921538"/>
    <w:rsid w:val="0092174B"/>
    <w:rsid w:val="0092174E"/>
    <w:rsid w:val="00921E93"/>
    <w:rsid w:val="009222E7"/>
    <w:rsid w:val="009227FD"/>
    <w:rsid w:val="00922CBA"/>
    <w:rsid w:val="00922E71"/>
    <w:rsid w:val="00923132"/>
    <w:rsid w:val="009233BF"/>
    <w:rsid w:val="00923B78"/>
    <w:rsid w:val="00923DDF"/>
    <w:rsid w:val="009241BF"/>
    <w:rsid w:val="0092443D"/>
    <w:rsid w:val="0092455A"/>
    <w:rsid w:val="00924A99"/>
    <w:rsid w:val="00924B3A"/>
    <w:rsid w:val="00924C48"/>
    <w:rsid w:val="00924D5D"/>
    <w:rsid w:val="00925188"/>
    <w:rsid w:val="0092520F"/>
    <w:rsid w:val="00925373"/>
    <w:rsid w:val="00925478"/>
    <w:rsid w:val="009255FB"/>
    <w:rsid w:val="00925997"/>
    <w:rsid w:val="00925ABB"/>
    <w:rsid w:val="00925DD9"/>
    <w:rsid w:val="009265D7"/>
    <w:rsid w:val="00926694"/>
    <w:rsid w:val="00927128"/>
    <w:rsid w:val="0092720F"/>
    <w:rsid w:val="00927263"/>
    <w:rsid w:val="00927737"/>
    <w:rsid w:val="00927851"/>
    <w:rsid w:val="00927A04"/>
    <w:rsid w:val="00927AD4"/>
    <w:rsid w:val="00927B5C"/>
    <w:rsid w:val="00927B8F"/>
    <w:rsid w:val="00927BA3"/>
    <w:rsid w:val="00927D1E"/>
    <w:rsid w:val="00927D96"/>
    <w:rsid w:val="00930772"/>
    <w:rsid w:val="0093087C"/>
    <w:rsid w:val="009308BC"/>
    <w:rsid w:val="00930A5A"/>
    <w:rsid w:val="00930DD1"/>
    <w:rsid w:val="00931278"/>
    <w:rsid w:val="009312EB"/>
    <w:rsid w:val="0093144F"/>
    <w:rsid w:val="00931D71"/>
    <w:rsid w:val="00931FF9"/>
    <w:rsid w:val="009324C0"/>
    <w:rsid w:val="00932598"/>
    <w:rsid w:val="00932638"/>
    <w:rsid w:val="00932781"/>
    <w:rsid w:val="00932A9D"/>
    <w:rsid w:val="00933102"/>
    <w:rsid w:val="009331FF"/>
    <w:rsid w:val="00933E6F"/>
    <w:rsid w:val="0093401B"/>
    <w:rsid w:val="00934027"/>
    <w:rsid w:val="009345E5"/>
    <w:rsid w:val="0093461D"/>
    <w:rsid w:val="00934AD6"/>
    <w:rsid w:val="00934C22"/>
    <w:rsid w:val="0093500D"/>
    <w:rsid w:val="00935460"/>
    <w:rsid w:val="00935A6E"/>
    <w:rsid w:val="00935C9A"/>
    <w:rsid w:val="00935DD9"/>
    <w:rsid w:val="00936959"/>
    <w:rsid w:val="00936B0A"/>
    <w:rsid w:val="00936BC7"/>
    <w:rsid w:val="00936FBF"/>
    <w:rsid w:val="00937385"/>
    <w:rsid w:val="00937388"/>
    <w:rsid w:val="009375B9"/>
    <w:rsid w:val="009378AC"/>
    <w:rsid w:val="0093796E"/>
    <w:rsid w:val="00937CF6"/>
    <w:rsid w:val="00937E95"/>
    <w:rsid w:val="0094011D"/>
    <w:rsid w:val="009405CE"/>
    <w:rsid w:val="00940603"/>
    <w:rsid w:val="00940E92"/>
    <w:rsid w:val="009416D7"/>
    <w:rsid w:val="009418B5"/>
    <w:rsid w:val="00941969"/>
    <w:rsid w:val="00941CA9"/>
    <w:rsid w:val="00941CF8"/>
    <w:rsid w:val="00941CFC"/>
    <w:rsid w:val="00941D3E"/>
    <w:rsid w:val="009420D7"/>
    <w:rsid w:val="009424C9"/>
    <w:rsid w:val="0094277F"/>
    <w:rsid w:val="00942B0F"/>
    <w:rsid w:val="00943D17"/>
    <w:rsid w:val="00943DBB"/>
    <w:rsid w:val="00943DC9"/>
    <w:rsid w:val="00944192"/>
    <w:rsid w:val="009445AB"/>
    <w:rsid w:val="00944A36"/>
    <w:rsid w:val="009450D8"/>
    <w:rsid w:val="00945281"/>
    <w:rsid w:val="00945321"/>
    <w:rsid w:val="0094581B"/>
    <w:rsid w:val="00945991"/>
    <w:rsid w:val="009459B9"/>
    <w:rsid w:val="00945C5F"/>
    <w:rsid w:val="00945EF7"/>
    <w:rsid w:val="00945F7B"/>
    <w:rsid w:val="0094623B"/>
    <w:rsid w:val="00946622"/>
    <w:rsid w:val="00946EC5"/>
    <w:rsid w:val="00946F4C"/>
    <w:rsid w:val="00946F68"/>
    <w:rsid w:val="009470BE"/>
    <w:rsid w:val="009471E2"/>
    <w:rsid w:val="009477F1"/>
    <w:rsid w:val="00950BDF"/>
    <w:rsid w:val="00951596"/>
    <w:rsid w:val="009515D0"/>
    <w:rsid w:val="00951740"/>
    <w:rsid w:val="009518FC"/>
    <w:rsid w:val="00951AA4"/>
    <w:rsid w:val="009523EF"/>
    <w:rsid w:val="009527D0"/>
    <w:rsid w:val="00952FD4"/>
    <w:rsid w:val="00953CC4"/>
    <w:rsid w:val="00953CFA"/>
    <w:rsid w:val="00953E28"/>
    <w:rsid w:val="00953E65"/>
    <w:rsid w:val="00953E9B"/>
    <w:rsid w:val="009540E9"/>
    <w:rsid w:val="009545EB"/>
    <w:rsid w:val="009548FB"/>
    <w:rsid w:val="009549A9"/>
    <w:rsid w:val="00955378"/>
    <w:rsid w:val="00955496"/>
    <w:rsid w:val="00955B00"/>
    <w:rsid w:val="00955CB7"/>
    <w:rsid w:val="00955D7A"/>
    <w:rsid w:val="0095636A"/>
    <w:rsid w:val="009565A3"/>
    <w:rsid w:val="009565F8"/>
    <w:rsid w:val="0095687E"/>
    <w:rsid w:val="00956DFF"/>
    <w:rsid w:val="00956E3D"/>
    <w:rsid w:val="00957128"/>
    <w:rsid w:val="009577FC"/>
    <w:rsid w:val="00957AAB"/>
    <w:rsid w:val="00957E9E"/>
    <w:rsid w:val="00960197"/>
    <w:rsid w:val="0096028C"/>
    <w:rsid w:val="00960A1F"/>
    <w:rsid w:val="0096179D"/>
    <w:rsid w:val="00961953"/>
    <w:rsid w:val="00961B8C"/>
    <w:rsid w:val="00961D28"/>
    <w:rsid w:val="00961D67"/>
    <w:rsid w:val="009621D8"/>
    <w:rsid w:val="00962E23"/>
    <w:rsid w:val="00963070"/>
    <w:rsid w:val="0096353D"/>
    <w:rsid w:val="0096360E"/>
    <w:rsid w:val="00963630"/>
    <w:rsid w:val="00963C20"/>
    <w:rsid w:val="00964433"/>
    <w:rsid w:val="009651F6"/>
    <w:rsid w:val="00965554"/>
    <w:rsid w:val="00965B92"/>
    <w:rsid w:val="00965FEF"/>
    <w:rsid w:val="0096606F"/>
    <w:rsid w:val="00966422"/>
    <w:rsid w:val="00966662"/>
    <w:rsid w:val="00966D6A"/>
    <w:rsid w:val="009678F5"/>
    <w:rsid w:val="009679A6"/>
    <w:rsid w:val="00967BB7"/>
    <w:rsid w:val="00970080"/>
    <w:rsid w:val="0097026D"/>
    <w:rsid w:val="00970419"/>
    <w:rsid w:val="00970620"/>
    <w:rsid w:val="0097091F"/>
    <w:rsid w:val="00970AFB"/>
    <w:rsid w:val="00970C0B"/>
    <w:rsid w:val="00970E47"/>
    <w:rsid w:val="009713F8"/>
    <w:rsid w:val="009716EB"/>
    <w:rsid w:val="00972098"/>
    <w:rsid w:val="00972317"/>
    <w:rsid w:val="00972337"/>
    <w:rsid w:val="00972415"/>
    <w:rsid w:val="00972779"/>
    <w:rsid w:val="00972C54"/>
    <w:rsid w:val="00972F27"/>
    <w:rsid w:val="00973022"/>
    <w:rsid w:val="009731B2"/>
    <w:rsid w:val="009732A5"/>
    <w:rsid w:val="009733B8"/>
    <w:rsid w:val="00973AF6"/>
    <w:rsid w:val="00973E87"/>
    <w:rsid w:val="00974045"/>
    <w:rsid w:val="00974209"/>
    <w:rsid w:val="00974747"/>
    <w:rsid w:val="00974826"/>
    <w:rsid w:val="00974B6C"/>
    <w:rsid w:val="00974C20"/>
    <w:rsid w:val="0097514B"/>
    <w:rsid w:val="0097552D"/>
    <w:rsid w:val="00975C27"/>
    <w:rsid w:val="00975DCB"/>
    <w:rsid w:val="00975F13"/>
    <w:rsid w:val="00975FC7"/>
    <w:rsid w:val="00975FFD"/>
    <w:rsid w:val="009765DB"/>
    <w:rsid w:val="00976798"/>
    <w:rsid w:val="00976B8A"/>
    <w:rsid w:val="00976DF6"/>
    <w:rsid w:val="009772FB"/>
    <w:rsid w:val="00977671"/>
    <w:rsid w:val="00977917"/>
    <w:rsid w:val="00980644"/>
    <w:rsid w:val="00980705"/>
    <w:rsid w:val="009808CB"/>
    <w:rsid w:val="00980AAF"/>
    <w:rsid w:val="00980B6B"/>
    <w:rsid w:val="009813B4"/>
    <w:rsid w:val="009813C9"/>
    <w:rsid w:val="0098177B"/>
    <w:rsid w:val="00981C41"/>
    <w:rsid w:val="00981F18"/>
    <w:rsid w:val="0098222D"/>
    <w:rsid w:val="00982393"/>
    <w:rsid w:val="009828EE"/>
    <w:rsid w:val="00982B5C"/>
    <w:rsid w:val="00982B94"/>
    <w:rsid w:val="00983404"/>
    <w:rsid w:val="00983937"/>
    <w:rsid w:val="00983A0F"/>
    <w:rsid w:val="00983A19"/>
    <w:rsid w:val="00983C37"/>
    <w:rsid w:val="00983D88"/>
    <w:rsid w:val="00983DED"/>
    <w:rsid w:val="009840A6"/>
    <w:rsid w:val="00984222"/>
    <w:rsid w:val="00984304"/>
    <w:rsid w:val="0098443F"/>
    <w:rsid w:val="009845E1"/>
    <w:rsid w:val="00984643"/>
    <w:rsid w:val="00984ABF"/>
    <w:rsid w:val="00984BF0"/>
    <w:rsid w:val="00984F2D"/>
    <w:rsid w:val="00985828"/>
    <w:rsid w:val="0098583F"/>
    <w:rsid w:val="009859A5"/>
    <w:rsid w:val="00985CFB"/>
    <w:rsid w:val="00985F23"/>
    <w:rsid w:val="009863B7"/>
    <w:rsid w:val="00986466"/>
    <w:rsid w:val="00986B4E"/>
    <w:rsid w:val="00986BD2"/>
    <w:rsid w:val="009870B1"/>
    <w:rsid w:val="009873C1"/>
    <w:rsid w:val="00987D59"/>
    <w:rsid w:val="00990051"/>
    <w:rsid w:val="00990865"/>
    <w:rsid w:val="00990CF6"/>
    <w:rsid w:val="009911D2"/>
    <w:rsid w:val="00991249"/>
    <w:rsid w:val="0099196E"/>
    <w:rsid w:val="009919F7"/>
    <w:rsid w:val="00991A74"/>
    <w:rsid w:val="00991B5E"/>
    <w:rsid w:val="00992EDF"/>
    <w:rsid w:val="00993662"/>
    <w:rsid w:val="009938F9"/>
    <w:rsid w:val="00993BA5"/>
    <w:rsid w:val="00993E6B"/>
    <w:rsid w:val="00993EF0"/>
    <w:rsid w:val="00993F48"/>
    <w:rsid w:val="009940F4"/>
    <w:rsid w:val="00994B4E"/>
    <w:rsid w:val="00994BF0"/>
    <w:rsid w:val="00994C87"/>
    <w:rsid w:val="0099501D"/>
    <w:rsid w:val="009958B8"/>
    <w:rsid w:val="00995AFB"/>
    <w:rsid w:val="00995EA7"/>
    <w:rsid w:val="009962AF"/>
    <w:rsid w:val="00996803"/>
    <w:rsid w:val="00996C3B"/>
    <w:rsid w:val="00997700"/>
    <w:rsid w:val="0099799B"/>
    <w:rsid w:val="009A0124"/>
    <w:rsid w:val="009A050F"/>
    <w:rsid w:val="009A0511"/>
    <w:rsid w:val="009A0590"/>
    <w:rsid w:val="009A06B7"/>
    <w:rsid w:val="009A0E50"/>
    <w:rsid w:val="009A134B"/>
    <w:rsid w:val="009A179B"/>
    <w:rsid w:val="009A1FEE"/>
    <w:rsid w:val="009A2071"/>
    <w:rsid w:val="009A2086"/>
    <w:rsid w:val="009A218C"/>
    <w:rsid w:val="009A272B"/>
    <w:rsid w:val="009A3509"/>
    <w:rsid w:val="009A3908"/>
    <w:rsid w:val="009A3CE8"/>
    <w:rsid w:val="009A407B"/>
    <w:rsid w:val="009A46F0"/>
    <w:rsid w:val="009A5239"/>
    <w:rsid w:val="009A542A"/>
    <w:rsid w:val="009A59B7"/>
    <w:rsid w:val="009A5D92"/>
    <w:rsid w:val="009A5EA5"/>
    <w:rsid w:val="009A60BA"/>
    <w:rsid w:val="009A6766"/>
    <w:rsid w:val="009A6C51"/>
    <w:rsid w:val="009A7065"/>
    <w:rsid w:val="009A7383"/>
    <w:rsid w:val="009A7453"/>
    <w:rsid w:val="009A761D"/>
    <w:rsid w:val="009A76FA"/>
    <w:rsid w:val="009A7A5C"/>
    <w:rsid w:val="009A7F3B"/>
    <w:rsid w:val="009B016F"/>
    <w:rsid w:val="009B06DD"/>
    <w:rsid w:val="009B07D0"/>
    <w:rsid w:val="009B09E0"/>
    <w:rsid w:val="009B0BE4"/>
    <w:rsid w:val="009B0E62"/>
    <w:rsid w:val="009B12E7"/>
    <w:rsid w:val="009B146D"/>
    <w:rsid w:val="009B17EA"/>
    <w:rsid w:val="009B1E51"/>
    <w:rsid w:val="009B1E56"/>
    <w:rsid w:val="009B1F38"/>
    <w:rsid w:val="009B20D9"/>
    <w:rsid w:val="009B2679"/>
    <w:rsid w:val="009B28BF"/>
    <w:rsid w:val="009B290F"/>
    <w:rsid w:val="009B2C96"/>
    <w:rsid w:val="009B2EE8"/>
    <w:rsid w:val="009B3055"/>
    <w:rsid w:val="009B34CC"/>
    <w:rsid w:val="009B41D9"/>
    <w:rsid w:val="009B44D1"/>
    <w:rsid w:val="009B45B2"/>
    <w:rsid w:val="009B4765"/>
    <w:rsid w:val="009B48A6"/>
    <w:rsid w:val="009B4CC0"/>
    <w:rsid w:val="009B4D4F"/>
    <w:rsid w:val="009B534B"/>
    <w:rsid w:val="009B5709"/>
    <w:rsid w:val="009B59B6"/>
    <w:rsid w:val="009B5A88"/>
    <w:rsid w:val="009B5E4F"/>
    <w:rsid w:val="009B6148"/>
    <w:rsid w:val="009B6229"/>
    <w:rsid w:val="009B6D51"/>
    <w:rsid w:val="009B6F38"/>
    <w:rsid w:val="009B7158"/>
    <w:rsid w:val="009B7325"/>
    <w:rsid w:val="009B79CB"/>
    <w:rsid w:val="009C02A6"/>
    <w:rsid w:val="009C0498"/>
    <w:rsid w:val="009C0B6C"/>
    <w:rsid w:val="009C0C70"/>
    <w:rsid w:val="009C0D03"/>
    <w:rsid w:val="009C0E95"/>
    <w:rsid w:val="009C14C2"/>
    <w:rsid w:val="009C18C5"/>
    <w:rsid w:val="009C18D7"/>
    <w:rsid w:val="009C195B"/>
    <w:rsid w:val="009C1D29"/>
    <w:rsid w:val="009C1D4E"/>
    <w:rsid w:val="009C225D"/>
    <w:rsid w:val="009C2267"/>
    <w:rsid w:val="009C2351"/>
    <w:rsid w:val="009C237F"/>
    <w:rsid w:val="009C2997"/>
    <w:rsid w:val="009C2A44"/>
    <w:rsid w:val="009C2AAD"/>
    <w:rsid w:val="009C2B2F"/>
    <w:rsid w:val="009C2E00"/>
    <w:rsid w:val="009C2E4C"/>
    <w:rsid w:val="009C2F10"/>
    <w:rsid w:val="009C2F22"/>
    <w:rsid w:val="009C31E3"/>
    <w:rsid w:val="009C32FE"/>
    <w:rsid w:val="009C3462"/>
    <w:rsid w:val="009C35BD"/>
    <w:rsid w:val="009C375E"/>
    <w:rsid w:val="009C38FF"/>
    <w:rsid w:val="009C3D2E"/>
    <w:rsid w:val="009C3E89"/>
    <w:rsid w:val="009C42E9"/>
    <w:rsid w:val="009C457A"/>
    <w:rsid w:val="009C4E6F"/>
    <w:rsid w:val="009C4FBD"/>
    <w:rsid w:val="009C52FB"/>
    <w:rsid w:val="009C5579"/>
    <w:rsid w:val="009C5AC9"/>
    <w:rsid w:val="009C5C82"/>
    <w:rsid w:val="009C6125"/>
    <w:rsid w:val="009C68D1"/>
    <w:rsid w:val="009C6A89"/>
    <w:rsid w:val="009C6B59"/>
    <w:rsid w:val="009C6EC8"/>
    <w:rsid w:val="009C7CB6"/>
    <w:rsid w:val="009C7CD8"/>
    <w:rsid w:val="009D0102"/>
    <w:rsid w:val="009D0BE2"/>
    <w:rsid w:val="009D0BFB"/>
    <w:rsid w:val="009D0C49"/>
    <w:rsid w:val="009D1181"/>
    <w:rsid w:val="009D1624"/>
    <w:rsid w:val="009D18AF"/>
    <w:rsid w:val="009D1983"/>
    <w:rsid w:val="009D1B9B"/>
    <w:rsid w:val="009D1BB3"/>
    <w:rsid w:val="009D1EEC"/>
    <w:rsid w:val="009D1FA9"/>
    <w:rsid w:val="009D239E"/>
    <w:rsid w:val="009D27BD"/>
    <w:rsid w:val="009D2C31"/>
    <w:rsid w:val="009D2F63"/>
    <w:rsid w:val="009D37FA"/>
    <w:rsid w:val="009D3948"/>
    <w:rsid w:val="009D3D61"/>
    <w:rsid w:val="009D3D98"/>
    <w:rsid w:val="009D3E1B"/>
    <w:rsid w:val="009D3E90"/>
    <w:rsid w:val="009D413C"/>
    <w:rsid w:val="009D4212"/>
    <w:rsid w:val="009D4778"/>
    <w:rsid w:val="009D4792"/>
    <w:rsid w:val="009D4965"/>
    <w:rsid w:val="009D4A77"/>
    <w:rsid w:val="009D4CBC"/>
    <w:rsid w:val="009D4D54"/>
    <w:rsid w:val="009D514D"/>
    <w:rsid w:val="009D537F"/>
    <w:rsid w:val="009D562B"/>
    <w:rsid w:val="009D5A8D"/>
    <w:rsid w:val="009D5F36"/>
    <w:rsid w:val="009D6321"/>
    <w:rsid w:val="009D6491"/>
    <w:rsid w:val="009D65F6"/>
    <w:rsid w:val="009D6625"/>
    <w:rsid w:val="009D6646"/>
    <w:rsid w:val="009D678E"/>
    <w:rsid w:val="009D6C2E"/>
    <w:rsid w:val="009D6F40"/>
    <w:rsid w:val="009D7212"/>
    <w:rsid w:val="009D72DE"/>
    <w:rsid w:val="009D741B"/>
    <w:rsid w:val="009D76AE"/>
    <w:rsid w:val="009D76C3"/>
    <w:rsid w:val="009D78EE"/>
    <w:rsid w:val="009D79E1"/>
    <w:rsid w:val="009E033C"/>
    <w:rsid w:val="009E0860"/>
    <w:rsid w:val="009E1338"/>
    <w:rsid w:val="009E1948"/>
    <w:rsid w:val="009E1BE4"/>
    <w:rsid w:val="009E1F86"/>
    <w:rsid w:val="009E20C7"/>
    <w:rsid w:val="009E219A"/>
    <w:rsid w:val="009E278D"/>
    <w:rsid w:val="009E2F39"/>
    <w:rsid w:val="009E3043"/>
    <w:rsid w:val="009E30E0"/>
    <w:rsid w:val="009E328D"/>
    <w:rsid w:val="009E32C2"/>
    <w:rsid w:val="009E348D"/>
    <w:rsid w:val="009E35DE"/>
    <w:rsid w:val="009E3736"/>
    <w:rsid w:val="009E377E"/>
    <w:rsid w:val="009E394D"/>
    <w:rsid w:val="009E3A6A"/>
    <w:rsid w:val="009E41C3"/>
    <w:rsid w:val="009E4297"/>
    <w:rsid w:val="009E444D"/>
    <w:rsid w:val="009E47C5"/>
    <w:rsid w:val="009E4C10"/>
    <w:rsid w:val="009E4C99"/>
    <w:rsid w:val="009E4D04"/>
    <w:rsid w:val="009E4FA9"/>
    <w:rsid w:val="009E522E"/>
    <w:rsid w:val="009E536E"/>
    <w:rsid w:val="009E558F"/>
    <w:rsid w:val="009E55FD"/>
    <w:rsid w:val="009E5901"/>
    <w:rsid w:val="009E5931"/>
    <w:rsid w:val="009E5991"/>
    <w:rsid w:val="009E5E5B"/>
    <w:rsid w:val="009E604A"/>
    <w:rsid w:val="009E6A55"/>
    <w:rsid w:val="009E7087"/>
    <w:rsid w:val="009E7516"/>
    <w:rsid w:val="009E793D"/>
    <w:rsid w:val="009E7A97"/>
    <w:rsid w:val="009E7BEB"/>
    <w:rsid w:val="009E7D32"/>
    <w:rsid w:val="009E7DFD"/>
    <w:rsid w:val="009F019B"/>
    <w:rsid w:val="009F03CF"/>
    <w:rsid w:val="009F0AC4"/>
    <w:rsid w:val="009F0C8B"/>
    <w:rsid w:val="009F11AD"/>
    <w:rsid w:val="009F134E"/>
    <w:rsid w:val="009F1493"/>
    <w:rsid w:val="009F1665"/>
    <w:rsid w:val="009F1732"/>
    <w:rsid w:val="009F17FF"/>
    <w:rsid w:val="009F1DEA"/>
    <w:rsid w:val="009F2D9F"/>
    <w:rsid w:val="009F3070"/>
    <w:rsid w:val="009F328B"/>
    <w:rsid w:val="009F3620"/>
    <w:rsid w:val="009F3B8B"/>
    <w:rsid w:val="009F3F52"/>
    <w:rsid w:val="009F41AE"/>
    <w:rsid w:val="009F46F7"/>
    <w:rsid w:val="009F49C0"/>
    <w:rsid w:val="009F4E65"/>
    <w:rsid w:val="009F511B"/>
    <w:rsid w:val="009F5187"/>
    <w:rsid w:val="009F5320"/>
    <w:rsid w:val="009F53CB"/>
    <w:rsid w:val="009F543C"/>
    <w:rsid w:val="009F573C"/>
    <w:rsid w:val="009F5D5A"/>
    <w:rsid w:val="009F5F20"/>
    <w:rsid w:val="009F6117"/>
    <w:rsid w:val="009F627F"/>
    <w:rsid w:val="009F65B5"/>
    <w:rsid w:val="009F6BC2"/>
    <w:rsid w:val="009F71EC"/>
    <w:rsid w:val="009F7311"/>
    <w:rsid w:val="009F741F"/>
    <w:rsid w:val="009F7898"/>
    <w:rsid w:val="009F7BCC"/>
    <w:rsid w:val="009F7E19"/>
    <w:rsid w:val="009F7F0B"/>
    <w:rsid w:val="00A003AF"/>
    <w:rsid w:val="00A005B3"/>
    <w:rsid w:val="00A006C2"/>
    <w:rsid w:val="00A00949"/>
    <w:rsid w:val="00A009B4"/>
    <w:rsid w:val="00A00AE3"/>
    <w:rsid w:val="00A00C86"/>
    <w:rsid w:val="00A00EE0"/>
    <w:rsid w:val="00A010F4"/>
    <w:rsid w:val="00A01137"/>
    <w:rsid w:val="00A01146"/>
    <w:rsid w:val="00A01172"/>
    <w:rsid w:val="00A016E3"/>
    <w:rsid w:val="00A01BC5"/>
    <w:rsid w:val="00A01D7C"/>
    <w:rsid w:val="00A01FA0"/>
    <w:rsid w:val="00A024F1"/>
    <w:rsid w:val="00A025E4"/>
    <w:rsid w:val="00A02AFE"/>
    <w:rsid w:val="00A02D02"/>
    <w:rsid w:val="00A02D52"/>
    <w:rsid w:val="00A02DAF"/>
    <w:rsid w:val="00A0300C"/>
    <w:rsid w:val="00A03594"/>
    <w:rsid w:val="00A03AA8"/>
    <w:rsid w:val="00A03B4E"/>
    <w:rsid w:val="00A03BBC"/>
    <w:rsid w:val="00A03E60"/>
    <w:rsid w:val="00A03EB5"/>
    <w:rsid w:val="00A040D3"/>
    <w:rsid w:val="00A040E8"/>
    <w:rsid w:val="00A04286"/>
    <w:rsid w:val="00A049AD"/>
    <w:rsid w:val="00A04A8A"/>
    <w:rsid w:val="00A050FD"/>
    <w:rsid w:val="00A053D8"/>
    <w:rsid w:val="00A059A5"/>
    <w:rsid w:val="00A05C66"/>
    <w:rsid w:val="00A062E5"/>
    <w:rsid w:val="00A06E29"/>
    <w:rsid w:val="00A07192"/>
    <w:rsid w:val="00A0739A"/>
    <w:rsid w:val="00A07823"/>
    <w:rsid w:val="00A0782B"/>
    <w:rsid w:val="00A108FC"/>
    <w:rsid w:val="00A10D37"/>
    <w:rsid w:val="00A113E7"/>
    <w:rsid w:val="00A117C4"/>
    <w:rsid w:val="00A11E0F"/>
    <w:rsid w:val="00A12234"/>
    <w:rsid w:val="00A12342"/>
    <w:rsid w:val="00A13056"/>
    <w:rsid w:val="00A13283"/>
    <w:rsid w:val="00A13635"/>
    <w:rsid w:val="00A1377B"/>
    <w:rsid w:val="00A13864"/>
    <w:rsid w:val="00A1394A"/>
    <w:rsid w:val="00A13DA6"/>
    <w:rsid w:val="00A13E78"/>
    <w:rsid w:val="00A140F1"/>
    <w:rsid w:val="00A14365"/>
    <w:rsid w:val="00A1468E"/>
    <w:rsid w:val="00A1473F"/>
    <w:rsid w:val="00A147CA"/>
    <w:rsid w:val="00A14B9F"/>
    <w:rsid w:val="00A14E86"/>
    <w:rsid w:val="00A15304"/>
    <w:rsid w:val="00A155E2"/>
    <w:rsid w:val="00A156CB"/>
    <w:rsid w:val="00A1587E"/>
    <w:rsid w:val="00A15F77"/>
    <w:rsid w:val="00A15F9D"/>
    <w:rsid w:val="00A16394"/>
    <w:rsid w:val="00A164D3"/>
    <w:rsid w:val="00A16ADC"/>
    <w:rsid w:val="00A16D20"/>
    <w:rsid w:val="00A16EE8"/>
    <w:rsid w:val="00A16F1F"/>
    <w:rsid w:val="00A174A7"/>
    <w:rsid w:val="00A177F7"/>
    <w:rsid w:val="00A17820"/>
    <w:rsid w:val="00A17967"/>
    <w:rsid w:val="00A179E3"/>
    <w:rsid w:val="00A20077"/>
    <w:rsid w:val="00A20259"/>
    <w:rsid w:val="00A2075B"/>
    <w:rsid w:val="00A207E5"/>
    <w:rsid w:val="00A208ED"/>
    <w:rsid w:val="00A21225"/>
    <w:rsid w:val="00A213D5"/>
    <w:rsid w:val="00A213F0"/>
    <w:rsid w:val="00A214AA"/>
    <w:rsid w:val="00A21723"/>
    <w:rsid w:val="00A218C9"/>
    <w:rsid w:val="00A21D48"/>
    <w:rsid w:val="00A21ED4"/>
    <w:rsid w:val="00A221B4"/>
    <w:rsid w:val="00A224F0"/>
    <w:rsid w:val="00A224F7"/>
    <w:rsid w:val="00A2290E"/>
    <w:rsid w:val="00A2341E"/>
    <w:rsid w:val="00A23AB6"/>
    <w:rsid w:val="00A23BD9"/>
    <w:rsid w:val="00A23E2F"/>
    <w:rsid w:val="00A2417B"/>
    <w:rsid w:val="00A2440E"/>
    <w:rsid w:val="00A24508"/>
    <w:rsid w:val="00A24736"/>
    <w:rsid w:val="00A2483D"/>
    <w:rsid w:val="00A251ED"/>
    <w:rsid w:val="00A2540B"/>
    <w:rsid w:val="00A2548E"/>
    <w:rsid w:val="00A25540"/>
    <w:rsid w:val="00A25B3F"/>
    <w:rsid w:val="00A25CD2"/>
    <w:rsid w:val="00A25E91"/>
    <w:rsid w:val="00A25E9F"/>
    <w:rsid w:val="00A26009"/>
    <w:rsid w:val="00A262AD"/>
    <w:rsid w:val="00A267D4"/>
    <w:rsid w:val="00A26854"/>
    <w:rsid w:val="00A26859"/>
    <w:rsid w:val="00A26995"/>
    <w:rsid w:val="00A26D49"/>
    <w:rsid w:val="00A26E03"/>
    <w:rsid w:val="00A26F89"/>
    <w:rsid w:val="00A271E4"/>
    <w:rsid w:val="00A27225"/>
    <w:rsid w:val="00A27350"/>
    <w:rsid w:val="00A279F8"/>
    <w:rsid w:val="00A27BE2"/>
    <w:rsid w:val="00A27FB9"/>
    <w:rsid w:val="00A30337"/>
    <w:rsid w:val="00A303A8"/>
    <w:rsid w:val="00A303D8"/>
    <w:rsid w:val="00A30615"/>
    <w:rsid w:val="00A30726"/>
    <w:rsid w:val="00A307E1"/>
    <w:rsid w:val="00A30E7D"/>
    <w:rsid w:val="00A310F3"/>
    <w:rsid w:val="00A3149D"/>
    <w:rsid w:val="00A314E1"/>
    <w:rsid w:val="00A319F5"/>
    <w:rsid w:val="00A31A83"/>
    <w:rsid w:val="00A31DE7"/>
    <w:rsid w:val="00A31EDB"/>
    <w:rsid w:val="00A3213D"/>
    <w:rsid w:val="00A32355"/>
    <w:rsid w:val="00A328A5"/>
    <w:rsid w:val="00A32CA2"/>
    <w:rsid w:val="00A32D5B"/>
    <w:rsid w:val="00A32DAB"/>
    <w:rsid w:val="00A32E1C"/>
    <w:rsid w:val="00A332A2"/>
    <w:rsid w:val="00A332D0"/>
    <w:rsid w:val="00A33770"/>
    <w:rsid w:val="00A337F0"/>
    <w:rsid w:val="00A33B18"/>
    <w:rsid w:val="00A33C4E"/>
    <w:rsid w:val="00A33D7F"/>
    <w:rsid w:val="00A33E5D"/>
    <w:rsid w:val="00A33FDD"/>
    <w:rsid w:val="00A342BE"/>
    <w:rsid w:val="00A34323"/>
    <w:rsid w:val="00A34A6A"/>
    <w:rsid w:val="00A34AF6"/>
    <w:rsid w:val="00A34CAB"/>
    <w:rsid w:val="00A34CFF"/>
    <w:rsid w:val="00A34D49"/>
    <w:rsid w:val="00A35396"/>
    <w:rsid w:val="00A35399"/>
    <w:rsid w:val="00A3592F"/>
    <w:rsid w:val="00A35CAB"/>
    <w:rsid w:val="00A35EAC"/>
    <w:rsid w:val="00A361BE"/>
    <w:rsid w:val="00A36221"/>
    <w:rsid w:val="00A36636"/>
    <w:rsid w:val="00A371A6"/>
    <w:rsid w:val="00A377D3"/>
    <w:rsid w:val="00A37B93"/>
    <w:rsid w:val="00A403D3"/>
    <w:rsid w:val="00A403DE"/>
    <w:rsid w:val="00A40A3C"/>
    <w:rsid w:val="00A40A65"/>
    <w:rsid w:val="00A40C9F"/>
    <w:rsid w:val="00A40CC7"/>
    <w:rsid w:val="00A40E8A"/>
    <w:rsid w:val="00A418FA"/>
    <w:rsid w:val="00A41AB4"/>
    <w:rsid w:val="00A41B51"/>
    <w:rsid w:val="00A41E36"/>
    <w:rsid w:val="00A41FE3"/>
    <w:rsid w:val="00A42731"/>
    <w:rsid w:val="00A42D35"/>
    <w:rsid w:val="00A434F3"/>
    <w:rsid w:val="00A43696"/>
    <w:rsid w:val="00A43751"/>
    <w:rsid w:val="00A43A3A"/>
    <w:rsid w:val="00A43A92"/>
    <w:rsid w:val="00A43BC6"/>
    <w:rsid w:val="00A43EAF"/>
    <w:rsid w:val="00A44291"/>
    <w:rsid w:val="00A448FD"/>
    <w:rsid w:val="00A45143"/>
    <w:rsid w:val="00A453AA"/>
    <w:rsid w:val="00A455B7"/>
    <w:rsid w:val="00A45947"/>
    <w:rsid w:val="00A459D2"/>
    <w:rsid w:val="00A45F3C"/>
    <w:rsid w:val="00A460FB"/>
    <w:rsid w:val="00A461F4"/>
    <w:rsid w:val="00A46D4D"/>
    <w:rsid w:val="00A46E22"/>
    <w:rsid w:val="00A46F17"/>
    <w:rsid w:val="00A47149"/>
    <w:rsid w:val="00A4747D"/>
    <w:rsid w:val="00A47AA0"/>
    <w:rsid w:val="00A47EBC"/>
    <w:rsid w:val="00A50438"/>
    <w:rsid w:val="00A50A9B"/>
    <w:rsid w:val="00A50FB4"/>
    <w:rsid w:val="00A5105F"/>
    <w:rsid w:val="00A5130B"/>
    <w:rsid w:val="00A51507"/>
    <w:rsid w:val="00A5153B"/>
    <w:rsid w:val="00A51636"/>
    <w:rsid w:val="00A5171F"/>
    <w:rsid w:val="00A52632"/>
    <w:rsid w:val="00A52750"/>
    <w:rsid w:val="00A53035"/>
    <w:rsid w:val="00A532BF"/>
    <w:rsid w:val="00A53666"/>
    <w:rsid w:val="00A53A56"/>
    <w:rsid w:val="00A53F2D"/>
    <w:rsid w:val="00A5415B"/>
    <w:rsid w:val="00A546EF"/>
    <w:rsid w:val="00A546FB"/>
    <w:rsid w:val="00A548F5"/>
    <w:rsid w:val="00A54C59"/>
    <w:rsid w:val="00A54D01"/>
    <w:rsid w:val="00A54E61"/>
    <w:rsid w:val="00A54FC4"/>
    <w:rsid w:val="00A55522"/>
    <w:rsid w:val="00A55722"/>
    <w:rsid w:val="00A55B47"/>
    <w:rsid w:val="00A55E05"/>
    <w:rsid w:val="00A55FE0"/>
    <w:rsid w:val="00A5629C"/>
    <w:rsid w:val="00A57199"/>
    <w:rsid w:val="00A57518"/>
    <w:rsid w:val="00A575F4"/>
    <w:rsid w:val="00A57941"/>
    <w:rsid w:val="00A57FA6"/>
    <w:rsid w:val="00A6044A"/>
    <w:rsid w:val="00A605E6"/>
    <w:rsid w:val="00A60608"/>
    <w:rsid w:val="00A6061F"/>
    <w:rsid w:val="00A6066C"/>
    <w:rsid w:val="00A60685"/>
    <w:rsid w:val="00A6068C"/>
    <w:rsid w:val="00A6073C"/>
    <w:rsid w:val="00A608B8"/>
    <w:rsid w:val="00A60AC0"/>
    <w:rsid w:val="00A61058"/>
    <w:rsid w:val="00A62124"/>
    <w:rsid w:val="00A62894"/>
    <w:rsid w:val="00A628A4"/>
    <w:rsid w:val="00A62AE4"/>
    <w:rsid w:val="00A63000"/>
    <w:rsid w:val="00A6300A"/>
    <w:rsid w:val="00A63B94"/>
    <w:rsid w:val="00A63CB6"/>
    <w:rsid w:val="00A63ED0"/>
    <w:rsid w:val="00A64033"/>
    <w:rsid w:val="00A642CB"/>
    <w:rsid w:val="00A64329"/>
    <w:rsid w:val="00A64497"/>
    <w:rsid w:val="00A647C4"/>
    <w:rsid w:val="00A647D3"/>
    <w:rsid w:val="00A64884"/>
    <w:rsid w:val="00A64B94"/>
    <w:rsid w:val="00A64D65"/>
    <w:rsid w:val="00A64DB6"/>
    <w:rsid w:val="00A64DF9"/>
    <w:rsid w:val="00A65067"/>
    <w:rsid w:val="00A656A3"/>
    <w:rsid w:val="00A66361"/>
    <w:rsid w:val="00A66CB2"/>
    <w:rsid w:val="00A670A2"/>
    <w:rsid w:val="00A6717A"/>
    <w:rsid w:val="00A673C8"/>
    <w:rsid w:val="00A6766C"/>
    <w:rsid w:val="00A6789C"/>
    <w:rsid w:val="00A67AD9"/>
    <w:rsid w:val="00A67E23"/>
    <w:rsid w:val="00A67EDC"/>
    <w:rsid w:val="00A67F16"/>
    <w:rsid w:val="00A67F64"/>
    <w:rsid w:val="00A705F0"/>
    <w:rsid w:val="00A70C19"/>
    <w:rsid w:val="00A70CB5"/>
    <w:rsid w:val="00A716FD"/>
    <w:rsid w:val="00A71B99"/>
    <w:rsid w:val="00A71BFD"/>
    <w:rsid w:val="00A7229C"/>
    <w:rsid w:val="00A72B74"/>
    <w:rsid w:val="00A72C38"/>
    <w:rsid w:val="00A72D13"/>
    <w:rsid w:val="00A72D6C"/>
    <w:rsid w:val="00A72F5C"/>
    <w:rsid w:val="00A739BE"/>
    <w:rsid w:val="00A73B57"/>
    <w:rsid w:val="00A73F31"/>
    <w:rsid w:val="00A7452F"/>
    <w:rsid w:val="00A746DC"/>
    <w:rsid w:val="00A748BA"/>
    <w:rsid w:val="00A74BE0"/>
    <w:rsid w:val="00A75387"/>
    <w:rsid w:val="00A757CC"/>
    <w:rsid w:val="00A757EF"/>
    <w:rsid w:val="00A75BE8"/>
    <w:rsid w:val="00A75C70"/>
    <w:rsid w:val="00A75F48"/>
    <w:rsid w:val="00A763BE"/>
    <w:rsid w:val="00A77080"/>
    <w:rsid w:val="00A7741D"/>
    <w:rsid w:val="00A77586"/>
    <w:rsid w:val="00A77820"/>
    <w:rsid w:val="00A77910"/>
    <w:rsid w:val="00A77924"/>
    <w:rsid w:val="00A77AD0"/>
    <w:rsid w:val="00A77D60"/>
    <w:rsid w:val="00A77D83"/>
    <w:rsid w:val="00A77F5A"/>
    <w:rsid w:val="00A80001"/>
    <w:rsid w:val="00A8029B"/>
    <w:rsid w:val="00A802E5"/>
    <w:rsid w:val="00A80381"/>
    <w:rsid w:val="00A80586"/>
    <w:rsid w:val="00A807C8"/>
    <w:rsid w:val="00A8099A"/>
    <w:rsid w:val="00A80DA5"/>
    <w:rsid w:val="00A80DF5"/>
    <w:rsid w:val="00A81089"/>
    <w:rsid w:val="00A81267"/>
    <w:rsid w:val="00A812ED"/>
    <w:rsid w:val="00A813ED"/>
    <w:rsid w:val="00A81788"/>
    <w:rsid w:val="00A8179D"/>
    <w:rsid w:val="00A81A92"/>
    <w:rsid w:val="00A81B94"/>
    <w:rsid w:val="00A81F0D"/>
    <w:rsid w:val="00A82101"/>
    <w:rsid w:val="00A822B4"/>
    <w:rsid w:val="00A822C4"/>
    <w:rsid w:val="00A823DC"/>
    <w:rsid w:val="00A82E10"/>
    <w:rsid w:val="00A82F8D"/>
    <w:rsid w:val="00A831B2"/>
    <w:rsid w:val="00A836F5"/>
    <w:rsid w:val="00A838B7"/>
    <w:rsid w:val="00A83F44"/>
    <w:rsid w:val="00A841CE"/>
    <w:rsid w:val="00A84245"/>
    <w:rsid w:val="00A84472"/>
    <w:rsid w:val="00A845A6"/>
    <w:rsid w:val="00A848A4"/>
    <w:rsid w:val="00A850DD"/>
    <w:rsid w:val="00A85222"/>
    <w:rsid w:val="00A85465"/>
    <w:rsid w:val="00A8571C"/>
    <w:rsid w:val="00A85A25"/>
    <w:rsid w:val="00A8620F"/>
    <w:rsid w:val="00A8621A"/>
    <w:rsid w:val="00A86412"/>
    <w:rsid w:val="00A86487"/>
    <w:rsid w:val="00A86555"/>
    <w:rsid w:val="00A8689A"/>
    <w:rsid w:val="00A86B41"/>
    <w:rsid w:val="00A86C7C"/>
    <w:rsid w:val="00A87306"/>
    <w:rsid w:val="00A8747C"/>
    <w:rsid w:val="00A87694"/>
    <w:rsid w:val="00A8771E"/>
    <w:rsid w:val="00A87E19"/>
    <w:rsid w:val="00A87E9F"/>
    <w:rsid w:val="00A87FAC"/>
    <w:rsid w:val="00A90E9A"/>
    <w:rsid w:val="00A910AE"/>
    <w:rsid w:val="00A91203"/>
    <w:rsid w:val="00A912CB"/>
    <w:rsid w:val="00A91389"/>
    <w:rsid w:val="00A916F6"/>
    <w:rsid w:val="00A919EE"/>
    <w:rsid w:val="00A922A5"/>
    <w:rsid w:val="00A923C5"/>
    <w:rsid w:val="00A92521"/>
    <w:rsid w:val="00A92739"/>
    <w:rsid w:val="00A92A60"/>
    <w:rsid w:val="00A93CB0"/>
    <w:rsid w:val="00A9403D"/>
    <w:rsid w:val="00A940ED"/>
    <w:rsid w:val="00A941FB"/>
    <w:rsid w:val="00A942AC"/>
    <w:rsid w:val="00A94732"/>
    <w:rsid w:val="00A947E4"/>
    <w:rsid w:val="00A94EB9"/>
    <w:rsid w:val="00A95010"/>
    <w:rsid w:val="00A9539F"/>
    <w:rsid w:val="00A954F8"/>
    <w:rsid w:val="00A959E6"/>
    <w:rsid w:val="00A961BC"/>
    <w:rsid w:val="00A963BD"/>
    <w:rsid w:val="00A968C5"/>
    <w:rsid w:val="00A9696B"/>
    <w:rsid w:val="00A96B02"/>
    <w:rsid w:val="00A96B28"/>
    <w:rsid w:val="00A96B9E"/>
    <w:rsid w:val="00A96E24"/>
    <w:rsid w:val="00A971EB"/>
    <w:rsid w:val="00A971F2"/>
    <w:rsid w:val="00A976A0"/>
    <w:rsid w:val="00A97707"/>
    <w:rsid w:val="00A97871"/>
    <w:rsid w:val="00AA01FC"/>
    <w:rsid w:val="00AA08B1"/>
    <w:rsid w:val="00AA0BDF"/>
    <w:rsid w:val="00AA0D56"/>
    <w:rsid w:val="00AA0E94"/>
    <w:rsid w:val="00AA0EA1"/>
    <w:rsid w:val="00AA106C"/>
    <w:rsid w:val="00AA1346"/>
    <w:rsid w:val="00AA1433"/>
    <w:rsid w:val="00AA1605"/>
    <w:rsid w:val="00AA161D"/>
    <w:rsid w:val="00AA172D"/>
    <w:rsid w:val="00AA1A1D"/>
    <w:rsid w:val="00AA1E88"/>
    <w:rsid w:val="00AA219C"/>
    <w:rsid w:val="00AA2537"/>
    <w:rsid w:val="00AA26BB"/>
    <w:rsid w:val="00AA299E"/>
    <w:rsid w:val="00AA2B73"/>
    <w:rsid w:val="00AA2D1F"/>
    <w:rsid w:val="00AA3150"/>
    <w:rsid w:val="00AA3C1A"/>
    <w:rsid w:val="00AA4576"/>
    <w:rsid w:val="00AA45E0"/>
    <w:rsid w:val="00AA486D"/>
    <w:rsid w:val="00AA4BED"/>
    <w:rsid w:val="00AA501C"/>
    <w:rsid w:val="00AA5829"/>
    <w:rsid w:val="00AA5B70"/>
    <w:rsid w:val="00AA5E24"/>
    <w:rsid w:val="00AA640D"/>
    <w:rsid w:val="00AA6E4A"/>
    <w:rsid w:val="00AA6EED"/>
    <w:rsid w:val="00AA6F07"/>
    <w:rsid w:val="00AA79E6"/>
    <w:rsid w:val="00AA7F59"/>
    <w:rsid w:val="00AB01C1"/>
    <w:rsid w:val="00AB04AF"/>
    <w:rsid w:val="00AB06A4"/>
    <w:rsid w:val="00AB0B20"/>
    <w:rsid w:val="00AB0B82"/>
    <w:rsid w:val="00AB1052"/>
    <w:rsid w:val="00AB15DA"/>
    <w:rsid w:val="00AB16F7"/>
    <w:rsid w:val="00AB1869"/>
    <w:rsid w:val="00AB1973"/>
    <w:rsid w:val="00AB1C6F"/>
    <w:rsid w:val="00AB1D8C"/>
    <w:rsid w:val="00AB1DD1"/>
    <w:rsid w:val="00AB1FB6"/>
    <w:rsid w:val="00AB2223"/>
    <w:rsid w:val="00AB30D3"/>
    <w:rsid w:val="00AB3192"/>
    <w:rsid w:val="00AB396F"/>
    <w:rsid w:val="00AB39E2"/>
    <w:rsid w:val="00AB39F9"/>
    <w:rsid w:val="00AB3A43"/>
    <w:rsid w:val="00AB3DA8"/>
    <w:rsid w:val="00AB4658"/>
    <w:rsid w:val="00AB4767"/>
    <w:rsid w:val="00AB498F"/>
    <w:rsid w:val="00AB4A27"/>
    <w:rsid w:val="00AB4DAA"/>
    <w:rsid w:val="00AB5171"/>
    <w:rsid w:val="00AB526A"/>
    <w:rsid w:val="00AB5289"/>
    <w:rsid w:val="00AB5525"/>
    <w:rsid w:val="00AB58D5"/>
    <w:rsid w:val="00AB5925"/>
    <w:rsid w:val="00AB5A3B"/>
    <w:rsid w:val="00AB5B6E"/>
    <w:rsid w:val="00AB5BB4"/>
    <w:rsid w:val="00AB5BC2"/>
    <w:rsid w:val="00AB5C11"/>
    <w:rsid w:val="00AB5C30"/>
    <w:rsid w:val="00AB5CA9"/>
    <w:rsid w:val="00AB64B0"/>
    <w:rsid w:val="00AB67DE"/>
    <w:rsid w:val="00AB7461"/>
    <w:rsid w:val="00AB75A8"/>
    <w:rsid w:val="00AB7643"/>
    <w:rsid w:val="00AB768B"/>
    <w:rsid w:val="00AB7732"/>
    <w:rsid w:val="00AC0052"/>
    <w:rsid w:val="00AC014E"/>
    <w:rsid w:val="00AC0E46"/>
    <w:rsid w:val="00AC10D6"/>
    <w:rsid w:val="00AC10D9"/>
    <w:rsid w:val="00AC14F0"/>
    <w:rsid w:val="00AC1588"/>
    <w:rsid w:val="00AC1A8A"/>
    <w:rsid w:val="00AC2363"/>
    <w:rsid w:val="00AC2449"/>
    <w:rsid w:val="00AC2497"/>
    <w:rsid w:val="00AC274B"/>
    <w:rsid w:val="00AC29F2"/>
    <w:rsid w:val="00AC2C5D"/>
    <w:rsid w:val="00AC2D59"/>
    <w:rsid w:val="00AC3152"/>
    <w:rsid w:val="00AC3433"/>
    <w:rsid w:val="00AC36F8"/>
    <w:rsid w:val="00AC37B8"/>
    <w:rsid w:val="00AC37D9"/>
    <w:rsid w:val="00AC3A2E"/>
    <w:rsid w:val="00AC3C87"/>
    <w:rsid w:val="00AC3F2D"/>
    <w:rsid w:val="00AC41FF"/>
    <w:rsid w:val="00AC4669"/>
    <w:rsid w:val="00AC48C5"/>
    <w:rsid w:val="00AC4F31"/>
    <w:rsid w:val="00AC52B5"/>
    <w:rsid w:val="00AC593C"/>
    <w:rsid w:val="00AC5DE9"/>
    <w:rsid w:val="00AC635F"/>
    <w:rsid w:val="00AC67CA"/>
    <w:rsid w:val="00AC698E"/>
    <w:rsid w:val="00AC7296"/>
    <w:rsid w:val="00AC7306"/>
    <w:rsid w:val="00AC751F"/>
    <w:rsid w:val="00AC763B"/>
    <w:rsid w:val="00AC7C6F"/>
    <w:rsid w:val="00AC7C93"/>
    <w:rsid w:val="00AD00A7"/>
    <w:rsid w:val="00AD022A"/>
    <w:rsid w:val="00AD0F12"/>
    <w:rsid w:val="00AD0F26"/>
    <w:rsid w:val="00AD1056"/>
    <w:rsid w:val="00AD12C0"/>
    <w:rsid w:val="00AD12FA"/>
    <w:rsid w:val="00AD13D0"/>
    <w:rsid w:val="00AD1CDC"/>
    <w:rsid w:val="00AD1FE6"/>
    <w:rsid w:val="00AD221B"/>
    <w:rsid w:val="00AD24A7"/>
    <w:rsid w:val="00AD2638"/>
    <w:rsid w:val="00AD2BC8"/>
    <w:rsid w:val="00AD2D3B"/>
    <w:rsid w:val="00AD2FCF"/>
    <w:rsid w:val="00AD32D1"/>
    <w:rsid w:val="00AD3473"/>
    <w:rsid w:val="00AD38BA"/>
    <w:rsid w:val="00AD393D"/>
    <w:rsid w:val="00AD3A6F"/>
    <w:rsid w:val="00AD3C2A"/>
    <w:rsid w:val="00AD3D29"/>
    <w:rsid w:val="00AD42BE"/>
    <w:rsid w:val="00AD45ED"/>
    <w:rsid w:val="00AD4836"/>
    <w:rsid w:val="00AD4AA8"/>
    <w:rsid w:val="00AD4E8A"/>
    <w:rsid w:val="00AD50B4"/>
    <w:rsid w:val="00AD5688"/>
    <w:rsid w:val="00AD5CE0"/>
    <w:rsid w:val="00AD5E2E"/>
    <w:rsid w:val="00AD633C"/>
    <w:rsid w:val="00AD650D"/>
    <w:rsid w:val="00AD67B5"/>
    <w:rsid w:val="00AD6C4E"/>
    <w:rsid w:val="00AD6C4F"/>
    <w:rsid w:val="00AD71D1"/>
    <w:rsid w:val="00AD7596"/>
    <w:rsid w:val="00AD773B"/>
    <w:rsid w:val="00AD7A27"/>
    <w:rsid w:val="00AD7E9C"/>
    <w:rsid w:val="00AE0055"/>
    <w:rsid w:val="00AE0384"/>
    <w:rsid w:val="00AE044D"/>
    <w:rsid w:val="00AE0B44"/>
    <w:rsid w:val="00AE0B97"/>
    <w:rsid w:val="00AE0BD7"/>
    <w:rsid w:val="00AE0D0F"/>
    <w:rsid w:val="00AE10EB"/>
    <w:rsid w:val="00AE1136"/>
    <w:rsid w:val="00AE1393"/>
    <w:rsid w:val="00AE14C4"/>
    <w:rsid w:val="00AE15FF"/>
    <w:rsid w:val="00AE1695"/>
    <w:rsid w:val="00AE21FE"/>
    <w:rsid w:val="00AE23CC"/>
    <w:rsid w:val="00AE25A0"/>
    <w:rsid w:val="00AE2F0C"/>
    <w:rsid w:val="00AE300E"/>
    <w:rsid w:val="00AE3A7D"/>
    <w:rsid w:val="00AE3AE7"/>
    <w:rsid w:val="00AE3CD2"/>
    <w:rsid w:val="00AE46D9"/>
    <w:rsid w:val="00AE4A11"/>
    <w:rsid w:val="00AE4EB5"/>
    <w:rsid w:val="00AE548B"/>
    <w:rsid w:val="00AE579F"/>
    <w:rsid w:val="00AE57AF"/>
    <w:rsid w:val="00AE5FDD"/>
    <w:rsid w:val="00AE6528"/>
    <w:rsid w:val="00AE6693"/>
    <w:rsid w:val="00AE6AC4"/>
    <w:rsid w:val="00AE727E"/>
    <w:rsid w:val="00AE72E1"/>
    <w:rsid w:val="00AE7676"/>
    <w:rsid w:val="00AE76B8"/>
    <w:rsid w:val="00AE7827"/>
    <w:rsid w:val="00AF0109"/>
    <w:rsid w:val="00AF024C"/>
    <w:rsid w:val="00AF028A"/>
    <w:rsid w:val="00AF034A"/>
    <w:rsid w:val="00AF077C"/>
    <w:rsid w:val="00AF081A"/>
    <w:rsid w:val="00AF0B47"/>
    <w:rsid w:val="00AF0BA9"/>
    <w:rsid w:val="00AF12B8"/>
    <w:rsid w:val="00AF14E6"/>
    <w:rsid w:val="00AF1667"/>
    <w:rsid w:val="00AF24EF"/>
    <w:rsid w:val="00AF2623"/>
    <w:rsid w:val="00AF263C"/>
    <w:rsid w:val="00AF2763"/>
    <w:rsid w:val="00AF2973"/>
    <w:rsid w:val="00AF2D9B"/>
    <w:rsid w:val="00AF34B6"/>
    <w:rsid w:val="00AF35FE"/>
    <w:rsid w:val="00AF388F"/>
    <w:rsid w:val="00AF3906"/>
    <w:rsid w:val="00AF39EE"/>
    <w:rsid w:val="00AF3D9D"/>
    <w:rsid w:val="00AF3FFE"/>
    <w:rsid w:val="00AF42BD"/>
    <w:rsid w:val="00AF46C4"/>
    <w:rsid w:val="00AF4AC8"/>
    <w:rsid w:val="00AF4CD2"/>
    <w:rsid w:val="00AF4F8C"/>
    <w:rsid w:val="00AF51BF"/>
    <w:rsid w:val="00AF5BF8"/>
    <w:rsid w:val="00AF5F6F"/>
    <w:rsid w:val="00AF6375"/>
    <w:rsid w:val="00AF63BD"/>
    <w:rsid w:val="00AF686D"/>
    <w:rsid w:val="00AF69EE"/>
    <w:rsid w:val="00AF6A26"/>
    <w:rsid w:val="00AF6AC0"/>
    <w:rsid w:val="00AF6AF6"/>
    <w:rsid w:val="00AF6B1E"/>
    <w:rsid w:val="00AF6F15"/>
    <w:rsid w:val="00AF72DC"/>
    <w:rsid w:val="00AF73CF"/>
    <w:rsid w:val="00AF74CC"/>
    <w:rsid w:val="00AF75C7"/>
    <w:rsid w:val="00AF773A"/>
    <w:rsid w:val="00AF778B"/>
    <w:rsid w:val="00AF7AB1"/>
    <w:rsid w:val="00AF7AC6"/>
    <w:rsid w:val="00AF7E7F"/>
    <w:rsid w:val="00B00A12"/>
    <w:rsid w:val="00B00F23"/>
    <w:rsid w:val="00B00FC8"/>
    <w:rsid w:val="00B01067"/>
    <w:rsid w:val="00B012E7"/>
    <w:rsid w:val="00B017E0"/>
    <w:rsid w:val="00B019A9"/>
    <w:rsid w:val="00B02014"/>
    <w:rsid w:val="00B0226F"/>
    <w:rsid w:val="00B02648"/>
    <w:rsid w:val="00B02A3B"/>
    <w:rsid w:val="00B02F67"/>
    <w:rsid w:val="00B03107"/>
    <w:rsid w:val="00B035EF"/>
    <w:rsid w:val="00B03752"/>
    <w:rsid w:val="00B03DC8"/>
    <w:rsid w:val="00B04314"/>
    <w:rsid w:val="00B04669"/>
    <w:rsid w:val="00B046C6"/>
    <w:rsid w:val="00B047E8"/>
    <w:rsid w:val="00B04C6B"/>
    <w:rsid w:val="00B04D64"/>
    <w:rsid w:val="00B04DC8"/>
    <w:rsid w:val="00B04EAE"/>
    <w:rsid w:val="00B04ED5"/>
    <w:rsid w:val="00B0501C"/>
    <w:rsid w:val="00B0505E"/>
    <w:rsid w:val="00B054AF"/>
    <w:rsid w:val="00B05A73"/>
    <w:rsid w:val="00B05DB1"/>
    <w:rsid w:val="00B06471"/>
    <w:rsid w:val="00B06627"/>
    <w:rsid w:val="00B06862"/>
    <w:rsid w:val="00B068FA"/>
    <w:rsid w:val="00B06AEF"/>
    <w:rsid w:val="00B07249"/>
    <w:rsid w:val="00B07DA6"/>
    <w:rsid w:val="00B1029B"/>
    <w:rsid w:val="00B108C7"/>
    <w:rsid w:val="00B109D0"/>
    <w:rsid w:val="00B10DB3"/>
    <w:rsid w:val="00B10F38"/>
    <w:rsid w:val="00B1108C"/>
    <w:rsid w:val="00B114FD"/>
    <w:rsid w:val="00B1150C"/>
    <w:rsid w:val="00B117A8"/>
    <w:rsid w:val="00B1297C"/>
    <w:rsid w:val="00B12C4E"/>
    <w:rsid w:val="00B12C9A"/>
    <w:rsid w:val="00B12CA5"/>
    <w:rsid w:val="00B13479"/>
    <w:rsid w:val="00B1385A"/>
    <w:rsid w:val="00B13C4A"/>
    <w:rsid w:val="00B13D9D"/>
    <w:rsid w:val="00B13FBA"/>
    <w:rsid w:val="00B14201"/>
    <w:rsid w:val="00B14371"/>
    <w:rsid w:val="00B14635"/>
    <w:rsid w:val="00B1466D"/>
    <w:rsid w:val="00B14BF2"/>
    <w:rsid w:val="00B14DD6"/>
    <w:rsid w:val="00B15453"/>
    <w:rsid w:val="00B155B1"/>
    <w:rsid w:val="00B156C6"/>
    <w:rsid w:val="00B160F4"/>
    <w:rsid w:val="00B16302"/>
    <w:rsid w:val="00B16505"/>
    <w:rsid w:val="00B17083"/>
    <w:rsid w:val="00B17759"/>
    <w:rsid w:val="00B177CC"/>
    <w:rsid w:val="00B17A58"/>
    <w:rsid w:val="00B17AD6"/>
    <w:rsid w:val="00B17F93"/>
    <w:rsid w:val="00B2025E"/>
    <w:rsid w:val="00B20299"/>
    <w:rsid w:val="00B202A5"/>
    <w:rsid w:val="00B204AE"/>
    <w:rsid w:val="00B20C12"/>
    <w:rsid w:val="00B212B8"/>
    <w:rsid w:val="00B214B2"/>
    <w:rsid w:val="00B214DF"/>
    <w:rsid w:val="00B21712"/>
    <w:rsid w:val="00B2171C"/>
    <w:rsid w:val="00B21E0C"/>
    <w:rsid w:val="00B2211C"/>
    <w:rsid w:val="00B221EC"/>
    <w:rsid w:val="00B2296E"/>
    <w:rsid w:val="00B22AC2"/>
    <w:rsid w:val="00B22F18"/>
    <w:rsid w:val="00B23F14"/>
    <w:rsid w:val="00B2402A"/>
    <w:rsid w:val="00B24251"/>
    <w:rsid w:val="00B243EE"/>
    <w:rsid w:val="00B246E9"/>
    <w:rsid w:val="00B2474D"/>
    <w:rsid w:val="00B24784"/>
    <w:rsid w:val="00B24B39"/>
    <w:rsid w:val="00B24FAD"/>
    <w:rsid w:val="00B254E3"/>
    <w:rsid w:val="00B2552B"/>
    <w:rsid w:val="00B25646"/>
    <w:rsid w:val="00B256FD"/>
    <w:rsid w:val="00B267CC"/>
    <w:rsid w:val="00B26A21"/>
    <w:rsid w:val="00B26D33"/>
    <w:rsid w:val="00B26D59"/>
    <w:rsid w:val="00B26DC1"/>
    <w:rsid w:val="00B26FD8"/>
    <w:rsid w:val="00B272CB"/>
    <w:rsid w:val="00B273F9"/>
    <w:rsid w:val="00B2748F"/>
    <w:rsid w:val="00B27637"/>
    <w:rsid w:val="00B2797D"/>
    <w:rsid w:val="00B30796"/>
    <w:rsid w:val="00B30BA9"/>
    <w:rsid w:val="00B30CBB"/>
    <w:rsid w:val="00B31661"/>
    <w:rsid w:val="00B32123"/>
    <w:rsid w:val="00B3218D"/>
    <w:rsid w:val="00B3242E"/>
    <w:rsid w:val="00B32608"/>
    <w:rsid w:val="00B328D7"/>
    <w:rsid w:val="00B32A82"/>
    <w:rsid w:val="00B32C6A"/>
    <w:rsid w:val="00B32D39"/>
    <w:rsid w:val="00B32E21"/>
    <w:rsid w:val="00B32E36"/>
    <w:rsid w:val="00B331B6"/>
    <w:rsid w:val="00B332ED"/>
    <w:rsid w:val="00B3416E"/>
    <w:rsid w:val="00B342ED"/>
    <w:rsid w:val="00B344B9"/>
    <w:rsid w:val="00B34641"/>
    <w:rsid w:val="00B3469F"/>
    <w:rsid w:val="00B352F5"/>
    <w:rsid w:val="00B35761"/>
    <w:rsid w:val="00B3579F"/>
    <w:rsid w:val="00B358EF"/>
    <w:rsid w:val="00B35B08"/>
    <w:rsid w:val="00B3630A"/>
    <w:rsid w:val="00B3681A"/>
    <w:rsid w:val="00B368A3"/>
    <w:rsid w:val="00B36A01"/>
    <w:rsid w:val="00B36CEB"/>
    <w:rsid w:val="00B36ED0"/>
    <w:rsid w:val="00B37365"/>
    <w:rsid w:val="00B37519"/>
    <w:rsid w:val="00B376CD"/>
    <w:rsid w:val="00B379FD"/>
    <w:rsid w:val="00B37A65"/>
    <w:rsid w:val="00B37D63"/>
    <w:rsid w:val="00B407CC"/>
    <w:rsid w:val="00B40841"/>
    <w:rsid w:val="00B40BB3"/>
    <w:rsid w:val="00B40D0F"/>
    <w:rsid w:val="00B41189"/>
    <w:rsid w:val="00B4162B"/>
    <w:rsid w:val="00B417E1"/>
    <w:rsid w:val="00B41B61"/>
    <w:rsid w:val="00B41F82"/>
    <w:rsid w:val="00B42095"/>
    <w:rsid w:val="00B429B2"/>
    <w:rsid w:val="00B42A6B"/>
    <w:rsid w:val="00B42C46"/>
    <w:rsid w:val="00B433C9"/>
    <w:rsid w:val="00B43560"/>
    <w:rsid w:val="00B438F2"/>
    <w:rsid w:val="00B4396E"/>
    <w:rsid w:val="00B43FB2"/>
    <w:rsid w:val="00B44A25"/>
    <w:rsid w:val="00B44CB6"/>
    <w:rsid w:val="00B4502B"/>
    <w:rsid w:val="00B45333"/>
    <w:rsid w:val="00B4544D"/>
    <w:rsid w:val="00B45AB8"/>
    <w:rsid w:val="00B45AF0"/>
    <w:rsid w:val="00B45DA3"/>
    <w:rsid w:val="00B46038"/>
    <w:rsid w:val="00B460FB"/>
    <w:rsid w:val="00B46C96"/>
    <w:rsid w:val="00B46F50"/>
    <w:rsid w:val="00B4732F"/>
    <w:rsid w:val="00B47505"/>
    <w:rsid w:val="00B478C3"/>
    <w:rsid w:val="00B47914"/>
    <w:rsid w:val="00B479CE"/>
    <w:rsid w:val="00B47B67"/>
    <w:rsid w:val="00B47F3D"/>
    <w:rsid w:val="00B506AF"/>
    <w:rsid w:val="00B5077F"/>
    <w:rsid w:val="00B50D3C"/>
    <w:rsid w:val="00B50D99"/>
    <w:rsid w:val="00B50F3C"/>
    <w:rsid w:val="00B50F8C"/>
    <w:rsid w:val="00B51023"/>
    <w:rsid w:val="00B514C8"/>
    <w:rsid w:val="00B515D6"/>
    <w:rsid w:val="00B515DA"/>
    <w:rsid w:val="00B51843"/>
    <w:rsid w:val="00B51C04"/>
    <w:rsid w:val="00B51FDC"/>
    <w:rsid w:val="00B5246A"/>
    <w:rsid w:val="00B52597"/>
    <w:rsid w:val="00B5264F"/>
    <w:rsid w:val="00B52B9E"/>
    <w:rsid w:val="00B52D80"/>
    <w:rsid w:val="00B52F45"/>
    <w:rsid w:val="00B534DC"/>
    <w:rsid w:val="00B5398A"/>
    <w:rsid w:val="00B53B8B"/>
    <w:rsid w:val="00B53D7D"/>
    <w:rsid w:val="00B53F17"/>
    <w:rsid w:val="00B54045"/>
    <w:rsid w:val="00B54084"/>
    <w:rsid w:val="00B5450D"/>
    <w:rsid w:val="00B548C3"/>
    <w:rsid w:val="00B54AAC"/>
    <w:rsid w:val="00B55053"/>
    <w:rsid w:val="00B550A5"/>
    <w:rsid w:val="00B555D2"/>
    <w:rsid w:val="00B557CE"/>
    <w:rsid w:val="00B55817"/>
    <w:rsid w:val="00B55C9B"/>
    <w:rsid w:val="00B55E79"/>
    <w:rsid w:val="00B5645B"/>
    <w:rsid w:val="00B564AE"/>
    <w:rsid w:val="00B567A8"/>
    <w:rsid w:val="00B567BF"/>
    <w:rsid w:val="00B569C1"/>
    <w:rsid w:val="00B56B43"/>
    <w:rsid w:val="00B56E3C"/>
    <w:rsid w:val="00B57214"/>
    <w:rsid w:val="00B577EA"/>
    <w:rsid w:val="00B57AF0"/>
    <w:rsid w:val="00B57D59"/>
    <w:rsid w:val="00B57DAA"/>
    <w:rsid w:val="00B57EB0"/>
    <w:rsid w:val="00B6009B"/>
    <w:rsid w:val="00B603B8"/>
    <w:rsid w:val="00B60596"/>
    <w:rsid w:val="00B60720"/>
    <w:rsid w:val="00B60DAA"/>
    <w:rsid w:val="00B60DC2"/>
    <w:rsid w:val="00B60DD4"/>
    <w:rsid w:val="00B60E03"/>
    <w:rsid w:val="00B61A1A"/>
    <w:rsid w:val="00B61B9A"/>
    <w:rsid w:val="00B61F96"/>
    <w:rsid w:val="00B62123"/>
    <w:rsid w:val="00B623EE"/>
    <w:rsid w:val="00B62517"/>
    <w:rsid w:val="00B62ED5"/>
    <w:rsid w:val="00B63431"/>
    <w:rsid w:val="00B63676"/>
    <w:rsid w:val="00B63712"/>
    <w:rsid w:val="00B63727"/>
    <w:rsid w:val="00B63D95"/>
    <w:rsid w:val="00B641CB"/>
    <w:rsid w:val="00B649F7"/>
    <w:rsid w:val="00B64D3E"/>
    <w:rsid w:val="00B64E11"/>
    <w:rsid w:val="00B652FA"/>
    <w:rsid w:val="00B65400"/>
    <w:rsid w:val="00B656B6"/>
    <w:rsid w:val="00B65738"/>
    <w:rsid w:val="00B65E27"/>
    <w:rsid w:val="00B660E8"/>
    <w:rsid w:val="00B661A9"/>
    <w:rsid w:val="00B663A5"/>
    <w:rsid w:val="00B663E1"/>
    <w:rsid w:val="00B664B8"/>
    <w:rsid w:val="00B664F0"/>
    <w:rsid w:val="00B66613"/>
    <w:rsid w:val="00B66782"/>
    <w:rsid w:val="00B66E3B"/>
    <w:rsid w:val="00B66F0E"/>
    <w:rsid w:val="00B6701A"/>
    <w:rsid w:val="00B67A62"/>
    <w:rsid w:val="00B67B56"/>
    <w:rsid w:val="00B70872"/>
    <w:rsid w:val="00B70901"/>
    <w:rsid w:val="00B70AC5"/>
    <w:rsid w:val="00B7138B"/>
    <w:rsid w:val="00B71462"/>
    <w:rsid w:val="00B71621"/>
    <w:rsid w:val="00B71857"/>
    <w:rsid w:val="00B71896"/>
    <w:rsid w:val="00B721AF"/>
    <w:rsid w:val="00B727B4"/>
    <w:rsid w:val="00B72C89"/>
    <w:rsid w:val="00B72DF6"/>
    <w:rsid w:val="00B72F6E"/>
    <w:rsid w:val="00B73031"/>
    <w:rsid w:val="00B73541"/>
    <w:rsid w:val="00B73555"/>
    <w:rsid w:val="00B735A4"/>
    <w:rsid w:val="00B73673"/>
    <w:rsid w:val="00B737F1"/>
    <w:rsid w:val="00B73A0A"/>
    <w:rsid w:val="00B73BCE"/>
    <w:rsid w:val="00B73D5A"/>
    <w:rsid w:val="00B74085"/>
    <w:rsid w:val="00B741B2"/>
    <w:rsid w:val="00B74257"/>
    <w:rsid w:val="00B74732"/>
    <w:rsid w:val="00B7475A"/>
    <w:rsid w:val="00B74CC8"/>
    <w:rsid w:val="00B74D5F"/>
    <w:rsid w:val="00B758F0"/>
    <w:rsid w:val="00B75FB2"/>
    <w:rsid w:val="00B762B5"/>
    <w:rsid w:val="00B764EA"/>
    <w:rsid w:val="00B76EDE"/>
    <w:rsid w:val="00B77061"/>
    <w:rsid w:val="00B77521"/>
    <w:rsid w:val="00B77804"/>
    <w:rsid w:val="00B77A5F"/>
    <w:rsid w:val="00B77BC6"/>
    <w:rsid w:val="00B77C77"/>
    <w:rsid w:val="00B77E01"/>
    <w:rsid w:val="00B800D5"/>
    <w:rsid w:val="00B80291"/>
    <w:rsid w:val="00B80540"/>
    <w:rsid w:val="00B80633"/>
    <w:rsid w:val="00B80B26"/>
    <w:rsid w:val="00B80D4A"/>
    <w:rsid w:val="00B81863"/>
    <w:rsid w:val="00B81D9B"/>
    <w:rsid w:val="00B82108"/>
    <w:rsid w:val="00B828F1"/>
    <w:rsid w:val="00B82A9D"/>
    <w:rsid w:val="00B82BC1"/>
    <w:rsid w:val="00B82D7F"/>
    <w:rsid w:val="00B83662"/>
    <w:rsid w:val="00B83748"/>
    <w:rsid w:val="00B837FE"/>
    <w:rsid w:val="00B83914"/>
    <w:rsid w:val="00B83A49"/>
    <w:rsid w:val="00B83D2A"/>
    <w:rsid w:val="00B83D5E"/>
    <w:rsid w:val="00B83E62"/>
    <w:rsid w:val="00B83FAE"/>
    <w:rsid w:val="00B843AE"/>
    <w:rsid w:val="00B84BFC"/>
    <w:rsid w:val="00B84C1C"/>
    <w:rsid w:val="00B86066"/>
    <w:rsid w:val="00B8640B"/>
    <w:rsid w:val="00B8691F"/>
    <w:rsid w:val="00B86977"/>
    <w:rsid w:val="00B86F5E"/>
    <w:rsid w:val="00B86F79"/>
    <w:rsid w:val="00B8717A"/>
    <w:rsid w:val="00B87573"/>
    <w:rsid w:val="00B87937"/>
    <w:rsid w:val="00B87E6F"/>
    <w:rsid w:val="00B87ECE"/>
    <w:rsid w:val="00B9004A"/>
    <w:rsid w:val="00B902EC"/>
    <w:rsid w:val="00B904CC"/>
    <w:rsid w:val="00B9075B"/>
    <w:rsid w:val="00B9090C"/>
    <w:rsid w:val="00B9093A"/>
    <w:rsid w:val="00B912E3"/>
    <w:rsid w:val="00B91455"/>
    <w:rsid w:val="00B917A1"/>
    <w:rsid w:val="00B91B4C"/>
    <w:rsid w:val="00B91C98"/>
    <w:rsid w:val="00B9261B"/>
    <w:rsid w:val="00B92A7F"/>
    <w:rsid w:val="00B92BCA"/>
    <w:rsid w:val="00B92C46"/>
    <w:rsid w:val="00B9331D"/>
    <w:rsid w:val="00B9388D"/>
    <w:rsid w:val="00B93BA7"/>
    <w:rsid w:val="00B9426D"/>
    <w:rsid w:val="00B944DD"/>
    <w:rsid w:val="00B945AF"/>
    <w:rsid w:val="00B945B0"/>
    <w:rsid w:val="00B94792"/>
    <w:rsid w:val="00B94AAD"/>
    <w:rsid w:val="00B94CEE"/>
    <w:rsid w:val="00B94F5D"/>
    <w:rsid w:val="00B95239"/>
    <w:rsid w:val="00B952B2"/>
    <w:rsid w:val="00B95304"/>
    <w:rsid w:val="00B95381"/>
    <w:rsid w:val="00B9567C"/>
    <w:rsid w:val="00B95936"/>
    <w:rsid w:val="00B95B0C"/>
    <w:rsid w:val="00B9618A"/>
    <w:rsid w:val="00B96219"/>
    <w:rsid w:val="00B96766"/>
    <w:rsid w:val="00B96858"/>
    <w:rsid w:val="00B9707C"/>
    <w:rsid w:val="00B9720D"/>
    <w:rsid w:val="00B9756D"/>
    <w:rsid w:val="00B97D19"/>
    <w:rsid w:val="00B97E82"/>
    <w:rsid w:val="00BA0210"/>
    <w:rsid w:val="00BA0B42"/>
    <w:rsid w:val="00BA0C97"/>
    <w:rsid w:val="00BA0F0E"/>
    <w:rsid w:val="00BA1005"/>
    <w:rsid w:val="00BA1303"/>
    <w:rsid w:val="00BA1581"/>
    <w:rsid w:val="00BA1724"/>
    <w:rsid w:val="00BA1A14"/>
    <w:rsid w:val="00BA1B0F"/>
    <w:rsid w:val="00BA1B3C"/>
    <w:rsid w:val="00BA1DB3"/>
    <w:rsid w:val="00BA1E9E"/>
    <w:rsid w:val="00BA248B"/>
    <w:rsid w:val="00BA2539"/>
    <w:rsid w:val="00BA26E0"/>
    <w:rsid w:val="00BA27CD"/>
    <w:rsid w:val="00BA2C25"/>
    <w:rsid w:val="00BA2E53"/>
    <w:rsid w:val="00BA3236"/>
    <w:rsid w:val="00BA3624"/>
    <w:rsid w:val="00BA3770"/>
    <w:rsid w:val="00BA37AF"/>
    <w:rsid w:val="00BA38BD"/>
    <w:rsid w:val="00BA3B11"/>
    <w:rsid w:val="00BA3E1C"/>
    <w:rsid w:val="00BA3F7C"/>
    <w:rsid w:val="00BA3FD0"/>
    <w:rsid w:val="00BA422E"/>
    <w:rsid w:val="00BA4550"/>
    <w:rsid w:val="00BA4619"/>
    <w:rsid w:val="00BA4785"/>
    <w:rsid w:val="00BA4BB4"/>
    <w:rsid w:val="00BA4E31"/>
    <w:rsid w:val="00BA4F10"/>
    <w:rsid w:val="00BA529A"/>
    <w:rsid w:val="00BA58D5"/>
    <w:rsid w:val="00BA5966"/>
    <w:rsid w:val="00BA5F8D"/>
    <w:rsid w:val="00BA608C"/>
    <w:rsid w:val="00BA64D0"/>
    <w:rsid w:val="00BA68E7"/>
    <w:rsid w:val="00BA6962"/>
    <w:rsid w:val="00BA6DCA"/>
    <w:rsid w:val="00BA7149"/>
    <w:rsid w:val="00BA71E5"/>
    <w:rsid w:val="00BA7688"/>
    <w:rsid w:val="00BA76C7"/>
    <w:rsid w:val="00BA7761"/>
    <w:rsid w:val="00BA7888"/>
    <w:rsid w:val="00BA7964"/>
    <w:rsid w:val="00BA7ABB"/>
    <w:rsid w:val="00BA7AC5"/>
    <w:rsid w:val="00BA7B7B"/>
    <w:rsid w:val="00BA7EFF"/>
    <w:rsid w:val="00BA7F36"/>
    <w:rsid w:val="00BB017D"/>
    <w:rsid w:val="00BB0AFC"/>
    <w:rsid w:val="00BB0DD9"/>
    <w:rsid w:val="00BB0F00"/>
    <w:rsid w:val="00BB11DD"/>
    <w:rsid w:val="00BB12AA"/>
    <w:rsid w:val="00BB1BAA"/>
    <w:rsid w:val="00BB1EB7"/>
    <w:rsid w:val="00BB23C9"/>
    <w:rsid w:val="00BB2921"/>
    <w:rsid w:val="00BB2DD6"/>
    <w:rsid w:val="00BB3392"/>
    <w:rsid w:val="00BB349F"/>
    <w:rsid w:val="00BB3616"/>
    <w:rsid w:val="00BB3625"/>
    <w:rsid w:val="00BB37CA"/>
    <w:rsid w:val="00BB3CBA"/>
    <w:rsid w:val="00BB3E8F"/>
    <w:rsid w:val="00BB4063"/>
    <w:rsid w:val="00BB4209"/>
    <w:rsid w:val="00BB44C2"/>
    <w:rsid w:val="00BB4552"/>
    <w:rsid w:val="00BB48F8"/>
    <w:rsid w:val="00BB4A15"/>
    <w:rsid w:val="00BB4A24"/>
    <w:rsid w:val="00BB5028"/>
    <w:rsid w:val="00BB554B"/>
    <w:rsid w:val="00BB5708"/>
    <w:rsid w:val="00BB5945"/>
    <w:rsid w:val="00BB605B"/>
    <w:rsid w:val="00BB65F8"/>
    <w:rsid w:val="00BB71AA"/>
    <w:rsid w:val="00BB71C1"/>
    <w:rsid w:val="00BB7277"/>
    <w:rsid w:val="00BB73FB"/>
    <w:rsid w:val="00BB75CC"/>
    <w:rsid w:val="00BB78BA"/>
    <w:rsid w:val="00BB7CAF"/>
    <w:rsid w:val="00BB7D22"/>
    <w:rsid w:val="00BC02A6"/>
    <w:rsid w:val="00BC04A7"/>
    <w:rsid w:val="00BC0756"/>
    <w:rsid w:val="00BC1016"/>
    <w:rsid w:val="00BC12D9"/>
    <w:rsid w:val="00BC13EE"/>
    <w:rsid w:val="00BC1436"/>
    <w:rsid w:val="00BC148E"/>
    <w:rsid w:val="00BC14A8"/>
    <w:rsid w:val="00BC1547"/>
    <w:rsid w:val="00BC18E9"/>
    <w:rsid w:val="00BC1A96"/>
    <w:rsid w:val="00BC1B36"/>
    <w:rsid w:val="00BC2CFA"/>
    <w:rsid w:val="00BC2D25"/>
    <w:rsid w:val="00BC306C"/>
    <w:rsid w:val="00BC36BB"/>
    <w:rsid w:val="00BC3C46"/>
    <w:rsid w:val="00BC3C98"/>
    <w:rsid w:val="00BC3D27"/>
    <w:rsid w:val="00BC3E65"/>
    <w:rsid w:val="00BC419A"/>
    <w:rsid w:val="00BC42AF"/>
    <w:rsid w:val="00BC45C5"/>
    <w:rsid w:val="00BC4DCF"/>
    <w:rsid w:val="00BC4E1F"/>
    <w:rsid w:val="00BC50F5"/>
    <w:rsid w:val="00BC50F6"/>
    <w:rsid w:val="00BC52A6"/>
    <w:rsid w:val="00BC556F"/>
    <w:rsid w:val="00BC5AEE"/>
    <w:rsid w:val="00BC5BC4"/>
    <w:rsid w:val="00BC60A7"/>
    <w:rsid w:val="00BC6466"/>
    <w:rsid w:val="00BC668A"/>
    <w:rsid w:val="00BC6769"/>
    <w:rsid w:val="00BC6C12"/>
    <w:rsid w:val="00BC7148"/>
    <w:rsid w:val="00BC72A2"/>
    <w:rsid w:val="00BC72AE"/>
    <w:rsid w:val="00BC737E"/>
    <w:rsid w:val="00BC7928"/>
    <w:rsid w:val="00BC79B6"/>
    <w:rsid w:val="00BC7D08"/>
    <w:rsid w:val="00BC7E38"/>
    <w:rsid w:val="00BD049B"/>
    <w:rsid w:val="00BD0822"/>
    <w:rsid w:val="00BD09AE"/>
    <w:rsid w:val="00BD0A77"/>
    <w:rsid w:val="00BD0B77"/>
    <w:rsid w:val="00BD0EBF"/>
    <w:rsid w:val="00BD1C9D"/>
    <w:rsid w:val="00BD1CA5"/>
    <w:rsid w:val="00BD1FA3"/>
    <w:rsid w:val="00BD2094"/>
    <w:rsid w:val="00BD2142"/>
    <w:rsid w:val="00BD283C"/>
    <w:rsid w:val="00BD2B20"/>
    <w:rsid w:val="00BD2CA1"/>
    <w:rsid w:val="00BD2F09"/>
    <w:rsid w:val="00BD30CC"/>
    <w:rsid w:val="00BD384B"/>
    <w:rsid w:val="00BD3FFE"/>
    <w:rsid w:val="00BD4269"/>
    <w:rsid w:val="00BD428C"/>
    <w:rsid w:val="00BD43B6"/>
    <w:rsid w:val="00BD4BAA"/>
    <w:rsid w:val="00BD529E"/>
    <w:rsid w:val="00BD544E"/>
    <w:rsid w:val="00BD5835"/>
    <w:rsid w:val="00BD5838"/>
    <w:rsid w:val="00BD6782"/>
    <w:rsid w:val="00BD6810"/>
    <w:rsid w:val="00BD686E"/>
    <w:rsid w:val="00BD695C"/>
    <w:rsid w:val="00BD6F91"/>
    <w:rsid w:val="00BD7330"/>
    <w:rsid w:val="00BD7742"/>
    <w:rsid w:val="00BD7755"/>
    <w:rsid w:val="00BD776F"/>
    <w:rsid w:val="00BD77CF"/>
    <w:rsid w:val="00BD78AF"/>
    <w:rsid w:val="00BD7905"/>
    <w:rsid w:val="00BD7EA8"/>
    <w:rsid w:val="00BE012B"/>
    <w:rsid w:val="00BE043A"/>
    <w:rsid w:val="00BE0470"/>
    <w:rsid w:val="00BE05AA"/>
    <w:rsid w:val="00BE08EE"/>
    <w:rsid w:val="00BE09A6"/>
    <w:rsid w:val="00BE0DE4"/>
    <w:rsid w:val="00BE0EFA"/>
    <w:rsid w:val="00BE1072"/>
    <w:rsid w:val="00BE11A3"/>
    <w:rsid w:val="00BE13A4"/>
    <w:rsid w:val="00BE1596"/>
    <w:rsid w:val="00BE1A79"/>
    <w:rsid w:val="00BE1FBF"/>
    <w:rsid w:val="00BE211D"/>
    <w:rsid w:val="00BE21FA"/>
    <w:rsid w:val="00BE23D6"/>
    <w:rsid w:val="00BE2998"/>
    <w:rsid w:val="00BE2D0F"/>
    <w:rsid w:val="00BE32CB"/>
    <w:rsid w:val="00BE3335"/>
    <w:rsid w:val="00BE3B92"/>
    <w:rsid w:val="00BE40F0"/>
    <w:rsid w:val="00BE4505"/>
    <w:rsid w:val="00BE4F74"/>
    <w:rsid w:val="00BE51CF"/>
    <w:rsid w:val="00BE52FF"/>
    <w:rsid w:val="00BE537D"/>
    <w:rsid w:val="00BE53F1"/>
    <w:rsid w:val="00BE5874"/>
    <w:rsid w:val="00BE5D90"/>
    <w:rsid w:val="00BE6307"/>
    <w:rsid w:val="00BE6363"/>
    <w:rsid w:val="00BE66DE"/>
    <w:rsid w:val="00BE677A"/>
    <w:rsid w:val="00BE69C3"/>
    <w:rsid w:val="00BE6A5A"/>
    <w:rsid w:val="00BE6B7E"/>
    <w:rsid w:val="00BE6D77"/>
    <w:rsid w:val="00BE7229"/>
    <w:rsid w:val="00BE733C"/>
    <w:rsid w:val="00BE7509"/>
    <w:rsid w:val="00BE7574"/>
    <w:rsid w:val="00BE7874"/>
    <w:rsid w:val="00BF0428"/>
    <w:rsid w:val="00BF05C6"/>
    <w:rsid w:val="00BF0825"/>
    <w:rsid w:val="00BF0A87"/>
    <w:rsid w:val="00BF0E37"/>
    <w:rsid w:val="00BF0ED3"/>
    <w:rsid w:val="00BF1079"/>
    <w:rsid w:val="00BF11E4"/>
    <w:rsid w:val="00BF1287"/>
    <w:rsid w:val="00BF1472"/>
    <w:rsid w:val="00BF1A23"/>
    <w:rsid w:val="00BF1A57"/>
    <w:rsid w:val="00BF1C36"/>
    <w:rsid w:val="00BF1CC3"/>
    <w:rsid w:val="00BF2372"/>
    <w:rsid w:val="00BF23E7"/>
    <w:rsid w:val="00BF24A9"/>
    <w:rsid w:val="00BF26EA"/>
    <w:rsid w:val="00BF2809"/>
    <w:rsid w:val="00BF286D"/>
    <w:rsid w:val="00BF2964"/>
    <w:rsid w:val="00BF2A89"/>
    <w:rsid w:val="00BF2AD6"/>
    <w:rsid w:val="00BF3084"/>
    <w:rsid w:val="00BF3285"/>
    <w:rsid w:val="00BF3361"/>
    <w:rsid w:val="00BF3593"/>
    <w:rsid w:val="00BF3A6C"/>
    <w:rsid w:val="00BF3B7E"/>
    <w:rsid w:val="00BF3D91"/>
    <w:rsid w:val="00BF4601"/>
    <w:rsid w:val="00BF48DA"/>
    <w:rsid w:val="00BF4959"/>
    <w:rsid w:val="00BF4EF7"/>
    <w:rsid w:val="00BF5082"/>
    <w:rsid w:val="00BF53A7"/>
    <w:rsid w:val="00BF5A0B"/>
    <w:rsid w:val="00BF6285"/>
    <w:rsid w:val="00BF62B4"/>
    <w:rsid w:val="00BF64EF"/>
    <w:rsid w:val="00BF6716"/>
    <w:rsid w:val="00BF67A8"/>
    <w:rsid w:val="00BF6A7D"/>
    <w:rsid w:val="00BF7014"/>
    <w:rsid w:val="00BF7435"/>
    <w:rsid w:val="00BF7887"/>
    <w:rsid w:val="00BF78E8"/>
    <w:rsid w:val="00BF7918"/>
    <w:rsid w:val="00BF7AB2"/>
    <w:rsid w:val="00BF7AFE"/>
    <w:rsid w:val="00BF7DDB"/>
    <w:rsid w:val="00BF7EC6"/>
    <w:rsid w:val="00C00179"/>
    <w:rsid w:val="00C002EA"/>
    <w:rsid w:val="00C009E8"/>
    <w:rsid w:val="00C01200"/>
    <w:rsid w:val="00C0126B"/>
    <w:rsid w:val="00C012C8"/>
    <w:rsid w:val="00C0161D"/>
    <w:rsid w:val="00C01D0B"/>
    <w:rsid w:val="00C01DC7"/>
    <w:rsid w:val="00C021FC"/>
    <w:rsid w:val="00C026E3"/>
    <w:rsid w:val="00C02832"/>
    <w:rsid w:val="00C02A6C"/>
    <w:rsid w:val="00C02BD5"/>
    <w:rsid w:val="00C030C2"/>
    <w:rsid w:val="00C038DB"/>
    <w:rsid w:val="00C04384"/>
    <w:rsid w:val="00C04A3E"/>
    <w:rsid w:val="00C04C44"/>
    <w:rsid w:val="00C04CB3"/>
    <w:rsid w:val="00C04EA5"/>
    <w:rsid w:val="00C050EE"/>
    <w:rsid w:val="00C05B0A"/>
    <w:rsid w:val="00C05B95"/>
    <w:rsid w:val="00C06414"/>
    <w:rsid w:val="00C06602"/>
    <w:rsid w:val="00C0665A"/>
    <w:rsid w:val="00C06745"/>
    <w:rsid w:val="00C0676B"/>
    <w:rsid w:val="00C06935"/>
    <w:rsid w:val="00C0719F"/>
    <w:rsid w:val="00C073F1"/>
    <w:rsid w:val="00C07466"/>
    <w:rsid w:val="00C07575"/>
    <w:rsid w:val="00C0778F"/>
    <w:rsid w:val="00C07851"/>
    <w:rsid w:val="00C07AA9"/>
    <w:rsid w:val="00C1004E"/>
    <w:rsid w:val="00C10148"/>
    <w:rsid w:val="00C101B0"/>
    <w:rsid w:val="00C10232"/>
    <w:rsid w:val="00C10276"/>
    <w:rsid w:val="00C10294"/>
    <w:rsid w:val="00C102E3"/>
    <w:rsid w:val="00C1061F"/>
    <w:rsid w:val="00C108A9"/>
    <w:rsid w:val="00C109A5"/>
    <w:rsid w:val="00C10F59"/>
    <w:rsid w:val="00C10F94"/>
    <w:rsid w:val="00C11526"/>
    <w:rsid w:val="00C11917"/>
    <w:rsid w:val="00C11ED3"/>
    <w:rsid w:val="00C12640"/>
    <w:rsid w:val="00C12D4B"/>
    <w:rsid w:val="00C132CA"/>
    <w:rsid w:val="00C1345F"/>
    <w:rsid w:val="00C13491"/>
    <w:rsid w:val="00C13D6E"/>
    <w:rsid w:val="00C140C6"/>
    <w:rsid w:val="00C14756"/>
    <w:rsid w:val="00C148BB"/>
    <w:rsid w:val="00C14B9C"/>
    <w:rsid w:val="00C15600"/>
    <w:rsid w:val="00C1600D"/>
    <w:rsid w:val="00C165DF"/>
    <w:rsid w:val="00C1668C"/>
    <w:rsid w:val="00C16836"/>
    <w:rsid w:val="00C16B0A"/>
    <w:rsid w:val="00C177C2"/>
    <w:rsid w:val="00C1781E"/>
    <w:rsid w:val="00C178D6"/>
    <w:rsid w:val="00C178E0"/>
    <w:rsid w:val="00C17998"/>
    <w:rsid w:val="00C17DF6"/>
    <w:rsid w:val="00C17EEA"/>
    <w:rsid w:val="00C201FF"/>
    <w:rsid w:val="00C20404"/>
    <w:rsid w:val="00C20ADD"/>
    <w:rsid w:val="00C20DE1"/>
    <w:rsid w:val="00C20F22"/>
    <w:rsid w:val="00C20F8B"/>
    <w:rsid w:val="00C21197"/>
    <w:rsid w:val="00C2130F"/>
    <w:rsid w:val="00C2174D"/>
    <w:rsid w:val="00C21788"/>
    <w:rsid w:val="00C217AC"/>
    <w:rsid w:val="00C21805"/>
    <w:rsid w:val="00C21899"/>
    <w:rsid w:val="00C219D1"/>
    <w:rsid w:val="00C21E98"/>
    <w:rsid w:val="00C22392"/>
    <w:rsid w:val="00C224C8"/>
    <w:rsid w:val="00C22559"/>
    <w:rsid w:val="00C22AF9"/>
    <w:rsid w:val="00C22E26"/>
    <w:rsid w:val="00C234EA"/>
    <w:rsid w:val="00C238C9"/>
    <w:rsid w:val="00C23F2C"/>
    <w:rsid w:val="00C23F2E"/>
    <w:rsid w:val="00C240F1"/>
    <w:rsid w:val="00C242D6"/>
    <w:rsid w:val="00C24382"/>
    <w:rsid w:val="00C2464E"/>
    <w:rsid w:val="00C24794"/>
    <w:rsid w:val="00C2484C"/>
    <w:rsid w:val="00C24948"/>
    <w:rsid w:val="00C24AA5"/>
    <w:rsid w:val="00C24F62"/>
    <w:rsid w:val="00C25193"/>
    <w:rsid w:val="00C25523"/>
    <w:rsid w:val="00C2582B"/>
    <w:rsid w:val="00C25D42"/>
    <w:rsid w:val="00C26953"/>
    <w:rsid w:val="00C2715E"/>
    <w:rsid w:val="00C2728C"/>
    <w:rsid w:val="00C2739A"/>
    <w:rsid w:val="00C2760F"/>
    <w:rsid w:val="00C27711"/>
    <w:rsid w:val="00C2777B"/>
    <w:rsid w:val="00C27927"/>
    <w:rsid w:val="00C27BAC"/>
    <w:rsid w:val="00C27C26"/>
    <w:rsid w:val="00C27DBC"/>
    <w:rsid w:val="00C27EE5"/>
    <w:rsid w:val="00C27FE1"/>
    <w:rsid w:val="00C300E9"/>
    <w:rsid w:val="00C30161"/>
    <w:rsid w:val="00C30225"/>
    <w:rsid w:val="00C30649"/>
    <w:rsid w:val="00C3088E"/>
    <w:rsid w:val="00C30F58"/>
    <w:rsid w:val="00C310C2"/>
    <w:rsid w:val="00C31739"/>
    <w:rsid w:val="00C31DC0"/>
    <w:rsid w:val="00C31E7A"/>
    <w:rsid w:val="00C320AE"/>
    <w:rsid w:val="00C32151"/>
    <w:rsid w:val="00C3278F"/>
    <w:rsid w:val="00C32B4A"/>
    <w:rsid w:val="00C331AE"/>
    <w:rsid w:val="00C332CA"/>
    <w:rsid w:val="00C338D0"/>
    <w:rsid w:val="00C339CB"/>
    <w:rsid w:val="00C33A28"/>
    <w:rsid w:val="00C33C93"/>
    <w:rsid w:val="00C33D9D"/>
    <w:rsid w:val="00C33F19"/>
    <w:rsid w:val="00C33FA0"/>
    <w:rsid w:val="00C3423F"/>
    <w:rsid w:val="00C34B17"/>
    <w:rsid w:val="00C34E2F"/>
    <w:rsid w:val="00C34F47"/>
    <w:rsid w:val="00C35331"/>
    <w:rsid w:val="00C35A14"/>
    <w:rsid w:val="00C35EE5"/>
    <w:rsid w:val="00C360AC"/>
    <w:rsid w:val="00C36184"/>
    <w:rsid w:val="00C36FF5"/>
    <w:rsid w:val="00C374DC"/>
    <w:rsid w:val="00C377C1"/>
    <w:rsid w:val="00C37BD3"/>
    <w:rsid w:val="00C40317"/>
    <w:rsid w:val="00C403D8"/>
    <w:rsid w:val="00C40430"/>
    <w:rsid w:val="00C40A23"/>
    <w:rsid w:val="00C40B3A"/>
    <w:rsid w:val="00C412B8"/>
    <w:rsid w:val="00C4208B"/>
    <w:rsid w:val="00C4227D"/>
    <w:rsid w:val="00C4277C"/>
    <w:rsid w:val="00C42B5B"/>
    <w:rsid w:val="00C42E4E"/>
    <w:rsid w:val="00C42FF5"/>
    <w:rsid w:val="00C432D0"/>
    <w:rsid w:val="00C4344F"/>
    <w:rsid w:val="00C4357D"/>
    <w:rsid w:val="00C43938"/>
    <w:rsid w:val="00C43B89"/>
    <w:rsid w:val="00C43CE9"/>
    <w:rsid w:val="00C440D1"/>
    <w:rsid w:val="00C444BB"/>
    <w:rsid w:val="00C4453C"/>
    <w:rsid w:val="00C4457A"/>
    <w:rsid w:val="00C445E8"/>
    <w:rsid w:val="00C44BB9"/>
    <w:rsid w:val="00C44E66"/>
    <w:rsid w:val="00C45028"/>
    <w:rsid w:val="00C45205"/>
    <w:rsid w:val="00C454DF"/>
    <w:rsid w:val="00C45552"/>
    <w:rsid w:val="00C45966"/>
    <w:rsid w:val="00C45969"/>
    <w:rsid w:val="00C45A43"/>
    <w:rsid w:val="00C45A97"/>
    <w:rsid w:val="00C45C9A"/>
    <w:rsid w:val="00C45E91"/>
    <w:rsid w:val="00C4611A"/>
    <w:rsid w:val="00C46340"/>
    <w:rsid w:val="00C463C1"/>
    <w:rsid w:val="00C4654E"/>
    <w:rsid w:val="00C46B6A"/>
    <w:rsid w:val="00C46C73"/>
    <w:rsid w:val="00C46F23"/>
    <w:rsid w:val="00C472E4"/>
    <w:rsid w:val="00C47381"/>
    <w:rsid w:val="00C47512"/>
    <w:rsid w:val="00C47F74"/>
    <w:rsid w:val="00C5049D"/>
    <w:rsid w:val="00C50C80"/>
    <w:rsid w:val="00C50D67"/>
    <w:rsid w:val="00C51184"/>
    <w:rsid w:val="00C51246"/>
    <w:rsid w:val="00C5126F"/>
    <w:rsid w:val="00C51C9D"/>
    <w:rsid w:val="00C521CD"/>
    <w:rsid w:val="00C522D2"/>
    <w:rsid w:val="00C52544"/>
    <w:rsid w:val="00C5274E"/>
    <w:rsid w:val="00C527E5"/>
    <w:rsid w:val="00C52829"/>
    <w:rsid w:val="00C528BD"/>
    <w:rsid w:val="00C52C4D"/>
    <w:rsid w:val="00C52CB7"/>
    <w:rsid w:val="00C52EC7"/>
    <w:rsid w:val="00C52FE8"/>
    <w:rsid w:val="00C530D2"/>
    <w:rsid w:val="00C53B55"/>
    <w:rsid w:val="00C53D1F"/>
    <w:rsid w:val="00C53D3E"/>
    <w:rsid w:val="00C53E13"/>
    <w:rsid w:val="00C53E4A"/>
    <w:rsid w:val="00C54014"/>
    <w:rsid w:val="00C54120"/>
    <w:rsid w:val="00C54ABD"/>
    <w:rsid w:val="00C54DAC"/>
    <w:rsid w:val="00C5500E"/>
    <w:rsid w:val="00C552D9"/>
    <w:rsid w:val="00C5530E"/>
    <w:rsid w:val="00C55A9F"/>
    <w:rsid w:val="00C55E33"/>
    <w:rsid w:val="00C56225"/>
    <w:rsid w:val="00C56718"/>
    <w:rsid w:val="00C568A7"/>
    <w:rsid w:val="00C56B8B"/>
    <w:rsid w:val="00C56C22"/>
    <w:rsid w:val="00C56DF6"/>
    <w:rsid w:val="00C57169"/>
    <w:rsid w:val="00C57396"/>
    <w:rsid w:val="00C574EA"/>
    <w:rsid w:val="00C5764D"/>
    <w:rsid w:val="00C5776C"/>
    <w:rsid w:val="00C57970"/>
    <w:rsid w:val="00C579D7"/>
    <w:rsid w:val="00C57CF5"/>
    <w:rsid w:val="00C6047E"/>
    <w:rsid w:val="00C60B4A"/>
    <w:rsid w:val="00C60BB5"/>
    <w:rsid w:val="00C60C3C"/>
    <w:rsid w:val="00C60D34"/>
    <w:rsid w:val="00C60E8A"/>
    <w:rsid w:val="00C6114C"/>
    <w:rsid w:val="00C612E8"/>
    <w:rsid w:val="00C616AA"/>
    <w:rsid w:val="00C61710"/>
    <w:rsid w:val="00C61718"/>
    <w:rsid w:val="00C617E6"/>
    <w:rsid w:val="00C620F8"/>
    <w:rsid w:val="00C62447"/>
    <w:rsid w:val="00C624C5"/>
    <w:rsid w:val="00C62538"/>
    <w:rsid w:val="00C6294E"/>
    <w:rsid w:val="00C62DBB"/>
    <w:rsid w:val="00C62E0A"/>
    <w:rsid w:val="00C62E6B"/>
    <w:rsid w:val="00C62F0F"/>
    <w:rsid w:val="00C630C1"/>
    <w:rsid w:val="00C63666"/>
    <w:rsid w:val="00C63697"/>
    <w:rsid w:val="00C6399B"/>
    <w:rsid w:val="00C63EF2"/>
    <w:rsid w:val="00C649F8"/>
    <w:rsid w:val="00C64E4F"/>
    <w:rsid w:val="00C65097"/>
    <w:rsid w:val="00C65184"/>
    <w:rsid w:val="00C65325"/>
    <w:rsid w:val="00C656E3"/>
    <w:rsid w:val="00C658BB"/>
    <w:rsid w:val="00C6590C"/>
    <w:rsid w:val="00C65A2F"/>
    <w:rsid w:val="00C6614B"/>
    <w:rsid w:val="00C66534"/>
    <w:rsid w:val="00C6664F"/>
    <w:rsid w:val="00C66AE9"/>
    <w:rsid w:val="00C66E01"/>
    <w:rsid w:val="00C66EAA"/>
    <w:rsid w:val="00C67A83"/>
    <w:rsid w:val="00C67BDF"/>
    <w:rsid w:val="00C67E8F"/>
    <w:rsid w:val="00C67F14"/>
    <w:rsid w:val="00C70228"/>
    <w:rsid w:val="00C70509"/>
    <w:rsid w:val="00C70923"/>
    <w:rsid w:val="00C70983"/>
    <w:rsid w:val="00C70B95"/>
    <w:rsid w:val="00C7109B"/>
    <w:rsid w:val="00C71791"/>
    <w:rsid w:val="00C722D6"/>
    <w:rsid w:val="00C7299E"/>
    <w:rsid w:val="00C72A10"/>
    <w:rsid w:val="00C72BBD"/>
    <w:rsid w:val="00C72FEA"/>
    <w:rsid w:val="00C734B4"/>
    <w:rsid w:val="00C736D4"/>
    <w:rsid w:val="00C740D9"/>
    <w:rsid w:val="00C74A6F"/>
    <w:rsid w:val="00C74C94"/>
    <w:rsid w:val="00C74E42"/>
    <w:rsid w:val="00C75529"/>
    <w:rsid w:val="00C75578"/>
    <w:rsid w:val="00C7557A"/>
    <w:rsid w:val="00C75705"/>
    <w:rsid w:val="00C759F4"/>
    <w:rsid w:val="00C75B79"/>
    <w:rsid w:val="00C76385"/>
    <w:rsid w:val="00C7677D"/>
    <w:rsid w:val="00C76999"/>
    <w:rsid w:val="00C76AED"/>
    <w:rsid w:val="00C76E5C"/>
    <w:rsid w:val="00C77145"/>
    <w:rsid w:val="00C77599"/>
    <w:rsid w:val="00C77661"/>
    <w:rsid w:val="00C7785B"/>
    <w:rsid w:val="00C77B91"/>
    <w:rsid w:val="00C77D3A"/>
    <w:rsid w:val="00C77E37"/>
    <w:rsid w:val="00C8038A"/>
    <w:rsid w:val="00C80421"/>
    <w:rsid w:val="00C805BC"/>
    <w:rsid w:val="00C8101A"/>
    <w:rsid w:val="00C811C3"/>
    <w:rsid w:val="00C81354"/>
    <w:rsid w:val="00C817EA"/>
    <w:rsid w:val="00C81EBA"/>
    <w:rsid w:val="00C81F02"/>
    <w:rsid w:val="00C8206E"/>
    <w:rsid w:val="00C82122"/>
    <w:rsid w:val="00C82351"/>
    <w:rsid w:val="00C826EF"/>
    <w:rsid w:val="00C82B91"/>
    <w:rsid w:val="00C82D1B"/>
    <w:rsid w:val="00C82D9E"/>
    <w:rsid w:val="00C82E27"/>
    <w:rsid w:val="00C82E6A"/>
    <w:rsid w:val="00C8323F"/>
    <w:rsid w:val="00C8334F"/>
    <w:rsid w:val="00C8351F"/>
    <w:rsid w:val="00C83588"/>
    <w:rsid w:val="00C837AD"/>
    <w:rsid w:val="00C839DB"/>
    <w:rsid w:val="00C83B52"/>
    <w:rsid w:val="00C83DA3"/>
    <w:rsid w:val="00C84219"/>
    <w:rsid w:val="00C8439A"/>
    <w:rsid w:val="00C84787"/>
    <w:rsid w:val="00C84F30"/>
    <w:rsid w:val="00C85EE3"/>
    <w:rsid w:val="00C86248"/>
    <w:rsid w:val="00C864DE"/>
    <w:rsid w:val="00C869D1"/>
    <w:rsid w:val="00C869DE"/>
    <w:rsid w:val="00C876D9"/>
    <w:rsid w:val="00C87AD8"/>
    <w:rsid w:val="00C87AF9"/>
    <w:rsid w:val="00C87CE4"/>
    <w:rsid w:val="00C87EA1"/>
    <w:rsid w:val="00C87F6E"/>
    <w:rsid w:val="00C902AB"/>
    <w:rsid w:val="00C9082F"/>
    <w:rsid w:val="00C9095A"/>
    <w:rsid w:val="00C90D0B"/>
    <w:rsid w:val="00C91198"/>
    <w:rsid w:val="00C913AA"/>
    <w:rsid w:val="00C913C4"/>
    <w:rsid w:val="00C91594"/>
    <w:rsid w:val="00C917BE"/>
    <w:rsid w:val="00C9193C"/>
    <w:rsid w:val="00C91941"/>
    <w:rsid w:val="00C91949"/>
    <w:rsid w:val="00C91B9E"/>
    <w:rsid w:val="00C91F87"/>
    <w:rsid w:val="00C91F98"/>
    <w:rsid w:val="00C922BC"/>
    <w:rsid w:val="00C92C36"/>
    <w:rsid w:val="00C934F3"/>
    <w:rsid w:val="00C9372B"/>
    <w:rsid w:val="00C9377D"/>
    <w:rsid w:val="00C93B17"/>
    <w:rsid w:val="00C93BB4"/>
    <w:rsid w:val="00C93EF7"/>
    <w:rsid w:val="00C941CB"/>
    <w:rsid w:val="00C948B9"/>
    <w:rsid w:val="00C94A9B"/>
    <w:rsid w:val="00C94D56"/>
    <w:rsid w:val="00C95436"/>
    <w:rsid w:val="00C9554C"/>
    <w:rsid w:val="00C95588"/>
    <w:rsid w:val="00C95847"/>
    <w:rsid w:val="00C958CC"/>
    <w:rsid w:val="00C95AC9"/>
    <w:rsid w:val="00C95FB3"/>
    <w:rsid w:val="00C96204"/>
    <w:rsid w:val="00C96B21"/>
    <w:rsid w:val="00C96C95"/>
    <w:rsid w:val="00C96E44"/>
    <w:rsid w:val="00C9707E"/>
    <w:rsid w:val="00C970E2"/>
    <w:rsid w:val="00C973B3"/>
    <w:rsid w:val="00C97C8C"/>
    <w:rsid w:val="00C97D36"/>
    <w:rsid w:val="00C97E60"/>
    <w:rsid w:val="00CA02BA"/>
    <w:rsid w:val="00CA0B0A"/>
    <w:rsid w:val="00CA0BBC"/>
    <w:rsid w:val="00CA0FA5"/>
    <w:rsid w:val="00CA149D"/>
    <w:rsid w:val="00CA1A13"/>
    <w:rsid w:val="00CA1B69"/>
    <w:rsid w:val="00CA1E90"/>
    <w:rsid w:val="00CA2827"/>
    <w:rsid w:val="00CA2A83"/>
    <w:rsid w:val="00CA2E3E"/>
    <w:rsid w:val="00CA2EAC"/>
    <w:rsid w:val="00CA2F02"/>
    <w:rsid w:val="00CA2F51"/>
    <w:rsid w:val="00CA2F69"/>
    <w:rsid w:val="00CA368E"/>
    <w:rsid w:val="00CA37CD"/>
    <w:rsid w:val="00CA3C84"/>
    <w:rsid w:val="00CA3D8F"/>
    <w:rsid w:val="00CA40D8"/>
    <w:rsid w:val="00CA44E3"/>
    <w:rsid w:val="00CA4608"/>
    <w:rsid w:val="00CA49CF"/>
    <w:rsid w:val="00CA4B43"/>
    <w:rsid w:val="00CA4B69"/>
    <w:rsid w:val="00CA4D38"/>
    <w:rsid w:val="00CA4E7C"/>
    <w:rsid w:val="00CA53F9"/>
    <w:rsid w:val="00CA564C"/>
    <w:rsid w:val="00CA56B8"/>
    <w:rsid w:val="00CA56BA"/>
    <w:rsid w:val="00CA5ACB"/>
    <w:rsid w:val="00CA5CDD"/>
    <w:rsid w:val="00CA5D18"/>
    <w:rsid w:val="00CA60B4"/>
    <w:rsid w:val="00CA68B0"/>
    <w:rsid w:val="00CA6F28"/>
    <w:rsid w:val="00CA6FD4"/>
    <w:rsid w:val="00CA71E1"/>
    <w:rsid w:val="00CA77BC"/>
    <w:rsid w:val="00CB08BD"/>
    <w:rsid w:val="00CB1210"/>
    <w:rsid w:val="00CB124D"/>
    <w:rsid w:val="00CB1346"/>
    <w:rsid w:val="00CB137C"/>
    <w:rsid w:val="00CB1550"/>
    <w:rsid w:val="00CB212C"/>
    <w:rsid w:val="00CB24ED"/>
    <w:rsid w:val="00CB2D21"/>
    <w:rsid w:val="00CB2D91"/>
    <w:rsid w:val="00CB2E6B"/>
    <w:rsid w:val="00CB2F42"/>
    <w:rsid w:val="00CB340A"/>
    <w:rsid w:val="00CB3CD7"/>
    <w:rsid w:val="00CB43B8"/>
    <w:rsid w:val="00CB4407"/>
    <w:rsid w:val="00CB473A"/>
    <w:rsid w:val="00CB49B2"/>
    <w:rsid w:val="00CB4B67"/>
    <w:rsid w:val="00CB4C0A"/>
    <w:rsid w:val="00CB5100"/>
    <w:rsid w:val="00CB530C"/>
    <w:rsid w:val="00CB5332"/>
    <w:rsid w:val="00CB5371"/>
    <w:rsid w:val="00CB5B0F"/>
    <w:rsid w:val="00CB5BE5"/>
    <w:rsid w:val="00CB5C8A"/>
    <w:rsid w:val="00CB5D52"/>
    <w:rsid w:val="00CB5EF5"/>
    <w:rsid w:val="00CB606C"/>
    <w:rsid w:val="00CB644F"/>
    <w:rsid w:val="00CB71B7"/>
    <w:rsid w:val="00CB7367"/>
    <w:rsid w:val="00CB7516"/>
    <w:rsid w:val="00CB762E"/>
    <w:rsid w:val="00CB7781"/>
    <w:rsid w:val="00CB78AB"/>
    <w:rsid w:val="00CB7950"/>
    <w:rsid w:val="00CB7B9B"/>
    <w:rsid w:val="00CB7BDE"/>
    <w:rsid w:val="00CB7C42"/>
    <w:rsid w:val="00CC0402"/>
    <w:rsid w:val="00CC0D7B"/>
    <w:rsid w:val="00CC0F6A"/>
    <w:rsid w:val="00CC0F98"/>
    <w:rsid w:val="00CC12A1"/>
    <w:rsid w:val="00CC12D8"/>
    <w:rsid w:val="00CC1851"/>
    <w:rsid w:val="00CC1B5C"/>
    <w:rsid w:val="00CC1C7C"/>
    <w:rsid w:val="00CC1EBA"/>
    <w:rsid w:val="00CC1F95"/>
    <w:rsid w:val="00CC2088"/>
    <w:rsid w:val="00CC2239"/>
    <w:rsid w:val="00CC26FF"/>
    <w:rsid w:val="00CC2931"/>
    <w:rsid w:val="00CC29E4"/>
    <w:rsid w:val="00CC2B30"/>
    <w:rsid w:val="00CC33E7"/>
    <w:rsid w:val="00CC379B"/>
    <w:rsid w:val="00CC3B2B"/>
    <w:rsid w:val="00CC42C7"/>
    <w:rsid w:val="00CC450D"/>
    <w:rsid w:val="00CC475B"/>
    <w:rsid w:val="00CC5098"/>
    <w:rsid w:val="00CC5532"/>
    <w:rsid w:val="00CC5604"/>
    <w:rsid w:val="00CC5AEE"/>
    <w:rsid w:val="00CC5C61"/>
    <w:rsid w:val="00CC6139"/>
    <w:rsid w:val="00CC650F"/>
    <w:rsid w:val="00CC698C"/>
    <w:rsid w:val="00CC6C03"/>
    <w:rsid w:val="00CC71E1"/>
    <w:rsid w:val="00CC7425"/>
    <w:rsid w:val="00CC754E"/>
    <w:rsid w:val="00CC75B7"/>
    <w:rsid w:val="00CC784C"/>
    <w:rsid w:val="00CC7ACA"/>
    <w:rsid w:val="00CC7BD3"/>
    <w:rsid w:val="00CC7C2D"/>
    <w:rsid w:val="00CC7EF7"/>
    <w:rsid w:val="00CD004A"/>
    <w:rsid w:val="00CD01E7"/>
    <w:rsid w:val="00CD08DA"/>
    <w:rsid w:val="00CD14D6"/>
    <w:rsid w:val="00CD15D2"/>
    <w:rsid w:val="00CD15EE"/>
    <w:rsid w:val="00CD19A5"/>
    <w:rsid w:val="00CD1BBA"/>
    <w:rsid w:val="00CD1C7F"/>
    <w:rsid w:val="00CD234D"/>
    <w:rsid w:val="00CD2465"/>
    <w:rsid w:val="00CD249F"/>
    <w:rsid w:val="00CD29D5"/>
    <w:rsid w:val="00CD2C93"/>
    <w:rsid w:val="00CD3505"/>
    <w:rsid w:val="00CD393C"/>
    <w:rsid w:val="00CD3A8B"/>
    <w:rsid w:val="00CD3DA2"/>
    <w:rsid w:val="00CD3E3C"/>
    <w:rsid w:val="00CD409D"/>
    <w:rsid w:val="00CD411D"/>
    <w:rsid w:val="00CD421A"/>
    <w:rsid w:val="00CD4360"/>
    <w:rsid w:val="00CD4651"/>
    <w:rsid w:val="00CD5327"/>
    <w:rsid w:val="00CD5727"/>
    <w:rsid w:val="00CD5D15"/>
    <w:rsid w:val="00CD5F95"/>
    <w:rsid w:val="00CD624D"/>
    <w:rsid w:val="00CD6263"/>
    <w:rsid w:val="00CD62A2"/>
    <w:rsid w:val="00CD63C5"/>
    <w:rsid w:val="00CD685B"/>
    <w:rsid w:val="00CD6999"/>
    <w:rsid w:val="00CD6A13"/>
    <w:rsid w:val="00CD6D6A"/>
    <w:rsid w:val="00CD76AF"/>
    <w:rsid w:val="00CD7A37"/>
    <w:rsid w:val="00CE0441"/>
    <w:rsid w:val="00CE0DA4"/>
    <w:rsid w:val="00CE0F3D"/>
    <w:rsid w:val="00CE1454"/>
    <w:rsid w:val="00CE16EE"/>
    <w:rsid w:val="00CE192F"/>
    <w:rsid w:val="00CE2242"/>
    <w:rsid w:val="00CE29BF"/>
    <w:rsid w:val="00CE2DD2"/>
    <w:rsid w:val="00CE2F32"/>
    <w:rsid w:val="00CE3158"/>
    <w:rsid w:val="00CE3249"/>
    <w:rsid w:val="00CE3304"/>
    <w:rsid w:val="00CE3764"/>
    <w:rsid w:val="00CE39C2"/>
    <w:rsid w:val="00CE42B3"/>
    <w:rsid w:val="00CE442D"/>
    <w:rsid w:val="00CE4C64"/>
    <w:rsid w:val="00CE4DBD"/>
    <w:rsid w:val="00CE4DC1"/>
    <w:rsid w:val="00CE4E35"/>
    <w:rsid w:val="00CE50BA"/>
    <w:rsid w:val="00CE520E"/>
    <w:rsid w:val="00CE538A"/>
    <w:rsid w:val="00CE5474"/>
    <w:rsid w:val="00CE5D31"/>
    <w:rsid w:val="00CE63B6"/>
    <w:rsid w:val="00CE6691"/>
    <w:rsid w:val="00CE688B"/>
    <w:rsid w:val="00CE7605"/>
    <w:rsid w:val="00CE76A1"/>
    <w:rsid w:val="00CE7802"/>
    <w:rsid w:val="00CF0790"/>
    <w:rsid w:val="00CF10E3"/>
    <w:rsid w:val="00CF1333"/>
    <w:rsid w:val="00CF1934"/>
    <w:rsid w:val="00CF1E21"/>
    <w:rsid w:val="00CF1F58"/>
    <w:rsid w:val="00CF2314"/>
    <w:rsid w:val="00CF239E"/>
    <w:rsid w:val="00CF2459"/>
    <w:rsid w:val="00CF24F9"/>
    <w:rsid w:val="00CF256D"/>
    <w:rsid w:val="00CF271C"/>
    <w:rsid w:val="00CF2B67"/>
    <w:rsid w:val="00CF2DC0"/>
    <w:rsid w:val="00CF3085"/>
    <w:rsid w:val="00CF3162"/>
    <w:rsid w:val="00CF31ED"/>
    <w:rsid w:val="00CF3341"/>
    <w:rsid w:val="00CF38F7"/>
    <w:rsid w:val="00CF3BA9"/>
    <w:rsid w:val="00CF3BB1"/>
    <w:rsid w:val="00CF3E7E"/>
    <w:rsid w:val="00CF3F3C"/>
    <w:rsid w:val="00CF4364"/>
    <w:rsid w:val="00CF4922"/>
    <w:rsid w:val="00CF4ECC"/>
    <w:rsid w:val="00CF52A5"/>
    <w:rsid w:val="00CF53B9"/>
    <w:rsid w:val="00CF6015"/>
    <w:rsid w:val="00CF619C"/>
    <w:rsid w:val="00CF64D4"/>
    <w:rsid w:val="00CF67E3"/>
    <w:rsid w:val="00CF714E"/>
    <w:rsid w:val="00CF7386"/>
    <w:rsid w:val="00CF7487"/>
    <w:rsid w:val="00CF78B3"/>
    <w:rsid w:val="00CF79C5"/>
    <w:rsid w:val="00CF7EF6"/>
    <w:rsid w:val="00D00011"/>
    <w:rsid w:val="00D0019C"/>
    <w:rsid w:val="00D0076F"/>
    <w:rsid w:val="00D00820"/>
    <w:rsid w:val="00D00D1C"/>
    <w:rsid w:val="00D00E36"/>
    <w:rsid w:val="00D010BA"/>
    <w:rsid w:val="00D01210"/>
    <w:rsid w:val="00D013B6"/>
    <w:rsid w:val="00D0165F"/>
    <w:rsid w:val="00D0173F"/>
    <w:rsid w:val="00D01B8C"/>
    <w:rsid w:val="00D01D83"/>
    <w:rsid w:val="00D0215C"/>
    <w:rsid w:val="00D0226D"/>
    <w:rsid w:val="00D02BC1"/>
    <w:rsid w:val="00D02C55"/>
    <w:rsid w:val="00D02DCD"/>
    <w:rsid w:val="00D030D9"/>
    <w:rsid w:val="00D0352E"/>
    <w:rsid w:val="00D03596"/>
    <w:rsid w:val="00D0365E"/>
    <w:rsid w:val="00D0384E"/>
    <w:rsid w:val="00D03ACD"/>
    <w:rsid w:val="00D03B29"/>
    <w:rsid w:val="00D03CC6"/>
    <w:rsid w:val="00D04C6E"/>
    <w:rsid w:val="00D05184"/>
    <w:rsid w:val="00D0519D"/>
    <w:rsid w:val="00D05239"/>
    <w:rsid w:val="00D057E3"/>
    <w:rsid w:val="00D05923"/>
    <w:rsid w:val="00D05D8F"/>
    <w:rsid w:val="00D061D3"/>
    <w:rsid w:val="00D06468"/>
    <w:rsid w:val="00D06619"/>
    <w:rsid w:val="00D06813"/>
    <w:rsid w:val="00D06D12"/>
    <w:rsid w:val="00D06D41"/>
    <w:rsid w:val="00D07391"/>
    <w:rsid w:val="00D07403"/>
    <w:rsid w:val="00D07416"/>
    <w:rsid w:val="00D076AA"/>
    <w:rsid w:val="00D07C0E"/>
    <w:rsid w:val="00D07E84"/>
    <w:rsid w:val="00D10285"/>
    <w:rsid w:val="00D10B1B"/>
    <w:rsid w:val="00D11053"/>
    <w:rsid w:val="00D110BA"/>
    <w:rsid w:val="00D11450"/>
    <w:rsid w:val="00D11D0C"/>
    <w:rsid w:val="00D1209E"/>
    <w:rsid w:val="00D120ED"/>
    <w:rsid w:val="00D12345"/>
    <w:rsid w:val="00D12B30"/>
    <w:rsid w:val="00D130FF"/>
    <w:rsid w:val="00D13182"/>
    <w:rsid w:val="00D13695"/>
    <w:rsid w:val="00D140DE"/>
    <w:rsid w:val="00D14117"/>
    <w:rsid w:val="00D14177"/>
    <w:rsid w:val="00D14358"/>
    <w:rsid w:val="00D143F7"/>
    <w:rsid w:val="00D14BCA"/>
    <w:rsid w:val="00D15252"/>
    <w:rsid w:val="00D152B1"/>
    <w:rsid w:val="00D15477"/>
    <w:rsid w:val="00D15C19"/>
    <w:rsid w:val="00D1603A"/>
    <w:rsid w:val="00D1656C"/>
    <w:rsid w:val="00D16706"/>
    <w:rsid w:val="00D168E6"/>
    <w:rsid w:val="00D16AFE"/>
    <w:rsid w:val="00D16E94"/>
    <w:rsid w:val="00D16F70"/>
    <w:rsid w:val="00D1762A"/>
    <w:rsid w:val="00D1796E"/>
    <w:rsid w:val="00D17D52"/>
    <w:rsid w:val="00D2009F"/>
    <w:rsid w:val="00D2024F"/>
    <w:rsid w:val="00D2051B"/>
    <w:rsid w:val="00D2121C"/>
    <w:rsid w:val="00D21260"/>
    <w:rsid w:val="00D21593"/>
    <w:rsid w:val="00D217A1"/>
    <w:rsid w:val="00D21D24"/>
    <w:rsid w:val="00D222B3"/>
    <w:rsid w:val="00D224CF"/>
    <w:rsid w:val="00D22655"/>
    <w:rsid w:val="00D2297E"/>
    <w:rsid w:val="00D22C21"/>
    <w:rsid w:val="00D23089"/>
    <w:rsid w:val="00D2335F"/>
    <w:rsid w:val="00D2365F"/>
    <w:rsid w:val="00D2368D"/>
    <w:rsid w:val="00D237C8"/>
    <w:rsid w:val="00D23911"/>
    <w:rsid w:val="00D23A0E"/>
    <w:rsid w:val="00D23B87"/>
    <w:rsid w:val="00D23C69"/>
    <w:rsid w:val="00D23D0E"/>
    <w:rsid w:val="00D23DF5"/>
    <w:rsid w:val="00D240E1"/>
    <w:rsid w:val="00D2426A"/>
    <w:rsid w:val="00D24371"/>
    <w:rsid w:val="00D243C1"/>
    <w:rsid w:val="00D248E9"/>
    <w:rsid w:val="00D24C46"/>
    <w:rsid w:val="00D25190"/>
    <w:rsid w:val="00D25284"/>
    <w:rsid w:val="00D252E9"/>
    <w:rsid w:val="00D25365"/>
    <w:rsid w:val="00D253C4"/>
    <w:rsid w:val="00D255A9"/>
    <w:rsid w:val="00D259AE"/>
    <w:rsid w:val="00D25A10"/>
    <w:rsid w:val="00D25C1C"/>
    <w:rsid w:val="00D25CBE"/>
    <w:rsid w:val="00D25D80"/>
    <w:rsid w:val="00D260F0"/>
    <w:rsid w:val="00D2680C"/>
    <w:rsid w:val="00D26923"/>
    <w:rsid w:val="00D26B41"/>
    <w:rsid w:val="00D26BD3"/>
    <w:rsid w:val="00D26E23"/>
    <w:rsid w:val="00D272D4"/>
    <w:rsid w:val="00D27642"/>
    <w:rsid w:val="00D2798B"/>
    <w:rsid w:val="00D27C7C"/>
    <w:rsid w:val="00D27F24"/>
    <w:rsid w:val="00D3011E"/>
    <w:rsid w:val="00D302B5"/>
    <w:rsid w:val="00D30368"/>
    <w:rsid w:val="00D30554"/>
    <w:rsid w:val="00D3056F"/>
    <w:rsid w:val="00D30798"/>
    <w:rsid w:val="00D30933"/>
    <w:rsid w:val="00D30BD0"/>
    <w:rsid w:val="00D30DB5"/>
    <w:rsid w:val="00D31963"/>
    <w:rsid w:val="00D31BEA"/>
    <w:rsid w:val="00D31D37"/>
    <w:rsid w:val="00D31EA3"/>
    <w:rsid w:val="00D3223B"/>
    <w:rsid w:val="00D3244A"/>
    <w:rsid w:val="00D3268F"/>
    <w:rsid w:val="00D32802"/>
    <w:rsid w:val="00D32958"/>
    <w:rsid w:val="00D32AD3"/>
    <w:rsid w:val="00D32B66"/>
    <w:rsid w:val="00D32E58"/>
    <w:rsid w:val="00D32FB5"/>
    <w:rsid w:val="00D332AD"/>
    <w:rsid w:val="00D33697"/>
    <w:rsid w:val="00D33A9C"/>
    <w:rsid w:val="00D33BA5"/>
    <w:rsid w:val="00D33BCC"/>
    <w:rsid w:val="00D340E4"/>
    <w:rsid w:val="00D34524"/>
    <w:rsid w:val="00D34664"/>
    <w:rsid w:val="00D347AD"/>
    <w:rsid w:val="00D347DC"/>
    <w:rsid w:val="00D3485F"/>
    <w:rsid w:val="00D34F1B"/>
    <w:rsid w:val="00D35007"/>
    <w:rsid w:val="00D35265"/>
    <w:rsid w:val="00D352D7"/>
    <w:rsid w:val="00D35412"/>
    <w:rsid w:val="00D355C9"/>
    <w:rsid w:val="00D35C8D"/>
    <w:rsid w:val="00D35FDE"/>
    <w:rsid w:val="00D36473"/>
    <w:rsid w:val="00D36605"/>
    <w:rsid w:val="00D36D17"/>
    <w:rsid w:val="00D3717A"/>
    <w:rsid w:val="00D37A4F"/>
    <w:rsid w:val="00D37A51"/>
    <w:rsid w:val="00D37E2A"/>
    <w:rsid w:val="00D40281"/>
    <w:rsid w:val="00D40295"/>
    <w:rsid w:val="00D4061D"/>
    <w:rsid w:val="00D406C9"/>
    <w:rsid w:val="00D409B9"/>
    <w:rsid w:val="00D40B41"/>
    <w:rsid w:val="00D40D9F"/>
    <w:rsid w:val="00D40F9D"/>
    <w:rsid w:val="00D41425"/>
    <w:rsid w:val="00D414A4"/>
    <w:rsid w:val="00D41635"/>
    <w:rsid w:val="00D41BE8"/>
    <w:rsid w:val="00D41BEB"/>
    <w:rsid w:val="00D41C6B"/>
    <w:rsid w:val="00D41CF9"/>
    <w:rsid w:val="00D41E6F"/>
    <w:rsid w:val="00D42180"/>
    <w:rsid w:val="00D421C9"/>
    <w:rsid w:val="00D42261"/>
    <w:rsid w:val="00D429DB"/>
    <w:rsid w:val="00D42AD6"/>
    <w:rsid w:val="00D42BDD"/>
    <w:rsid w:val="00D42E1B"/>
    <w:rsid w:val="00D432A2"/>
    <w:rsid w:val="00D434CC"/>
    <w:rsid w:val="00D4360C"/>
    <w:rsid w:val="00D43646"/>
    <w:rsid w:val="00D439C9"/>
    <w:rsid w:val="00D43C33"/>
    <w:rsid w:val="00D43D98"/>
    <w:rsid w:val="00D43E41"/>
    <w:rsid w:val="00D43F92"/>
    <w:rsid w:val="00D44154"/>
    <w:rsid w:val="00D44173"/>
    <w:rsid w:val="00D442FA"/>
    <w:rsid w:val="00D4474B"/>
    <w:rsid w:val="00D4478A"/>
    <w:rsid w:val="00D44C5D"/>
    <w:rsid w:val="00D44C79"/>
    <w:rsid w:val="00D44D14"/>
    <w:rsid w:val="00D44E8C"/>
    <w:rsid w:val="00D450FD"/>
    <w:rsid w:val="00D45ADB"/>
    <w:rsid w:val="00D460D1"/>
    <w:rsid w:val="00D4672E"/>
    <w:rsid w:val="00D46764"/>
    <w:rsid w:val="00D467A3"/>
    <w:rsid w:val="00D46BD5"/>
    <w:rsid w:val="00D46C5E"/>
    <w:rsid w:val="00D46E6F"/>
    <w:rsid w:val="00D46F46"/>
    <w:rsid w:val="00D47144"/>
    <w:rsid w:val="00D4719A"/>
    <w:rsid w:val="00D473CC"/>
    <w:rsid w:val="00D478B6"/>
    <w:rsid w:val="00D47BAE"/>
    <w:rsid w:val="00D47C58"/>
    <w:rsid w:val="00D47F42"/>
    <w:rsid w:val="00D50B85"/>
    <w:rsid w:val="00D50DC5"/>
    <w:rsid w:val="00D50F0F"/>
    <w:rsid w:val="00D50F69"/>
    <w:rsid w:val="00D50FC4"/>
    <w:rsid w:val="00D51108"/>
    <w:rsid w:val="00D519F3"/>
    <w:rsid w:val="00D51C38"/>
    <w:rsid w:val="00D52548"/>
    <w:rsid w:val="00D52714"/>
    <w:rsid w:val="00D52C17"/>
    <w:rsid w:val="00D52CB1"/>
    <w:rsid w:val="00D52D07"/>
    <w:rsid w:val="00D533AC"/>
    <w:rsid w:val="00D53516"/>
    <w:rsid w:val="00D536FF"/>
    <w:rsid w:val="00D53D41"/>
    <w:rsid w:val="00D53D55"/>
    <w:rsid w:val="00D5421D"/>
    <w:rsid w:val="00D54462"/>
    <w:rsid w:val="00D544AD"/>
    <w:rsid w:val="00D54B3A"/>
    <w:rsid w:val="00D55011"/>
    <w:rsid w:val="00D5501B"/>
    <w:rsid w:val="00D55072"/>
    <w:rsid w:val="00D55368"/>
    <w:rsid w:val="00D55488"/>
    <w:rsid w:val="00D55832"/>
    <w:rsid w:val="00D55F83"/>
    <w:rsid w:val="00D56205"/>
    <w:rsid w:val="00D562C8"/>
    <w:rsid w:val="00D5637A"/>
    <w:rsid w:val="00D56575"/>
    <w:rsid w:val="00D566C9"/>
    <w:rsid w:val="00D568F0"/>
    <w:rsid w:val="00D56CD4"/>
    <w:rsid w:val="00D5702E"/>
    <w:rsid w:val="00D5713B"/>
    <w:rsid w:val="00D57342"/>
    <w:rsid w:val="00D574E3"/>
    <w:rsid w:val="00D57A7E"/>
    <w:rsid w:val="00D607C6"/>
    <w:rsid w:val="00D6081D"/>
    <w:rsid w:val="00D609D7"/>
    <w:rsid w:val="00D60A04"/>
    <w:rsid w:val="00D60C07"/>
    <w:rsid w:val="00D60C7F"/>
    <w:rsid w:val="00D61119"/>
    <w:rsid w:val="00D6157C"/>
    <w:rsid w:val="00D61642"/>
    <w:rsid w:val="00D61720"/>
    <w:rsid w:val="00D61A05"/>
    <w:rsid w:val="00D61BB5"/>
    <w:rsid w:val="00D61BE9"/>
    <w:rsid w:val="00D61C16"/>
    <w:rsid w:val="00D61D6A"/>
    <w:rsid w:val="00D61F1B"/>
    <w:rsid w:val="00D62039"/>
    <w:rsid w:val="00D62409"/>
    <w:rsid w:val="00D624AB"/>
    <w:rsid w:val="00D62861"/>
    <w:rsid w:val="00D62C72"/>
    <w:rsid w:val="00D62D8C"/>
    <w:rsid w:val="00D62EC4"/>
    <w:rsid w:val="00D63214"/>
    <w:rsid w:val="00D632CB"/>
    <w:rsid w:val="00D632CC"/>
    <w:rsid w:val="00D64D3C"/>
    <w:rsid w:val="00D64F46"/>
    <w:rsid w:val="00D65597"/>
    <w:rsid w:val="00D65778"/>
    <w:rsid w:val="00D65CDA"/>
    <w:rsid w:val="00D65D8E"/>
    <w:rsid w:val="00D65ECE"/>
    <w:rsid w:val="00D66129"/>
    <w:rsid w:val="00D6626D"/>
    <w:rsid w:val="00D66361"/>
    <w:rsid w:val="00D66422"/>
    <w:rsid w:val="00D66920"/>
    <w:rsid w:val="00D669E3"/>
    <w:rsid w:val="00D66DFA"/>
    <w:rsid w:val="00D66E64"/>
    <w:rsid w:val="00D67506"/>
    <w:rsid w:val="00D67928"/>
    <w:rsid w:val="00D70090"/>
    <w:rsid w:val="00D707F1"/>
    <w:rsid w:val="00D70984"/>
    <w:rsid w:val="00D70E4C"/>
    <w:rsid w:val="00D70EE6"/>
    <w:rsid w:val="00D712F5"/>
    <w:rsid w:val="00D7188D"/>
    <w:rsid w:val="00D718D9"/>
    <w:rsid w:val="00D7191C"/>
    <w:rsid w:val="00D71CB3"/>
    <w:rsid w:val="00D72039"/>
    <w:rsid w:val="00D728DB"/>
    <w:rsid w:val="00D72B45"/>
    <w:rsid w:val="00D72E3F"/>
    <w:rsid w:val="00D73ABE"/>
    <w:rsid w:val="00D7400D"/>
    <w:rsid w:val="00D740AC"/>
    <w:rsid w:val="00D7416B"/>
    <w:rsid w:val="00D747F6"/>
    <w:rsid w:val="00D74CDC"/>
    <w:rsid w:val="00D74E75"/>
    <w:rsid w:val="00D7535C"/>
    <w:rsid w:val="00D75461"/>
    <w:rsid w:val="00D75626"/>
    <w:rsid w:val="00D75664"/>
    <w:rsid w:val="00D7586C"/>
    <w:rsid w:val="00D75BCB"/>
    <w:rsid w:val="00D76453"/>
    <w:rsid w:val="00D767C7"/>
    <w:rsid w:val="00D76A01"/>
    <w:rsid w:val="00D76A53"/>
    <w:rsid w:val="00D76BD7"/>
    <w:rsid w:val="00D76BE0"/>
    <w:rsid w:val="00D77129"/>
    <w:rsid w:val="00D7726A"/>
    <w:rsid w:val="00D77479"/>
    <w:rsid w:val="00D776AF"/>
    <w:rsid w:val="00D77744"/>
    <w:rsid w:val="00D778EE"/>
    <w:rsid w:val="00D77AE5"/>
    <w:rsid w:val="00D77E32"/>
    <w:rsid w:val="00D8031F"/>
    <w:rsid w:val="00D803EB"/>
    <w:rsid w:val="00D8043B"/>
    <w:rsid w:val="00D8048E"/>
    <w:rsid w:val="00D804E0"/>
    <w:rsid w:val="00D8052D"/>
    <w:rsid w:val="00D805E8"/>
    <w:rsid w:val="00D80632"/>
    <w:rsid w:val="00D8094A"/>
    <w:rsid w:val="00D80A45"/>
    <w:rsid w:val="00D80F18"/>
    <w:rsid w:val="00D81559"/>
    <w:rsid w:val="00D81706"/>
    <w:rsid w:val="00D818D7"/>
    <w:rsid w:val="00D819D9"/>
    <w:rsid w:val="00D81A4D"/>
    <w:rsid w:val="00D81B6B"/>
    <w:rsid w:val="00D81C5E"/>
    <w:rsid w:val="00D81CDB"/>
    <w:rsid w:val="00D81F1A"/>
    <w:rsid w:val="00D81FFB"/>
    <w:rsid w:val="00D82194"/>
    <w:rsid w:val="00D82388"/>
    <w:rsid w:val="00D8241D"/>
    <w:rsid w:val="00D8263B"/>
    <w:rsid w:val="00D82902"/>
    <w:rsid w:val="00D82BA7"/>
    <w:rsid w:val="00D83396"/>
    <w:rsid w:val="00D8376A"/>
    <w:rsid w:val="00D83A79"/>
    <w:rsid w:val="00D83C9C"/>
    <w:rsid w:val="00D83EBB"/>
    <w:rsid w:val="00D845BD"/>
    <w:rsid w:val="00D846AF"/>
    <w:rsid w:val="00D854FB"/>
    <w:rsid w:val="00D857C7"/>
    <w:rsid w:val="00D8582D"/>
    <w:rsid w:val="00D8583A"/>
    <w:rsid w:val="00D860FA"/>
    <w:rsid w:val="00D86545"/>
    <w:rsid w:val="00D86D45"/>
    <w:rsid w:val="00D87197"/>
    <w:rsid w:val="00D879D2"/>
    <w:rsid w:val="00D87EF9"/>
    <w:rsid w:val="00D904E6"/>
    <w:rsid w:val="00D91140"/>
    <w:rsid w:val="00D911A9"/>
    <w:rsid w:val="00D912BA"/>
    <w:rsid w:val="00D9139D"/>
    <w:rsid w:val="00D9146F"/>
    <w:rsid w:val="00D917E5"/>
    <w:rsid w:val="00D91822"/>
    <w:rsid w:val="00D91C3F"/>
    <w:rsid w:val="00D91C56"/>
    <w:rsid w:val="00D91CDC"/>
    <w:rsid w:val="00D91E04"/>
    <w:rsid w:val="00D91EB4"/>
    <w:rsid w:val="00D91F4A"/>
    <w:rsid w:val="00D926D8"/>
    <w:rsid w:val="00D926FD"/>
    <w:rsid w:val="00D9284C"/>
    <w:rsid w:val="00D92B08"/>
    <w:rsid w:val="00D9345B"/>
    <w:rsid w:val="00D937F8"/>
    <w:rsid w:val="00D93D80"/>
    <w:rsid w:val="00D942B3"/>
    <w:rsid w:val="00D94412"/>
    <w:rsid w:val="00D94727"/>
    <w:rsid w:val="00D94A38"/>
    <w:rsid w:val="00D94AC2"/>
    <w:rsid w:val="00D95169"/>
    <w:rsid w:val="00D9518B"/>
    <w:rsid w:val="00D9532B"/>
    <w:rsid w:val="00D955F4"/>
    <w:rsid w:val="00D95796"/>
    <w:rsid w:val="00D95872"/>
    <w:rsid w:val="00D95983"/>
    <w:rsid w:val="00D95AF0"/>
    <w:rsid w:val="00D95B55"/>
    <w:rsid w:val="00D95CD0"/>
    <w:rsid w:val="00D95E28"/>
    <w:rsid w:val="00D96704"/>
    <w:rsid w:val="00D96864"/>
    <w:rsid w:val="00D975EE"/>
    <w:rsid w:val="00D97641"/>
    <w:rsid w:val="00D97ADF"/>
    <w:rsid w:val="00D97D47"/>
    <w:rsid w:val="00D97EBB"/>
    <w:rsid w:val="00D97FFE"/>
    <w:rsid w:val="00DA0109"/>
    <w:rsid w:val="00DA01F2"/>
    <w:rsid w:val="00DA053A"/>
    <w:rsid w:val="00DA05D8"/>
    <w:rsid w:val="00DA0B18"/>
    <w:rsid w:val="00DA0B1E"/>
    <w:rsid w:val="00DA0BBB"/>
    <w:rsid w:val="00DA16F3"/>
    <w:rsid w:val="00DA178A"/>
    <w:rsid w:val="00DA1F57"/>
    <w:rsid w:val="00DA214C"/>
    <w:rsid w:val="00DA2AA6"/>
    <w:rsid w:val="00DA36C5"/>
    <w:rsid w:val="00DA385E"/>
    <w:rsid w:val="00DA3E8A"/>
    <w:rsid w:val="00DA405C"/>
    <w:rsid w:val="00DA44B0"/>
    <w:rsid w:val="00DA4681"/>
    <w:rsid w:val="00DA49E5"/>
    <w:rsid w:val="00DA4F19"/>
    <w:rsid w:val="00DA5711"/>
    <w:rsid w:val="00DA5A9A"/>
    <w:rsid w:val="00DA5B31"/>
    <w:rsid w:val="00DA5CED"/>
    <w:rsid w:val="00DA5E17"/>
    <w:rsid w:val="00DA5F35"/>
    <w:rsid w:val="00DA5F39"/>
    <w:rsid w:val="00DA6040"/>
    <w:rsid w:val="00DA6494"/>
    <w:rsid w:val="00DA66AB"/>
    <w:rsid w:val="00DA69DC"/>
    <w:rsid w:val="00DA6F30"/>
    <w:rsid w:val="00DA71D1"/>
    <w:rsid w:val="00DA71D8"/>
    <w:rsid w:val="00DA767D"/>
    <w:rsid w:val="00DA7C5A"/>
    <w:rsid w:val="00DA7F7A"/>
    <w:rsid w:val="00DB0339"/>
    <w:rsid w:val="00DB06FC"/>
    <w:rsid w:val="00DB07D2"/>
    <w:rsid w:val="00DB0A47"/>
    <w:rsid w:val="00DB0AD3"/>
    <w:rsid w:val="00DB0F7D"/>
    <w:rsid w:val="00DB14E9"/>
    <w:rsid w:val="00DB17D8"/>
    <w:rsid w:val="00DB1A75"/>
    <w:rsid w:val="00DB1CD1"/>
    <w:rsid w:val="00DB1E29"/>
    <w:rsid w:val="00DB24D6"/>
    <w:rsid w:val="00DB29CA"/>
    <w:rsid w:val="00DB2BFD"/>
    <w:rsid w:val="00DB3AFD"/>
    <w:rsid w:val="00DB3CFC"/>
    <w:rsid w:val="00DB3D13"/>
    <w:rsid w:val="00DB3F44"/>
    <w:rsid w:val="00DB43A4"/>
    <w:rsid w:val="00DB4845"/>
    <w:rsid w:val="00DB496F"/>
    <w:rsid w:val="00DB4CCA"/>
    <w:rsid w:val="00DB4CE2"/>
    <w:rsid w:val="00DB552E"/>
    <w:rsid w:val="00DB56FB"/>
    <w:rsid w:val="00DB5719"/>
    <w:rsid w:val="00DB571D"/>
    <w:rsid w:val="00DB5D57"/>
    <w:rsid w:val="00DB60E7"/>
    <w:rsid w:val="00DB6100"/>
    <w:rsid w:val="00DB677E"/>
    <w:rsid w:val="00DB68F6"/>
    <w:rsid w:val="00DB6B01"/>
    <w:rsid w:val="00DB6F49"/>
    <w:rsid w:val="00DB701E"/>
    <w:rsid w:val="00DB7183"/>
    <w:rsid w:val="00DB740E"/>
    <w:rsid w:val="00DB74A6"/>
    <w:rsid w:val="00DB75E0"/>
    <w:rsid w:val="00DB75ED"/>
    <w:rsid w:val="00DB785A"/>
    <w:rsid w:val="00DB78A8"/>
    <w:rsid w:val="00DB7AAC"/>
    <w:rsid w:val="00DB7D16"/>
    <w:rsid w:val="00DB7F67"/>
    <w:rsid w:val="00DC033C"/>
    <w:rsid w:val="00DC0732"/>
    <w:rsid w:val="00DC0D29"/>
    <w:rsid w:val="00DC0FD4"/>
    <w:rsid w:val="00DC10E1"/>
    <w:rsid w:val="00DC12E9"/>
    <w:rsid w:val="00DC16C2"/>
    <w:rsid w:val="00DC1D0B"/>
    <w:rsid w:val="00DC1E64"/>
    <w:rsid w:val="00DC1E7B"/>
    <w:rsid w:val="00DC2AA1"/>
    <w:rsid w:val="00DC2FA0"/>
    <w:rsid w:val="00DC33D8"/>
    <w:rsid w:val="00DC38D7"/>
    <w:rsid w:val="00DC3F3E"/>
    <w:rsid w:val="00DC464C"/>
    <w:rsid w:val="00DC4951"/>
    <w:rsid w:val="00DC4966"/>
    <w:rsid w:val="00DC4AA2"/>
    <w:rsid w:val="00DC4B72"/>
    <w:rsid w:val="00DC4BF2"/>
    <w:rsid w:val="00DC4C94"/>
    <w:rsid w:val="00DC4F8F"/>
    <w:rsid w:val="00DC4FF2"/>
    <w:rsid w:val="00DC53E1"/>
    <w:rsid w:val="00DC5607"/>
    <w:rsid w:val="00DC5806"/>
    <w:rsid w:val="00DC594B"/>
    <w:rsid w:val="00DC598C"/>
    <w:rsid w:val="00DC5ADE"/>
    <w:rsid w:val="00DC6087"/>
    <w:rsid w:val="00DC6623"/>
    <w:rsid w:val="00DC6713"/>
    <w:rsid w:val="00DC69CB"/>
    <w:rsid w:val="00DC6AC0"/>
    <w:rsid w:val="00DC6B5A"/>
    <w:rsid w:val="00DC6CDD"/>
    <w:rsid w:val="00DC6FD7"/>
    <w:rsid w:val="00DC71B4"/>
    <w:rsid w:val="00DC74F4"/>
    <w:rsid w:val="00DC74FD"/>
    <w:rsid w:val="00DC7641"/>
    <w:rsid w:val="00DC7694"/>
    <w:rsid w:val="00DC76BE"/>
    <w:rsid w:val="00DC7882"/>
    <w:rsid w:val="00DC7ED4"/>
    <w:rsid w:val="00DC7F8B"/>
    <w:rsid w:val="00DC7FA4"/>
    <w:rsid w:val="00DD0072"/>
    <w:rsid w:val="00DD0439"/>
    <w:rsid w:val="00DD09E4"/>
    <w:rsid w:val="00DD0B21"/>
    <w:rsid w:val="00DD0B50"/>
    <w:rsid w:val="00DD0D96"/>
    <w:rsid w:val="00DD0F0C"/>
    <w:rsid w:val="00DD11BD"/>
    <w:rsid w:val="00DD1388"/>
    <w:rsid w:val="00DD16B5"/>
    <w:rsid w:val="00DD1768"/>
    <w:rsid w:val="00DD1A9E"/>
    <w:rsid w:val="00DD1DD3"/>
    <w:rsid w:val="00DD202C"/>
    <w:rsid w:val="00DD2432"/>
    <w:rsid w:val="00DD2880"/>
    <w:rsid w:val="00DD29AE"/>
    <w:rsid w:val="00DD2E6A"/>
    <w:rsid w:val="00DD2F15"/>
    <w:rsid w:val="00DD3308"/>
    <w:rsid w:val="00DD378F"/>
    <w:rsid w:val="00DD3A36"/>
    <w:rsid w:val="00DD3A99"/>
    <w:rsid w:val="00DD3C16"/>
    <w:rsid w:val="00DD3E54"/>
    <w:rsid w:val="00DD3F26"/>
    <w:rsid w:val="00DD411D"/>
    <w:rsid w:val="00DD44D8"/>
    <w:rsid w:val="00DD4514"/>
    <w:rsid w:val="00DD4591"/>
    <w:rsid w:val="00DD4835"/>
    <w:rsid w:val="00DD4D96"/>
    <w:rsid w:val="00DD4FE7"/>
    <w:rsid w:val="00DD51E5"/>
    <w:rsid w:val="00DD5700"/>
    <w:rsid w:val="00DD581B"/>
    <w:rsid w:val="00DD5821"/>
    <w:rsid w:val="00DD5C81"/>
    <w:rsid w:val="00DD5D40"/>
    <w:rsid w:val="00DD5D72"/>
    <w:rsid w:val="00DD5DC5"/>
    <w:rsid w:val="00DD5E1E"/>
    <w:rsid w:val="00DD66FE"/>
    <w:rsid w:val="00DD6768"/>
    <w:rsid w:val="00DD6BEB"/>
    <w:rsid w:val="00DD6C01"/>
    <w:rsid w:val="00DD6CB0"/>
    <w:rsid w:val="00DD6E5B"/>
    <w:rsid w:val="00DD6F01"/>
    <w:rsid w:val="00DD709C"/>
    <w:rsid w:val="00DD715A"/>
    <w:rsid w:val="00DD73B7"/>
    <w:rsid w:val="00DD7506"/>
    <w:rsid w:val="00DD79E3"/>
    <w:rsid w:val="00DD7BEE"/>
    <w:rsid w:val="00DD7E42"/>
    <w:rsid w:val="00DE009F"/>
    <w:rsid w:val="00DE0A5D"/>
    <w:rsid w:val="00DE0C03"/>
    <w:rsid w:val="00DE0F62"/>
    <w:rsid w:val="00DE100F"/>
    <w:rsid w:val="00DE106C"/>
    <w:rsid w:val="00DE114D"/>
    <w:rsid w:val="00DE1A46"/>
    <w:rsid w:val="00DE1C78"/>
    <w:rsid w:val="00DE218F"/>
    <w:rsid w:val="00DE25C7"/>
    <w:rsid w:val="00DE2919"/>
    <w:rsid w:val="00DE29FC"/>
    <w:rsid w:val="00DE2BEC"/>
    <w:rsid w:val="00DE33B0"/>
    <w:rsid w:val="00DE351F"/>
    <w:rsid w:val="00DE35DC"/>
    <w:rsid w:val="00DE3665"/>
    <w:rsid w:val="00DE36E8"/>
    <w:rsid w:val="00DE3F93"/>
    <w:rsid w:val="00DE3FC4"/>
    <w:rsid w:val="00DE3FCA"/>
    <w:rsid w:val="00DE3FCD"/>
    <w:rsid w:val="00DE4339"/>
    <w:rsid w:val="00DE440F"/>
    <w:rsid w:val="00DE442C"/>
    <w:rsid w:val="00DE481F"/>
    <w:rsid w:val="00DE4C6D"/>
    <w:rsid w:val="00DE4E07"/>
    <w:rsid w:val="00DE5419"/>
    <w:rsid w:val="00DE572E"/>
    <w:rsid w:val="00DE57B8"/>
    <w:rsid w:val="00DE610D"/>
    <w:rsid w:val="00DE66DE"/>
    <w:rsid w:val="00DE707D"/>
    <w:rsid w:val="00DE7119"/>
    <w:rsid w:val="00DE7475"/>
    <w:rsid w:val="00DE7503"/>
    <w:rsid w:val="00DE7945"/>
    <w:rsid w:val="00DE7AF6"/>
    <w:rsid w:val="00DE7DA2"/>
    <w:rsid w:val="00DF02C5"/>
    <w:rsid w:val="00DF05DD"/>
    <w:rsid w:val="00DF0824"/>
    <w:rsid w:val="00DF0B73"/>
    <w:rsid w:val="00DF0BD4"/>
    <w:rsid w:val="00DF1277"/>
    <w:rsid w:val="00DF1379"/>
    <w:rsid w:val="00DF17C3"/>
    <w:rsid w:val="00DF1D62"/>
    <w:rsid w:val="00DF1DB4"/>
    <w:rsid w:val="00DF204E"/>
    <w:rsid w:val="00DF20B0"/>
    <w:rsid w:val="00DF235D"/>
    <w:rsid w:val="00DF23E9"/>
    <w:rsid w:val="00DF2752"/>
    <w:rsid w:val="00DF292E"/>
    <w:rsid w:val="00DF29D8"/>
    <w:rsid w:val="00DF2A47"/>
    <w:rsid w:val="00DF2E58"/>
    <w:rsid w:val="00DF2F0A"/>
    <w:rsid w:val="00DF3160"/>
    <w:rsid w:val="00DF38CB"/>
    <w:rsid w:val="00DF3A28"/>
    <w:rsid w:val="00DF3EE8"/>
    <w:rsid w:val="00DF3FBA"/>
    <w:rsid w:val="00DF44D8"/>
    <w:rsid w:val="00DF44F4"/>
    <w:rsid w:val="00DF47D3"/>
    <w:rsid w:val="00DF56CA"/>
    <w:rsid w:val="00DF57C8"/>
    <w:rsid w:val="00DF5B88"/>
    <w:rsid w:val="00DF5DD0"/>
    <w:rsid w:val="00DF627A"/>
    <w:rsid w:val="00DF63DE"/>
    <w:rsid w:val="00DF664D"/>
    <w:rsid w:val="00DF680D"/>
    <w:rsid w:val="00DF6B28"/>
    <w:rsid w:val="00DF6E18"/>
    <w:rsid w:val="00DF743D"/>
    <w:rsid w:val="00DF7747"/>
    <w:rsid w:val="00DF7A37"/>
    <w:rsid w:val="00DF7B16"/>
    <w:rsid w:val="00DF7B85"/>
    <w:rsid w:val="00DF7BAC"/>
    <w:rsid w:val="00DF7C76"/>
    <w:rsid w:val="00E00393"/>
    <w:rsid w:val="00E00453"/>
    <w:rsid w:val="00E006DD"/>
    <w:rsid w:val="00E00997"/>
    <w:rsid w:val="00E00AF1"/>
    <w:rsid w:val="00E00D30"/>
    <w:rsid w:val="00E0148E"/>
    <w:rsid w:val="00E01868"/>
    <w:rsid w:val="00E01A04"/>
    <w:rsid w:val="00E01F72"/>
    <w:rsid w:val="00E02AE9"/>
    <w:rsid w:val="00E02E0D"/>
    <w:rsid w:val="00E03063"/>
    <w:rsid w:val="00E03070"/>
    <w:rsid w:val="00E0329A"/>
    <w:rsid w:val="00E0419D"/>
    <w:rsid w:val="00E044D5"/>
    <w:rsid w:val="00E04580"/>
    <w:rsid w:val="00E046AF"/>
    <w:rsid w:val="00E04C2C"/>
    <w:rsid w:val="00E04F56"/>
    <w:rsid w:val="00E04FAD"/>
    <w:rsid w:val="00E0509C"/>
    <w:rsid w:val="00E05101"/>
    <w:rsid w:val="00E0575F"/>
    <w:rsid w:val="00E057CB"/>
    <w:rsid w:val="00E05A44"/>
    <w:rsid w:val="00E05C75"/>
    <w:rsid w:val="00E05CC8"/>
    <w:rsid w:val="00E05CE1"/>
    <w:rsid w:val="00E05F60"/>
    <w:rsid w:val="00E06267"/>
    <w:rsid w:val="00E06B2D"/>
    <w:rsid w:val="00E07111"/>
    <w:rsid w:val="00E07796"/>
    <w:rsid w:val="00E07871"/>
    <w:rsid w:val="00E1023B"/>
    <w:rsid w:val="00E10504"/>
    <w:rsid w:val="00E10792"/>
    <w:rsid w:val="00E1086C"/>
    <w:rsid w:val="00E1099C"/>
    <w:rsid w:val="00E109D2"/>
    <w:rsid w:val="00E10B64"/>
    <w:rsid w:val="00E10C7E"/>
    <w:rsid w:val="00E114D4"/>
    <w:rsid w:val="00E11C81"/>
    <w:rsid w:val="00E1219A"/>
    <w:rsid w:val="00E12255"/>
    <w:rsid w:val="00E123C5"/>
    <w:rsid w:val="00E12A4D"/>
    <w:rsid w:val="00E12EF7"/>
    <w:rsid w:val="00E13155"/>
    <w:rsid w:val="00E1333B"/>
    <w:rsid w:val="00E13675"/>
    <w:rsid w:val="00E13801"/>
    <w:rsid w:val="00E13BC9"/>
    <w:rsid w:val="00E13C08"/>
    <w:rsid w:val="00E14244"/>
    <w:rsid w:val="00E149E6"/>
    <w:rsid w:val="00E14A36"/>
    <w:rsid w:val="00E14C2F"/>
    <w:rsid w:val="00E14FDC"/>
    <w:rsid w:val="00E14FEE"/>
    <w:rsid w:val="00E1592E"/>
    <w:rsid w:val="00E15E01"/>
    <w:rsid w:val="00E15E98"/>
    <w:rsid w:val="00E161AD"/>
    <w:rsid w:val="00E161DC"/>
    <w:rsid w:val="00E163E7"/>
    <w:rsid w:val="00E16C90"/>
    <w:rsid w:val="00E16CF5"/>
    <w:rsid w:val="00E16E75"/>
    <w:rsid w:val="00E1706A"/>
    <w:rsid w:val="00E17194"/>
    <w:rsid w:val="00E172FD"/>
    <w:rsid w:val="00E200AD"/>
    <w:rsid w:val="00E20376"/>
    <w:rsid w:val="00E20690"/>
    <w:rsid w:val="00E2076C"/>
    <w:rsid w:val="00E21052"/>
    <w:rsid w:val="00E2192D"/>
    <w:rsid w:val="00E21A78"/>
    <w:rsid w:val="00E21C41"/>
    <w:rsid w:val="00E22211"/>
    <w:rsid w:val="00E2237A"/>
    <w:rsid w:val="00E2248C"/>
    <w:rsid w:val="00E229FC"/>
    <w:rsid w:val="00E22AAE"/>
    <w:rsid w:val="00E22FCF"/>
    <w:rsid w:val="00E22FFF"/>
    <w:rsid w:val="00E2335E"/>
    <w:rsid w:val="00E23568"/>
    <w:rsid w:val="00E2379A"/>
    <w:rsid w:val="00E238DE"/>
    <w:rsid w:val="00E23C73"/>
    <w:rsid w:val="00E23D85"/>
    <w:rsid w:val="00E24551"/>
    <w:rsid w:val="00E248B8"/>
    <w:rsid w:val="00E24972"/>
    <w:rsid w:val="00E24B58"/>
    <w:rsid w:val="00E24C88"/>
    <w:rsid w:val="00E250B8"/>
    <w:rsid w:val="00E2557C"/>
    <w:rsid w:val="00E25960"/>
    <w:rsid w:val="00E259E1"/>
    <w:rsid w:val="00E25B8B"/>
    <w:rsid w:val="00E2603D"/>
    <w:rsid w:val="00E2674F"/>
    <w:rsid w:val="00E27BBC"/>
    <w:rsid w:val="00E27F35"/>
    <w:rsid w:val="00E27F6F"/>
    <w:rsid w:val="00E27F99"/>
    <w:rsid w:val="00E304D2"/>
    <w:rsid w:val="00E30A04"/>
    <w:rsid w:val="00E30B16"/>
    <w:rsid w:val="00E30D4B"/>
    <w:rsid w:val="00E30EB5"/>
    <w:rsid w:val="00E31208"/>
    <w:rsid w:val="00E312F4"/>
    <w:rsid w:val="00E31656"/>
    <w:rsid w:val="00E31714"/>
    <w:rsid w:val="00E31997"/>
    <w:rsid w:val="00E3225D"/>
    <w:rsid w:val="00E32EE8"/>
    <w:rsid w:val="00E33673"/>
    <w:rsid w:val="00E33D1D"/>
    <w:rsid w:val="00E33DB0"/>
    <w:rsid w:val="00E33DB6"/>
    <w:rsid w:val="00E33EE9"/>
    <w:rsid w:val="00E33F00"/>
    <w:rsid w:val="00E33F8F"/>
    <w:rsid w:val="00E34304"/>
    <w:rsid w:val="00E34412"/>
    <w:rsid w:val="00E345A8"/>
    <w:rsid w:val="00E3487F"/>
    <w:rsid w:val="00E34AAD"/>
    <w:rsid w:val="00E34AF9"/>
    <w:rsid w:val="00E34B38"/>
    <w:rsid w:val="00E34DD9"/>
    <w:rsid w:val="00E34DE3"/>
    <w:rsid w:val="00E35362"/>
    <w:rsid w:val="00E35610"/>
    <w:rsid w:val="00E35612"/>
    <w:rsid w:val="00E35A25"/>
    <w:rsid w:val="00E35F8B"/>
    <w:rsid w:val="00E3666B"/>
    <w:rsid w:val="00E36877"/>
    <w:rsid w:val="00E3687A"/>
    <w:rsid w:val="00E36F44"/>
    <w:rsid w:val="00E37367"/>
    <w:rsid w:val="00E37B75"/>
    <w:rsid w:val="00E37B8C"/>
    <w:rsid w:val="00E37C6A"/>
    <w:rsid w:val="00E37C9F"/>
    <w:rsid w:val="00E37DD9"/>
    <w:rsid w:val="00E4017E"/>
    <w:rsid w:val="00E404BD"/>
    <w:rsid w:val="00E40843"/>
    <w:rsid w:val="00E409B2"/>
    <w:rsid w:val="00E40AB4"/>
    <w:rsid w:val="00E40BFA"/>
    <w:rsid w:val="00E40C21"/>
    <w:rsid w:val="00E40CAC"/>
    <w:rsid w:val="00E41395"/>
    <w:rsid w:val="00E413B0"/>
    <w:rsid w:val="00E414A4"/>
    <w:rsid w:val="00E414C5"/>
    <w:rsid w:val="00E42305"/>
    <w:rsid w:val="00E42439"/>
    <w:rsid w:val="00E42C0D"/>
    <w:rsid w:val="00E42C34"/>
    <w:rsid w:val="00E42FF6"/>
    <w:rsid w:val="00E4325D"/>
    <w:rsid w:val="00E43543"/>
    <w:rsid w:val="00E4355B"/>
    <w:rsid w:val="00E43764"/>
    <w:rsid w:val="00E43942"/>
    <w:rsid w:val="00E445BF"/>
    <w:rsid w:val="00E44721"/>
    <w:rsid w:val="00E449EB"/>
    <w:rsid w:val="00E44D5F"/>
    <w:rsid w:val="00E44DF4"/>
    <w:rsid w:val="00E4519F"/>
    <w:rsid w:val="00E452AC"/>
    <w:rsid w:val="00E4530B"/>
    <w:rsid w:val="00E4560E"/>
    <w:rsid w:val="00E45833"/>
    <w:rsid w:val="00E45842"/>
    <w:rsid w:val="00E4598E"/>
    <w:rsid w:val="00E4646B"/>
    <w:rsid w:val="00E4667D"/>
    <w:rsid w:val="00E466C9"/>
    <w:rsid w:val="00E4690A"/>
    <w:rsid w:val="00E46F75"/>
    <w:rsid w:val="00E476BD"/>
    <w:rsid w:val="00E50133"/>
    <w:rsid w:val="00E50163"/>
    <w:rsid w:val="00E5056E"/>
    <w:rsid w:val="00E5099C"/>
    <w:rsid w:val="00E50ED5"/>
    <w:rsid w:val="00E50F04"/>
    <w:rsid w:val="00E51032"/>
    <w:rsid w:val="00E510E9"/>
    <w:rsid w:val="00E5119C"/>
    <w:rsid w:val="00E511F5"/>
    <w:rsid w:val="00E524B8"/>
    <w:rsid w:val="00E5259E"/>
    <w:rsid w:val="00E52CAA"/>
    <w:rsid w:val="00E52FAE"/>
    <w:rsid w:val="00E53097"/>
    <w:rsid w:val="00E531C2"/>
    <w:rsid w:val="00E531FE"/>
    <w:rsid w:val="00E535EA"/>
    <w:rsid w:val="00E53734"/>
    <w:rsid w:val="00E53D13"/>
    <w:rsid w:val="00E544C0"/>
    <w:rsid w:val="00E544DB"/>
    <w:rsid w:val="00E54742"/>
    <w:rsid w:val="00E547AC"/>
    <w:rsid w:val="00E54A1A"/>
    <w:rsid w:val="00E54A41"/>
    <w:rsid w:val="00E551E2"/>
    <w:rsid w:val="00E55311"/>
    <w:rsid w:val="00E554DE"/>
    <w:rsid w:val="00E55F8E"/>
    <w:rsid w:val="00E567F6"/>
    <w:rsid w:val="00E56895"/>
    <w:rsid w:val="00E56B51"/>
    <w:rsid w:val="00E56BD4"/>
    <w:rsid w:val="00E56DCC"/>
    <w:rsid w:val="00E57507"/>
    <w:rsid w:val="00E57E3D"/>
    <w:rsid w:val="00E57ED3"/>
    <w:rsid w:val="00E6023F"/>
    <w:rsid w:val="00E60A96"/>
    <w:rsid w:val="00E6101F"/>
    <w:rsid w:val="00E61723"/>
    <w:rsid w:val="00E61ADD"/>
    <w:rsid w:val="00E61B2D"/>
    <w:rsid w:val="00E6204A"/>
    <w:rsid w:val="00E62260"/>
    <w:rsid w:val="00E6246E"/>
    <w:rsid w:val="00E627A7"/>
    <w:rsid w:val="00E629D9"/>
    <w:rsid w:val="00E62C03"/>
    <w:rsid w:val="00E62D97"/>
    <w:rsid w:val="00E63581"/>
    <w:rsid w:val="00E636BF"/>
    <w:rsid w:val="00E63A6D"/>
    <w:rsid w:val="00E63BC3"/>
    <w:rsid w:val="00E63E97"/>
    <w:rsid w:val="00E64209"/>
    <w:rsid w:val="00E6428F"/>
    <w:rsid w:val="00E64458"/>
    <w:rsid w:val="00E644BF"/>
    <w:rsid w:val="00E64594"/>
    <w:rsid w:val="00E64689"/>
    <w:rsid w:val="00E64967"/>
    <w:rsid w:val="00E649F5"/>
    <w:rsid w:val="00E658BD"/>
    <w:rsid w:val="00E65DC1"/>
    <w:rsid w:val="00E65E3B"/>
    <w:rsid w:val="00E6617F"/>
    <w:rsid w:val="00E66517"/>
    <w:rsid w:val="00E66695"/>
    <w:rsid w:val="00E66696"/>
    <w:rsid w:val="00E66814"/>
    <w:rsid w:val="00E66937"/>
    <w:rsid w:val="00E66AB2"/>
    <w:rsid w:val="00E66C37"/>
    <w:rsid w:val="00E66CBE"/>
    <w:rsid w:val="00E67029"/>
    <w:rsid w:val="00E671E2"/>
    <w:rsid w:val="00E678A0"/>
    <w:rsid w:val="00E67DD5"/>
    <w:rsid w:val="00E700FD"/>
    <w:rsid w:val="00E70650"/>
    <w:rsid w:val="00E70CDB"/>
    <w:rsid w:val="00E70D4C"/>
    <w:rsid w:val="00E71353"/>
    <w:rsid w:val="00E71884"/>
    <w:rsid w:val="00E719D4"/>
    <w:rsid w:val="00E71A37"/>
    <w:rsid w:val="00E71BC1"/>
    <w:rsid w:val="00E71D26"/>
    <w:rsid w:val="00E71DDD"/>
    <w:rsid w:val="00E71F04"/>
    <w:rsid w:val="00E7207C"/>
    <w:rsid w:val="00E721A4"/>
    <w:rsid w:val="00E723DB"/>
    <w:rsid w:val="00E72DA8"/>
    <w:rsid w:val="00E72DF0"/>
    <w:rsid w:val="00E7315D"/>
    <w:rsid w:val="00E73404"/>
    <w:rsid w:val="00E73570"/>
    <w:rsid w:val="00E73E6D"/>
    <w:rsid w:val="00E73F02"/>
    <w:rsid w:val="00E73FD4"/>
    <w:rsid w:val="00E741FB"/>
    <w:rsid w:val="00E7448A"/>
    <w:rsid w:val="00E74490"/>
    <w:rsid w:val="00E744E4"/>
    <w:rsid w:val="00E746BD"/>
    <w:rsid w:val="00E748CC"/>
    <w:rsid w:val="00E749F3"/>
    <w:rsid w:val="00E74DA2"/>
    <w:rsid w:val="00E74FC5"/>
    <w:rsid w:val="00E7500E"/>
    <w:rsid w:val="00E75094"/>
    <w:rsid w:val="00E75567"/>
    <w:rsid w:val="00E75844"/>
    <w:rsid w:val="00E75A55"/>
    <w:rsid w:val="00E75FA4"/>
    <w:rsid w:val="00E75FB5"/>
    <w:rsid w:val="00E763DE"/>
    <w:rsid w:val="00E76480"/>
    <w:rsid w:val="00E76539"/>
    <w:rsid w:val="00E767A9"/>
    <w:rsid w:val="00E76ACA"/>
    <w:rsid w:val="00E76E1B"/>
    <w:rsid w:val="00E76E33"/>
    <w:rsid w:val="00E76E61"/>
    <w:rsid w:val="00E76EA3"/>
    <w:rsid w:val="00E77354"/>
    <w:rsid w:val="00E775D4"/>
    <w:rsid w:val="00E7788C"/>
    <w:rsid w:val="00E77B20"/>
    <w:rsid w:val="00E77C69"/>
    <w:rsid w:val="00E80471"/>
    <w:rsid w:val="00E81464"/>
    <w:rsid w:val="00E81832"/>
    <w:rsid w:val="00E81895"/>
    <w:rsid w:val="00E81965"/>
    <w:rsid w:val="00E819E8"/>
    <w:rsid w:val="00E82481"/>
    <w:rsid w:val="00E8282C"/>
    <w:rsid w:val="00E82B6D"/>
    <w:rsid w:val="00E82B73"/>
    <w:rsid w:val="00E82C69"/>
    <w:rsid w:val="00E831EB"/>
    <w:rsid w:val="00E8322D"/>
    <w:rsid w:val="00E83A89"/>
    <w:rsid w:val="00E83AD9"/>
    <w:rsid w:val="00E83E03"/>
    <w:rsid w:val="00E84067"/>
    <w:rsid w:val="00E84206"/>
    <w:rsid w:val="00E842AA"/>
    <w:rsid w:val="00E84386"/>
    <w:rsid w:val="00E84408"/>
    <w:rsid w:val="00E846D7"/>
    <w:rsid w:val="00E84ACC"/>
    <w:rsid w:val="00E84D14"/>
    <w:rsid w:val="00E84DE6"/>
    <w:rsid w:val="00E84ED5"/>
    <w:rsid w:val="00E85589"/>
    <w:rsid w:val="00E856A1"/>
    <w:rsid w:val="00E85A77"/>
    <w:rsid w:val="00E85B3D"/>
    <w:rsid w:val="00E85C70"/>
    <w:rsid w:val="00E85D77"/>
    <w:rsid w:val="00E85F92"/>
    <w:rsid w:val="00E861D4"/>
    <w:rsid w:val="00E86287"/>
    <w:rsid w:val="00E86D0C"/>
    <w:rsid w:val="00E86ED1"/>
    <w:rsid w:val="00E870CE"/>
    <w:rsid w:val="00E871B7"/>
    <w:rsid w:val="00E873DD"/>
    <w:rsid w:val="00E87834"/>
    <w:rsid w:val="00E87AD2"/>
    <w:rsid w:val="00E87C2E"/>
    <w:rsid w:val="00E9031B"/>
    <w:rsid w:val="00E903A1"/>
    <w:rsid w:val="00E9041A"/>
    <w:rsid w:val="00E9065B"/>
    <w:rsid w:val="00E90969"/>
    <w:rsid w:val="00E90DB2"/>
    <w:rsid w:val="00E90EB1"/>
    <w:rsid w:val="00E91055"/>
    <w:rsid w:val="00E91BF2"/>
    <w:rsid w:val="00E91DCE"/>
    <w:rsid w:val="00E91F00"/>
    <w:rsid w:val="00E92295"/>
    <w:rsid w:val="00E92358"/>
    <w:rsid w:val="00E926B7"/>
    <w:rsid w:val="00E92A72"/>
    <w:rsid w:val="00E92DE1"/>
    <w:rsid w:val="00E92F64"/>
    <w:rsid w:val="00E93002"/>
    <w:rsid w:val="00E9302B"/>
    <w:rsid w:val="00E9369E"/>
    <w:rsid w:val="00E9391F"/>
    <w:rsid w:val="00E93D2D"/>
    <w:rsid w:val="00E93F4E"/>
    <w:rsid w:val="00E93FF7"/>
    <w:rsid w:val="00E9458E"/>
    <w:rsid w:val="00E946D0"/>
    <w:rsid w:val="00E94706"/>
    <w:rsid w:val="00E94B57"/>
    <w:rsid w:val="00E94DEE"/>
    <w:rsid w:val="00E95341"/>
    <w:rsid w:val="00E95690"/>
    <w:rsid w:val="00E95B85"/>
    <w:rsid w:val="00E95CEB"/>
    <w:rsid w:val="00E95F8F"/>
    <w:rsid w:val="00E9641C"/>
    <w:rsid w:val="00E964BC"/>
    <w:rsid w:val="00E968D9"/>
    <w:rsid w:val="00E96CAE"/>
    <w:rsid w:val="00E9731F"/>
    <w:rsid w:val="00E97357"/>
    <w:rsid w:val="00E97412"/>
    <w:rsid w:val="00E975FD"/>
    <w:rsid w:val="00E97673"/>
    <w:rsid w:val="00E97A93"/>
    <w:rsid w:val="00E97BDC"/>
    <w:rsid w:val="00E97C3D"/>
    <w:rsid w:val="00E97E9C"/>
    <w:rsid w:val="00EA013E"/>
    <w:rsid w:val="00EA0373"/>
    <w:rsid w:val="00EA0474"/>
    <w:rsid w:val="00EA063F"/>
    <w:rsid w:val="00EA0EB3"/>
    <w:rsid w:val="00EA0EFD"/>
    <w:rsid w:val="00EA10B0"/>
    <w:rsid w:val="00EA11EE"/>
    <w:rsid w:val="00EA1555"/>
    <w:rsid w:val="00EA155B"/>
    <w:rsid w:val="00EA170A"/>
    <w:rsid w:val="00EA1AFE"/>
    <w:rsid w:val="00EA23C9"/>
    <w:rsid w:val="00EA2407"/>
    <w:rsid w:val="00EA2508"/>
    <w:rsid w:val="00EA2B97"/>
    <w:rsid w:val="00EA2DEE"/>
    <w:rsid w:val="00EA2F68"/>
    <w:rsid w:val="00EA34DF"/>
    <w:rsid w:val="00EA35E6"/>
    <w:rsid w:val="00EA3B35"/>
    <w:rsid w:val="00EA3DC6"/>
    <w:rsid w:val="00EA420B"/>
    <w:rsid w:val="00EA4498"/>
    <w:rsid w:val="00EA4D04"/>
    <w:rsid w:val="00EA4D13"/>
    <w:rsid w:val="00EA4D2C"/>
    <w:rsid w:val="00EA4E23"/>
    <w:rsid w:val="00EA4F92"/>
    <w:rsid w:val="00EA5684"/>
    <w:rsid w:val="00EA5A2A"/>
    <w:rsid w:val="00EA60CB"/>
    <w:rsid w:val="00EA60DA"/>
    <w:rsid w:val="00EA613C"/>
    <w:rsid w:val="00EA6756"/>
    <w:rsid w:val="00EA6C72"/>
    <w:rsid w:val="00EA73F1"/>
    <w:rsid w:val="00EA7588"/>
    <w:rsid w:val="00EA76FC"/>
    <w:rsid w:val="00EA7812"/>
    <w:rsid w:val="00EA7FD2"/>
    <w:rsid w:val="00EA7FF9"/>
    <w:rsid w:val="00EB0056"/>
    <w:rsid w:val="00EB0252"/>
    <w:rsid w:val="00EB0310"/>
    <w:rsid w:val="00EB04F8"/>
    <w:rsid w:val="00EB0A68"/>
    <w:rsid w:val="00EB0B93"/>
    <w:rsid w:val="00EB0CCA"/>
    <w:rsid w:val="00EB0D4F"/>
    <w:rsid w:val="00EB0D9D"/>
    <w:rsid w:val="00EB1096"/>
    <w:rsid w:val="00EB1438"/>
    <w:rsid w:val="00EB14A9"/>
    <w:rsid w:val="00EB1913"/>
    <w:rsid w:val="00EB1CF1"/>
    <w:rsid w:val="00EB2525"/>
    <w:rsid w:val="00EB2753"/>
    <w:rsid w:val="00EB28EB"/>
    <w:rsid w:val="00EB2916"/>
    <w:rsid w:val="00EB2E34"/>
    <w:rsid w:val="00EB2FB6"/>
    <w:rsid w:val="00EB30B4"/>
    <w:rsid w:val="00EB30CA"/>
    <w:rsid w:val="00EB30FB"/>
    <w:rsid w:val="00EB3358"/>
    <w:rsid w:val="00EB3453"/>
    <w:rsid w:val="00EB3565"/>
    <w:rsid w:val="00EB36FC"/>
    <w:rsid w:val="00EB3779"/>
    <w:rsid w:val="00EB3A27"/>
    <w:rsid w:val="00EB3AC9"/>
    <w:rsid w:val="00EB3C40"/>
    <w:rsid w:val="00EB3F80"/>
    <w:rsid w:val="00EB3FD3"/>
    <w:rsid w:val="00EB40AB"/>
    <w:rsid w:val="00EB4191"/>
    <w:rsid w:val="00EB43DF"/>
    <w:rsid w:val="00EB4AE2"/>
    <w:rsid w:val="00EB4C1E"/>
    <w:rsid w:val="00EB4E9C"/>
    <w:rsid w:val="00EB524A"/>
    <w:rsid w:val="00EB53D2"/>
    <w:rsid w:val="00EB53FF"/>
    <w:rsid w:val="00EB56B9"/>
    <w:rsid w:val="00EB56DD"/>
    <w:rsid w:val="00EB5BB4"/>
    <w:rsid w:val="00EB5FDD"/>
    <w:rsid w:val="00EB66A2"/>
    <w:rsid w:val="00EB6A7A"/>
    <w:rsid w:val="00EB6A8B"/>
    <w:rsid w:val="00EB6B3F"/>
    <w:rsid w:val="00EB7671"/>
    <w:rsid w:val="00EB7925"/>
    <w:rsid w:val="00EC009D"/>
    <w:rsid w:val="00EC00EF"/>
    <w:rsid w:val="00EC0137"/>
    <w:rsid w:val="00EC0511"/>
    <w:rsid w:val="00EC084E"/>
    <w:rsid w:val="00EC0861"/>
    <w:rsid w:val="00EC0B30"/>
    <w:rsid w:val="00EC0BFF"/>
    <w:rsid w:val="00EC0E65"/>
    <w:rsid w:val="00EC18CA"/>
    <w:rsid w:val="00EC19E2"/>
    <w:rsid w:val="00EC1E28"/>
    <w:rsid w:val="00EC1F75"/>
    <w:rsid w:val="00EC23E5"/>
    <w:rsid w:val="00EC266A"/>
    <w:rsid w:val="00EC2781"/>
    <w:rsid w:val="00EC28F3"/>
    <w:rsid w:val="00EC2B40"/>
    <w:rsid w:val="00EC2E1A"/>
    <w:rsid w:val="00EC324E"/>
    <w:rsid w:val="00EC32BE"/>
    <w:rsid w:val="00EC3570"/>
    <w:rsid w:val="00EC364E"/>
    <w:rsid w:val="00EC36D5"/>
    <w:rsid w:val="00EC372B"/>
    <w:rsid w:val="00EC3B43"/>
    <w:rsid w:val="00EC44BA"/>
    <w:rsid w:val="00EC4A89"/>
    <w:rsid w:val="00EC4AA7"/>
    <w:rsid w:val="00EC4C3F"/>
    <w:rsid w:val="00EC4E06"/>
    <w:rsid w:val="00EC5465"/>
    <w:rsid w:val="00EC55E6"/>
    <w:rsid w:val="00EC57D5"/>
    <w:rsid w:val="00EC5B17"/>
    <w:rsid w:val="00EC5D95"/>
    <w:rsid w:val="00EC5E72"/>
    <w:rsid w:val="00EC5F72"/>
    <w:rsid w:val="00EC7131"/>
    <w:rsid w:val="00EC7168"/>
    <w:rsid w:val="00EC770C"/>
    <w:rsid w:val="00EC7A3E"/>
    <w:rsid w:val="00EC7BB2"/>
    <w:rsid w:val="00EC7F19"/>
    <w:rsid w:val="00EC7F2B"/>
    <w:rsid w:val="00EC7FCE"/>
    <w:rsid w:val="00ED0041"/>
    <w:rsid w:val="00ED01D6"/>
    <w:rsid w:val="00ED0244"/>
    <w:rsid w:val="00ED045C"/>
    <w:rsid w:val="00ED08A6"/>
    <w:rsid w:val="00ED0E6C"/>
    <w:rsid w:val="00ED0F2B"/>
    <w:rsid w:val="00ED122E"/>
    <w:rsid w:val="00ED1689"/>
    <w:rsid w:val="00ED1695"/>
    <w:rsid w:val="00ED189D"/>
    <w:rsid w:val="00ED19E2"/>
    <w:rsid w:val="00ED1C61"/>
    <w:rsid w:val="00ED1E01"/>
    <w:rsid w:val="00ED278F"/>
    <w:rsid w:val="00ED2B40"/>
    <w:rsid w:val="00ED2E99"/>
    <w:rsid w:val="00ED2F82"/>
    <w:rsid w:val="00ED30A9"/>
    <w:rsid w:val="00ED30C5"/>
    <w:rsid w:val="00ED338F"/>
    <w:rsid w:val="00ED3A07"/>
    <w:rsid w:val="00ED41C9"/>
    <w:rsid w:val="00ED4590"/>
    <w:rsid w:val="00ED46A1"/>
    <w:rsid w:val="00ED482E"/>
    <w:rsid w:val="00ED4839"/>
    <w:rsid w:val="00ED48D8"/>
    <w:rsid w:val="00ED49E2"/>
    <w:rsid w:val="00ED4F41"/>
    <w:rsid w:val="00ED5396"/>
    <w:rsid w:val="00ED5A03"/>
    <w:rsid w:val="00ED5A97"/>
    <w:rsid w:val="00ED5BE4"/>
    <w:rsid w:val="00ED5DC5"/>
    <w:rsid w:val="00ED67B9"/>
    <w:rsid w:val="00ED6C80"/>
    <w:rsid w:val="00ED7047"/>
    <w:rsid w:val="00ED76B6"/>
    <w:rsid w:val="00ED785B"/>
    <w:rsid w:val="00ED7EF7"/>
    <w:rsid w:val="00EE00A4"/>
    <w:rsid w:val="00EE0156"/>
    <w:rsid w:val="00EE0498"/>
    <w:rsid w:val="00EE0538"/>
    <w:rsid w:val="00EE0C3C"/>
    <w:rsid w:val="00EE0DFB"/>
    <w:rsid w:val="00EE0E8D"/>
    <w:rsid w:val="00EE10D7"/>
    <w:rsid w:val="00EE1418"/>
    <w:rsid w:val="00EE1A86"/>
    <w:rsid w:val="00EE1AB5"/>
    <w:rsid w:val="00EE207F"/>
    <w:rsid w:val="00EE2109"/>
    <w:rsid w:val="00EE279F"/>
    <w:rsid w:val="00EE27F6"/>
    <w:rsid w:val="00EE2AAE"/>
    <w:rsid w:val="00EE2AC1"/>
    <w:rsid w:val="00EE2D57"/>
    <w:rsid w:val="00EE2DEF"/>
    <w:rsid w:val="00EE3189"/>
    <w:rsid w:val="00EE3661"/>
    <w:rsid w:val="00EE381E"/>
    <w:rsid w:val="00EE390E"/>
    <w:rsid w:val="00EE3937"/>
    <w:rsid w:val="00EE3BA9"/>
    <w:rsid w:val="00EE3CD4"/>
    <w:rsid w:val="00EE3F1E"/>
    <w:rsid w:val="00EE43C1"/>
    <w:rsid w:val="00EE4569"/>
    <w:rsid w:val="00EE4882"/>
    <w:rsid w:val="00EE4B25"/>
    <w:rsid w:val="00EE4B2C"/>
    <w:rsid w:val="00EE4C61"/>
    <w:rsid w:val="00EE4D87"/>
    <w:rsid w:val="00EE4DBB"/>
    <w:rsid w:val="00EE50B9"/>
    <w:rsid w:val="00EE5B87"/>
    <w:rsid w:val="00EE6345"/>
    <w:rsid w:val="00EE66F3"/>
    <w:rsid w:val="00EE685E"/>
    <w:rsid w:val="00EE6A63"/>
    <w:rsid w:val="00EE6C28"/>
    <w:rsid w:val="00EE6E7D"/>
    <w:rsid w:val="00EE704F"/>
    <w:rsid w:val="00EE7414"/>
    <w:rsid w:val="00EF00AD"/>
    <w:rsid w:val="00EF028E"/>
    <w:rsid w:val="00EF04A3"/>
    <w:rsid w:val="00EF0580"/>
    <w:rsid w:val="00EF05D5"/>
    <w:rsid w:val="00EF0AAD"/>
    <w:rsid w:val="00EF12E2"/>
    <w:rsid w:val="00EF142F"/>
    <w:rsid w:val="00EF1453"/>
    <w:rsid w:val="00EF15A6"/>
    <w:rsid w:val="00EF1C00"/>
    <w:rsid w:val="00EF1D59"/>
    <w:rsid w:val="00EF2521"/>
    <w:rsid w:val="00EF26DD"/>
    <w:rsid w:val="00EF2CA7"/>
    <w:rsid w:val="00EF2CB7"/>
    <w:rsid w:val="00EF31E2"/>
    <w:rsid w:val="00EF32C0"/>
    <w:rsid w:val="00EF33F7"/>
    <w:rsid w:val="00EF362D"/>
    <w:rsid w:val="00EF3929"/>
    <w:rsid w:val="00EF3A9B"/>
    <w:rsid w:val="00EF3E7C"/>
    <w:rsid w:val="00EF40D2"/>
    <w:rsid w:val="00EF414C"/>
    <w:rsid w:val="00EF4289"/>
    <w:rsid w:val="00EF436B"/>
    <w:rsid w:val="00EF44E8"/>
    <w:rsid w:val="00EF45B5"/>
    <w:rsid w:val="00EF4610"/>
    <w:rsid w:val="00EF485F"/>
    <w:rsid w:val="00EF505C"/>
    <w:rsid w:val="00EF51BA"/>
    <w:rsid w:val="00EF52B4"/>
    <w:rsid w:val="00EF564A"/>
    <w:rsid w:val="00EF58DB"/>
    <w:rsid w:val="00EF5C0B"/>
    <w:rsid w:val="00EF5E77"/>
    <w:rsid w:val="00EF6167"/>
    <w:rsid w:val="00EF641B"/>
    <w:rsid w:val="00EF6A27"/>
    <w:rsid w:val="00EF77A5"/>
    <w:rsid w:val="00EF7EC2"/>
    <w:rsid w:val="00EF7F78"/>
    <w:rsid w:val="00F00023"/>
    <w:rsid w:val="00F001E6"/>
    <w:rsid w:val="00F0038D"/>
    <w:rsid w:val="00F009C0"/>
    <w:rsid w:val="00F00B19"/>
    <w:rsid w:val="00F00C3D"/>
    <w:rsid w:val="00F00DED"/>
    <w:rsid w:val="00F00E72"/>
    <w:rsid w:val="00F0107F"/>
    <w:rsid w:val="00F016A2"/>
    <w:rsid w:val="00F016DE"/>
    <w:rsid w:val="00F01D8F"/>
    <w:rsid w:val="00F01D97"/>
    <w:rsid w:val="00F01E4C"/>
    <w:rsid w:val="00F0205B"/>
    <w:rsid w:val="00F02685"/>
    <w:rsid w:val="00F028CB"/>
    <w:rsid w:val="00F0331A"/>
    <w:rsid w:val="00F04087"/>
    <w:rsid w:val="00F0423E"/>
    <w:rsid w:val="00F04287"/>
    <w:rsid w:val="00F04377"/>
    <w:rsid w:val="00F04681"/>
    <w:rsid w:val="00F047BE"/>
    <w:rsid w:val="00F047E6"/>
    <w:rsid w:val="00F047F6"/>
    <w:rsid w:val="00F0485B"/>
    <w:rsid w:val="00F04E53"/>
    <w:rsid w:val="00F05152"/>
    <w:rsid w:val="00F0538C"/>
    <w:rsid w:val="00F0565F"/>
    <w:rsid w:val="00F057B7"/>
    <w:rsid w:val="00F058AD"/>
    <w:rsid w:val="00F05904"/>
    <w:rsid w:val="00F059A0"/>
    <w:rsid w:val="00F05C35"/>
    <w:rsid w:val="00F0613B"/>
    <w:rsid w:val="00F06327"/>
    <w:rsid w:val="00F06590"/>
    <w:rsid w:val="00F06CB8"/>
    <w:rsid w:val="00F06CC9"/>
    <w:rsid w:val="00F06D52"/>
    <w:rsid w:val="00F06F4F"/>
    <w:rsid w:val="00F0717E"/>
    <w:rsid w:val="00F0726D"/>
    <w:rsid w:val="00F072C9"/>
    <w:rsid w:val="00F0754F"/>
    <w:rsid w:val="00F07B23"/>
    <w:rsid w:val="00F07B78"/>
    <w:rsid w:val="00F07F71"/>
    <w:rsid w:val="00F10008"/>
    <w:rsid w:val="00F10535"/>
    <w:rsid w:val="00F10682"/>
    <w:rsid w:val="00F10AFE"/>
    <w:rsid w:val="00F11194"/>
    <w:rsid w:val="00F1144E"/>
    <w:rsid w:val="00F1221C"/>
    <w:rsid w:val="00F12512"/>
    <w:rsid w:val="00F129D4"/>
    <w:rsid w:val="00F12B09"/>
    <w:rsid w:val="00F12D68"/>
    <w:rsid w:val="00F1348A"/>
    <w:rsid w:val="00F13821"/>
    <w:rsid w:val="00F13DDA"/>
    <w:rsid w:val="00F14289"/>
    <w:rsid w:val="00F145B7"/>
    <w:rsid w:val="00F14AC9"/>
    <w:rsid w:val="00F14FE9"/>
    <w:rsid w:val="00F1566B"/>
    <w:rsid w:val="00F1583B"/>
    <w:rsid w:val="00F15C8B"/>
    <w:rsid w:val="00F16615"/>
    <w:rsid w:val="00F1676E"/>
    <w:rsid w:val="00F16925"/>
    <w:rsid w:val="00F16AAD"/>
    <w:rsid w:val="00F16E52"/>
    <w:rsid w:val="00F17056"/>
    <w:rsid w:val="00F17093"/>
    <w:rsid w:val="00F173A8"/>
    <w:rsid w:val="00F17F5F"/>
    <w:rsid w:val="00F20204"/>
    <w:rsid w:val="00F20217"/>
    <w:rsid w:val="00F20297"/>
    <w:rsid w:val="00F20660"/>
    <w:rsid w:val="00F206A9"/>
    <w:rsid w:val="00F207E4"/>
    <w:rsid w:val="00F20EF2"/>
    <w:rsid w:val="00F21093"/>
    <w:rsid w:val="00F211B9"/>
    <w:rsid w:val="00F212DB"/>
    <w:rsid w:val="00F214F6"/>
    <w:rsid w:val="00F216B7"/>
    <w:rsid w:val="00F21978"/>
    <w:rsid w:val="00F21E10"/>
    <w:rsid w:val="00F2233A"/>
    <w:rsid w:val="00F2250D"/>
    <w:rsid w:val="00F22526"/>
    <w:rsid w:val="00F2252A"/>
    <w:rsid w:val="00F22717"/>
    <w:rsid w:val="00F22ECF"/>
    <w:rsid w:val="00F23606"/>
    <w:rsid w:val="00F2390A"/>
    <w:rsid w:val="00F23A2E"/>
    <w:rsid w:val="00F23D95"/>
    <w:rsid w:val="00F241A5"/>
    <w:rsid w:val="00F24D2E"/>
    <w:rsid w:val="00F24D96"/>
    <w:rsid w:val="00F24ECB"/>
    <w:rsid w:val="00F24F50"/>
    <w:rsid w:val="00F250FC"/>
    <w:rsid w:val="00F255D2"/>
    <w:rsid w:val="00F256DC"/>
    <w:rsid w:val="00F25747"/>
    <w:rsid w:val="00F25D59"/>
    <w:rsid w:val="00F26051"/>
    <w:rsid w:val="00F260C4"/>
    <w:rsid w:val="00F2611A"/>
    <w:rsid w:val="00F26173"/>
    <w:rsid w:val="00F265E3"/>
    <w:rsid w:val="00F265FE"/>
    <w:rsid w:val="00F266CD"/>
    <w:rsid w:val="00F267C6"/>
    <w:rsid w:val="00F26BED"/>
    <w:rsid w:val="00F26C8B"/>
    <w:rsid w:val="00F26D62"/>
    <w:rsid w:val="00F26DB9"/>
    <w:rsid w:val="00F271C9"/>
    <w:rsid w:val="00F2733F"/>
    <w:rsid w:val="00F27745"/>
    <w:rsid w:val="00F27832"/>
    <w:rsid w:val="00F278FB"/>
    <w:rsid w:val="00F27CBF"/>
    <w:rsid w:val="00F3027D"/>
    <w:rsid w:val="00F3057F"/>
    <w:rsid w:val="00F30B19"/>
    <w:rsid w:val="00F310C4"/>
    <w:rsid w:val="00F31337"/>
    <w:rsid w:val="00F31D97"/>
    <w:rsid w:val="00F322C3"/>
    <w:rsid w:val="00F328DB"/>
    <w:rsid w:val="00F32980"/>
    <w:rsid w:val="00F32B01"/>
    <w:rsid w:val="00F32DA8"/>
    <w:rsid w:val="00F32ED2"/>
    <w:rsid w:val="00F33975"/>
    <w:rsid w:val="00F33A86"/>
    <w:rsid w:val="00F34175"/>
    <w:rsid w:val="00F344A4"/>
    <w:rsid w:val="00F34FB7"/>
    <w:rsid w:val="00F3569F"/>
    <w:rsid w:val="00F35861"/>
    <w:rsid w:val="00F3589F"/>
    <w:rsid w:val="00F358A3"/>
    <w:rsid w:val="00F3598E"/>
    <w:rsid w:val="00F35C43"/>
    <w:rsid w:val="00F35E96"/>
    <w:rsid w:val="00F3603C"/>
    <w:rsid w:val="00F36279"/>
    <w:rsid w:val="00F366CB"/>
    <w:rsid w:val="00F367F5"/>
    <w:rsid w:val="00F36A54"/>
    <w:rsid w:val="00F36CE7"/>
    <w:rsid w:val="00F370D3"/>
    <w:rsid w:val="00F37554"/>
    <w:rsid w:val="00F37609"/>
    <w:rsid w:val="00F37A3D"/>
    <w:rsid w:val="00F37B53"/>
    <w:rsid w:val="00F40271"/>
    <w:rsid w:val="00F4072C"/>
    <w:rsid w:val="00F407FF"/>
    <w:rsid w:val="00F40BA7"/>
    <w:rsid w:val="00F40C9C"/>
    <w:rsid w:val="00F40D3F"/>
    <w:rsid w:val="00F40DA3"/>
    <w:rsid w:val="00F40EDB"/>
    <w:rsid w:val="00F40F69"/>
    <w:rsid w:val="00F4165A"/>
    <w:rsid w:val="00F41AA0"/>
    <w:rsid w:val="00F41BC5"/>
    <w:rsid w:val="00F41D1F"/>
    <w:rsid w:val="00F42234"/>
    <w:rsid w:val="00F42477"/>
    <w:rsid w:val="00F42ACA"/>
    <w:rsid w:val="00F42C15"/>
    <w:rsid w:val="00F42D42"/>
    <w:rsid w:val="00F43056"/>
    <w:rsid w:val="00F43165"/>
    <w:rsid w:val="00F4319B"/>
    <w:rsid w:val="00F43BFE"/>
    <w:rsid w:val="00F44077"/>
    <w:rsid w:val="00F44209"/>
    <w:rsid w:val="00F448B4"/>
    <w:rsid w:val="00F448CA"/>
    <w:rsid w:val="00F44F74"/>
    <w:rsid w:val="00F44F7C"/>
    <w:rsid w:val="00F45770"/>
    <w:rsid w:val="00F45C3F"/>
    <w:rsid w:val="00F45DF6"/>
    <w:rsid w:val="00F45FF2"/>
    <w:rsid w:val="00F4681E"/>
    <w:rsid w:val="00F46930"/>
    <w:rsid w:val="00F4697A"/>
    <w:rsid w:val="00F46BCC"/>
    <w:rsid w:val="00F46D35"/>
    <w:rsid w:val="00F46F64"/>
    <w:rsid w:val="00F47131"/>
    <w:rsid w:val="00F47255"/>
    <w:rsid w:val="00F47332"/>
    <w:rsid w:val="00F4760A"/>
    <w:rsid w:val="00F478E4"/>
    <w:rsid w:val="00F47DDE"/>
    <w:rsid w:val="00F47EB0"/>
    <w:rsid w:val="00F50001"/>
    <w:rsid w:val="00F506DA"/>
    <w:rsid w:val="00F5095A"/>
    <w:rsid w:val="00F50D23"/>
    <w:rsid w:val="00F50D97"/>
    <w:rsid w:val="00F51376"/>
    <w:rsid w:val="00F515DF"/>
    <w:rsid w:val="00F51A80"/>
    <w:rsid w:val="00F51E5C"/>
    <w:rsid w:val="00F52189"/>
    <w:rsid w:val="00F524DB"/>
    <w:rsid w:val="00F531FE"/>
    <w:rsid w:val="00F53246"/>
    <w:rsid w:val="00F533BB"/>
    <w:rsid w:val="00F53551"/>
    <w:rsid w:val="00F53B86"/>
    <w:rsid w:val="00F53F48"/>
    <w:rsid w:val="00F5423E"/>
    <w:rsid w:val="00F544DA"/>
    <w:rsid w:val="00F545CE"/>
    <w:rsid w:val="00F547DA"/>
    <w:rsid w:val="00F54BC9"/>
    <w:rsid w:val="00F54D49"/>
    <w:rsid w:val="00F54D6F"/>
    <w:rsid w:val="00F54F3B"/>
    <w:rsid w:val="00F55078"/>
    <w:rsid w:val="00F5521D"/>
    <w:rsid w:val="00F55677"/>
    <w:rsid w:val="00F557D8"/>
    <w:rsid w:val="00F558B0"/>
    <w:rsid w:val="00F55B08"/>
    <w:rsid w:val="00F55F48"/>
    <w:rsid w:val="00F56200"/>
    <w:rsid w:val="00F56281"/>
    <w:rsid w:val="00F5662D"/>
    <w:rsid w:val="00F56BD9"/>
    <w:rsid w:val="00F56DCD"/>
    <w:rsid w:val="00F57804"/>
    <w:rsid w:val="00F578B7"/>
    <w:rsid w:val="00F57AB6"/>
    <w:rsid w:val="00F57ADB"/>
    <w:rsid w:val="00F57D0E"/>
    <w:rsid w:val="00F60122"/>
    <w:rsid w:val="00F603BA"/>
    <w:rsid w:val="00F603F0"/>
    <w:rsid w:val="00F6057C"/>
    <w:rsid w:val="00F6074C"/>
    <w:rsid w:val="00F608FE"/>
    <w:rsid w:val="00F60C49"/>
    <w:rsid w:val="00F60E87"/>
    <w:rsid w:val="00F60EEC"/>
    <w:rsid w:val="00F6135A"/>
    <w:rsid w:val="00F6183A"/>
    <w:rsid w:val="00F61A0D"/>
    <w:rsid w:val="00F625AE"/>
    <w:rsid w:val="00F6283D"/>
    <w:rsid w:val="00F6290A"/>
    <w:rsid w:val="00F62985"/>
    <w:rsid w:val="00F62AA0"/>
    <w:rsid w:val="00F62AE2"/>
    <w:rsid w:val="00F62E2A"/>
    <w:rsid w:val="00F63065"/>
    <w:rsid w:val="00F6374E"/>
    <w:rsid w:val="00F638E9"/>
    <w:rsid w:val="00F63CF7"/>
    <w:rsid w:val="00F63D94"/>
    <w:rsid w:val="00F64130"/>
    <w:rsid w:val="00F642EC"/>
    <w:rsid w:val="00F64B0D"/>
    <w:rsid w:val="00F64D52"/>
    <w:rsid w:val="00F64E56"/>
    <w:rsid w:val="00F653EF"/>
    <w:rsid w:val="00F65CA0"/>
    <w:rsid w:val="00F66077"/>
    <w:rsid w:val="00F661C7"/>
    <w:rsid w:val="00F6627C"/>
    <w:rsid w:val="00F66589"/>
    <w:rsid w:val="00F666D4"/>
    <w:rsid w:val="00F66872"/>
    <w:rsid w:val="00F6694A"/>
    <w:rsid w:val="00F66D84"/>
    <w:rsid w:val="00F66F4E"/>
    <w:rsid w:val="00F6738A"/>
    <w:rsid w:val="00F6746B"/>
    <w:rsid w:val="00F676FD"/>
    <w:rsid w:val="00F678CA"/>
    <w:rsid w:val="00F679EC"/>
    <w:rsid w:val="00F67E3A"/>
    <w:rsid w:val="00F67E5C"/>
    <w:rsid w:val="00F7014C"/>
    <w:rsid w:val="00F701A6"/>
    <w:rsid w:val="00F701F7"/>
    <w:rsid w:val="00F70349"/>
    <w:rsid w:val="00F7045A"/>
    <w:rsid w:val="00F708ED"/>
    <w:rsid w:val="00F70B47"/>
    <w:rsid w:val="00F70E40"/>
    <w:rsid w:val="00F711AB"/>
    <w:rsid w:val="00F71340"/>
    <w:rsid w:val="00F715D2"/>
    <w:rsid w:val="00F71AE7"/>
    <w:rsid w:val="00F71BEB"/>
    <w:rsid w:val="00F7200F"/>
    <w:rsid w:val="00F721B8"/>
    <w:rsid w:val="00F722A3"/>
    <w:rsid w:val="00F727EF"/>
    <w:rsid w:val="00F729B0"/>
    <w:rsid w:val="00F72B45"/>
    <w:rsid w:val="00F72E41"/>
    <w:rsid w:val="00F73E90"/>
    <w:rsid w:val="00F74047"/>
    <w:rsid w:val="00F740D9"/>
    <w:rsid w:val="00F7416D"/>
    <w:rsid w:val="00F7429A"/>
    <w:rsid w:val="00F744E8"/>
    <w:rsid w:val="00F74997"/>
    <w:rsid w:val="00F749F5"/>
    <w:rsid w:val="00F74C04"/>
    <w:rsid w:val="00F74C38"/>
    <w:rsid w:val="00F74D36"/>
    <w:rsid w:val="00F75302"/>
    <w:rsid w:val="00F75420"/>
    <w:rsid w:val="00F766FA"/>
    <w:rsid w:val="00F76B20"/>
    <w:rsid w:val="00F76DC9"/>
    <w:rsid w:val="00F77392"/>
    <w:rsid w:val="00F7750A"/>
    <w:rsid w:val="00F77C38"/>
    <w:rsid w:val="00F77CDD"/>
    <w:rsid w:val="00F77E37"/>
    <w:rsid w:val="00F801FB"/>
    <w:rsid w:val="00F80229"/>
    <w:rsid w:val="00F8089D"/>
    <w:rsid w:val="00F80AD7"/>
    <w:rsid w:val="00F810B0"/>
    <w:rsid w:val="00F81147"/>
    <w:rsid w:val="00F81738"/>
    <w:rsid w:val="00F8187E"/>
    <w:rsid w:val="00F81CD9"/>
    <w:rsid w:val="00F81FF9"/>
    <w:rsid w:val="00F820D0"/>
    <w:rsid w:val="00F822A0"/>
    <w:rsid w:val="00F8270E"/>
    <w:rsid w:val="00F8275C"/>
    <w:rsid w:val="00F82A67"/>
    <w:rsid w:val="00F82A81"/>
    <w:rsid w:val="00F82CCD"/>
    <w:rsid w:val="00F82DBC"/>
    <w:rsid w:val="00F82F0F"/>
    <w:rsid w:val="00F82F82"/>
    <w:rsid w:val="00F83107"/>
    <w:rsid w:val="00F83255"/>
    <w:rsid w:val="00F832C5"/>
    <w:rsid w:val="00F8336A"/>
    <w:rsid w:val="00F8344E"/>
    <w:rsid w:val="00F8392E"/>
    <w:rsid w:val="00F83985"/>
    <w:rsid w:val="00F83B4B"/>
    <w:rsid w:val="00F84010"/>
    <w:rsid w:val="00F84069"/>
    <w:rsid w:val="00F8420E"/>
    <w:rsid w:val="00F842BF"/>
    <w:rsid w:val="00F8430F"/>
    <w:rsid w:val="00F84B40"/>
    <w:rsid w:val="00F850D2"/>
    <w:rsid w:val="00F8544A"/>
    <w:rsid w:val="00F855F2"/>
    <w:rsid w:val="00F85882"/>
    <w:rsid w:val="00F858E0"/>
    <w:rsid w:val="00F8642A"/>
    <w:rsid w:val="00F8655E"/>
    <w:rsid w:val="00F86709"/>
    <w:rsid w:val="00F868BA"/>
    <w:rsid w:val="00F868D4"/>
    <w:rsid w:val="00F86B34"/>
    <w:rsid w:val="00F86BA6"/>
    <w:rsid w:val="00F86D9B"/>
    <w:rsid w:val="00F86DCA"/>
    <w:rsid w:val="00F86E61"/>
    <w:rsid w:val="00F8735E"/>
    <w:rsid w:val="00F873C6"/>
    <w:rsid w:val="00F874F4"/>
    <w:rsid w:val="00F878C2"/>
    <w:rsid w:val="00F87F3D"/>
    <w:rsid w:val="00F902B3"/>
    <w:rsid w:val="00F9144F"/>
    <w:rsid w:val="00F914BA"/>
    <w:rsid w:val="00F917E4"/>
    <w:rsid w:val="00F91A17"/>
    <w:rsid w:val="00F91ACD"/>
    <w:rsid w:val="00F91B66"/>
    <w:rsid w:val="00F91EAF"/>
    <w:rsid w:val="00F91FB0"/>
    <w:rsid w:val="00F9201C"/>
    <w:rsid w:val="00F927A8"/>
    <w:rsid w:val="00F92E8D"/>
    <w:rsid w:val="00F93030"/>
    <w:rsid w:val="00F930C5"/>
    <w:rsid w:val="00F93577"/>
    <w:rsid w:val="00F93602"/>
    <w:rsid w:val="00F9380B"/>
    <w:rsid w:val="00F93B01"/>
    <w:rsid w:val="00F93BB0"/>
    <w:rsid w:val="00F93C40"/>
    <w:rsid w:val="00F93D01"/>
    <w:rsid w:val="00F93E0C"/>
    <w:rsid w:val="00F93E49"/>
    <w:rsid w:val="00F9404D"/>
    <w:rsid w:val="00F942B3"/>
    <w:rsid w:val="00F945A9"/>
    <w:rsid w:val="00F949E9"/>
    <w:rsid w:val="00F94CE0"/>
    <w:rsid w:val="00F94D54"/>
    <w:rsid w:val="00F94E52"/>
    <w:rsid w:val="00F95692"/>
    <w:rsid w:val="00F957E5"/>
    <w:rsid w:val="00F95F10"/>
    <w:rsid w:val="00F962F0"/>
    <w:rsid w:val="00F96A2E"/>
    <w:rsid w:val="00F96B14"/>
    <w:rsid w:val="00F96C42"/>
    <w:rsid w:val="00F96C54"/>
    <w:rsid w:val="00F96D73"/>
    <w:rsid w:val="00F96F7D"/>
    <w:rsid w:val="00F97258"/>
    <w:rsid w:val="00F974F8"/>
    <w:rsid w:val="00F97784"/>
    <w:rsid w:val="00F97833"/>
    <w:rsid w:val="00F97A17"/>
    <w:rsid w:val="00F97D88"/>
    <w:rsid w:val="00F97EE7"/>
    <w:rsid w:val="00FA00A8"/>
    <w:rsid w:val="00FA0FED"/>
    <w:rsid w:val="00FA1012"/>
    <w:rsid w:val="00FA1024"/>
    <w:rsid w:val="00FA13EC"/>
    <w:rsid w:val="00FA1651"/>
    <w:rsid w:val="00FA1768"/>
    <w:rsid w:val="00FA1776"/>
    <w:rsid w:val="00FA18A3"/>
    <w:rsid w:val="00FA1A17"/>
    <w:rsid w:val="00FA1B2E"/>
    <w:rsid w:val="00FA1C2D"/>
    <w:rsid w:val="00FA217C"/>
    <w:rsid w:val="00FA23A7"/>
    <w:rsid w:val="00FA29B8"/>
    <w:rsid w:val="00FA2B9F"/>
    <w:rsid w:val="00FA2D19"/>
    <w:rsid w:val="00FA2F58"/>
    <w:rsid w:val="00FA2F8E"/>
    <w:rsid w:val="00FA304D"/>
    <w:rsid w:val="00FA38AD"/>
    <w:rsid w:val="00FA3901"/>
    <w:rsid w:val="00FA3EA9"/>
    <w:rsid w:val="00FA4174"/>
    <w:rsid w:val="00FA41D7"/>
    <w:rsid w:val="00FA4B47"/>
    <w:rsid w:val="00FA4C6C"/>
    <w:rsid w:val="00FA4EE3"/>
    <w:rsid w:val="00FA5960"/>
    <w:rsid w:val="00FA598D"/>
    <w:rsid w:val="00FA6066"/>
    <w:rsid w:val="00FA618C"/>
    <w:rsid w:val="00FA61D2"/>
    <w:rsid w:val="00FA620B"/>
    <w:rsid w:val="00FA6437"/>
    <w:rsid w:val="00FA6D11"/>
    <w:rsid w:val="00FA70D4"/>
    <w:rsid w:val="00FA71F5"/>
    <w:rsid w:val="00FA76A6"/>
    <w:rsid w:val="00FA76CB"/>
    <w:rsid w:val="00FA791C"/>
    <w:rsid w:val="00FA7969"/>
    <w:rsid w:val="00FA7D0D"/>
    <w:rsid w:val="00FA7D54"/>
    <w:rsid w:val="00FA7DAF"/>
    <w:rsid w:val="00FB02A4"/>
    <w:rsid w:val="00FB04DF"/>
    <w:rsid w:val="00FB081D"/>
    <w:rsid w:val="00FB0C23"/>
    <w:rsid w:val="00FB0DCF"/>
    <w:rsid w:val="00FB17DB"/>
    <w:rsid w:val="00FB192A"/>
    <w:rsid w:val="00FB1970"/>
    <w:rsid w:val="00FB1C87"/>
    <w:rsid w:val="00FB20BE"/>
    <w:rsid w:val="00FB25D6"/>
    <w:rsid w:val="00FB262B"/>
    <w:rsid w:val="00FB2783"/>
    <w:rsid w:val="00FB2839"/>
    <w:rsid w:val="00FB28BB"/>
    <w:rsid w:val="00FB2994"/>
    <w:rsid w:val="00FB2C07"/>
    <w:rsid w:val="00FB2EAF"/>
    <w:rsid w:val="00FB3117"/>
    <w:rsid w:val="00FB3298"/>
    <w:rsid w:val="00FB39D0"/>
    <w:rsid w:val="00FB3A36"/>
    <w:rsid w:val="00FB3EBE"/>
    <w:rsid w:val="00FB4141"/>
    <w:rsid w:val="00FB41A4"/>
    <w:rsid w:val="00FB42E9"/>
    <w:rsid w:val="00FB515B"/>
    <w:rsid w:val="00FB54AD"/>
    <w:rsid w:val="00FB5707"/>
    <w:rsid w:val="00FB59A7"/>
    <w:rsid w:val="00FB5BCC"/>
    <w:rsid w:val="00FB5D4D"/>
    <w:rsid w:val="00FB5E4B"/>
    <w:rsid w:val="00FB5EA9"/>
    <w:rsid w:val="00FB60A4"/>
    <w:rsid w:val="00FB6504"/>
    <w:rsid w:val="00FB658F"/>
    <w:rsid w:val="00FB6601"/>
    <w:rsid w:val="00FB6975"/>
    <w:rsid w:val="00FB6991"/>
    <w:rsid w:val="00FB71A2"/>
    <w:rsid w:val="00FB7A4D"/>
    <w:rsid w:val="00FB7E2F"/>
    <w:rsid w:val="00FC00D4"/>
    <w:rsid w:val="00FC0BFE"/>
    <w:rsid w:val="00FC0C17"/>
    <w:rsid w:val="00FC0CEC"/>
    <w:rsid w:val="00FC0D32"/>
    <w:rsid w:val="00FC1116"/>
    <w:rsid w:val="00FC1874"/>
    <w:rsid w:val="00FC215B"/>
    <w:rsid w:val="00FC24BF"/>
    <w:rsid w:val="00FC29D6"/>
    <w:rsid w:val="00FC2DF9"/>
    <w:rsid w:val="00FC31E3"/>
    <w:rsid w:val="00FC358C"/>
    <w:rsid w:val="00FC3D7C"/>
    <w:rsid w:val="00FC3E8A"/>
    <w:rsid w:val="00FC4006"/>
    <w:rsid w:val="00FC445D"/>
    <w:rsid w:val="00FC4735"/>
    <w:rsid w:val="00FC4821"/>
    <w:rsid w:val="00FC4C74"/>
    <w:rsid w:val="00FC4DC0"/>
    <w:rsid w:val="00FC4F57"/>
    <w:rsid w:val="00FC5244"/>
    <w:rsid w:val="00FC56EA"/>
    <w:rsid w:val="00FC599D"/>
    <w:rsid w:val="00FC5AA6"/>
    <w:rsid w:val="00FC5B70"/>
    <w:rsid w:val="00FC5BBE"/>
    <w:rsid w:val="00FC5CA6"/>
    <w:rsid w:val="00FC5D40"/>
    <w:rsid w:val="00FC5E2E"/>
    <w:rsid w:val="00FC64AC"/>
    <w:rsid w:val="00FC64CF"/>
    <w:rsid w:val="00FC6B5E"/>
    <w:rsid w:val="00FC7330"/>
    <w:rsid w:val="00FC74B9"/>
    <w:rsid w:val="00FC7639"/>
    <w:rsid w:val="00FC77D8"/>
    <w:rsid w:val="00FC7865"/>
    <w:rsid w:val="00FC7885"/>
    <w:rsid w:val="00FC79C7"/>
    <w:rsid w:val="00FC7E55"/>
    <w:rsid w:val="00FD02A9"/>
    <w:rsid w:val="00FD03CA"/>
    <w:rsid w:val="00FD09BF"/>
    <w:rsid w:val="00FD0B46"/>
    <w:rsid w:val="00FD0B8B"/>
    <w:rsid w:val="00FD163B"/>
    <w:rsid w:val="00FD1D90"/>
    <w:rsid w:val="00FD1DF5"/>
    <w:rsid w:val="00FD1E3A"/>
    <w:rsid w:val="00FD1E5F"/>
    <w:rsid w:val="00FD1F4C"/>
    <w:rsid w:val="00FD20BE"/>
    <w:rsid w:val="00FD2198"/>
    <w:rsid w:val="00FD2260"/>
    <w:rsid w:val="00FD24CA"/>
    <w:rsid w:val="00FD25D9"/>
    <w:rsid w:val="00FD271C"/>
    <w:rsid w:val="00FD276E"/>
    <w:rsid w:val="00FD295A"/>
    <w:rsid w:val="00FD2B62"/>
    <w:rsid w:val="00FD2E8F"/>
    <w:rsid w:val="00FD3296"/>
    <w:rsid w:val="00FD35B9"/>
    <w:rsid w:val="00FD3772"/>
    <w:rsid w:val="00FD38B9"/>
    <w:rsid w:val="00FD3E64"/>
    <w:rsid w:val="00FD3FFE"/>
    <w:rsid w:val="00FD42FD"/>
    <w:rsid w:val="00FD43FD"/>
    <w:rsid w:val="00FD4883"/>
    <w:rsid w:val="00FD49B7"/>
    <w:rsid w:val="00FD4A85"/>
    <w:rsid w:val="00FD4EF7"/>
    <w:rsid w:val="00FD53EB"/>
    <w:rsid w:val="00FD6022"/>
    <w:rsid w:val="00FD6417"/>
    <w:rsid w:val="00FD6F33"/>
    <w:rsid w:val="00FD6F97"/>
    <w:rsid w:val="00FD70A7"/>
    <w:rsid w:val="00FD74B1"/>
    <w:rsid w:val="00FD74EB"/>
    <w:rsid w:val="00FD7594"/>
    <w:rsid w:val="00FD7677"/>
    <w:rsid w:val="00FD77A0"/>
    <w:rsid w:val="00FD77C1"/>
    <w:rsid w:val="00FD7B0E"/>
    <w:rsid w:val="00FD7CDB"/>
    <w:rsid w:val="00FD7D6F"/>
    <w:rsid w:val="00FD7F8C"/>
    <w:rsid w:val="00FE009A"/>
    <w:rsid w:val="00FE0580"/>
    <w:rsid w:val="00FE07DD"/>
    <w:rsid w:val="00FE1248"/>
    <w:rsid w:val="00FE13A0"/>
    <w:rsid w:val="00FE1E35"/>
    <w:rsid w:val="00FE21F5"/>
    <w:rsid w:val="00FE2815"/>
    <w:rsid w:val="00FE2FBD"/>
    <w:rsid w:val="00FE30D7"/>
    <w:rsid w:val="00FE3185"/>
    <w:rsid w:val="00FE3258"/>
    <w:rsid w:val="00FE3515"/>
    <w:rsid w:val="00FE35E3"/>
    <w:rsid w:val="00FE392D"/>
    <w:rsid w:val="00FE3AE6"/>
    <w:rsid w:val="00FE459A"/>
    <w:rsid w:val="00FE48D7"/>
    <w:rsid w:val="00FE48E3"/>
    <w:rsid w:val="00FE4C0D"/>
    <w:rsid w:val="00FE4DCD"/>
    <w:rsid w:val="00FE4F51"/>
    <w:rsid w:val="00FE4F61"/>
    <w:rsid w:val="00FE5292"/>
    <w:rsid w:val="00FE533D"/>
    <w:rsid w:val="00FE553B"/>
    <w:rsid w:val="00FE55CE"/>
    <w:rsid w:val="00FE56A6"/>
    <w:rsid w:val="00FE5BD5"/>
    <w:rsid w:val="00FE5D38"/>
    <w:rsid w:val="00FE624A"/>
    <w:rsid w:val="00FE6A95"/>
    <w:rsid w:val="00FE71FC"/>
    <w:rsid w:val="00FE7321"/>
    <w:rsid w:val="00FE7B59"/>
    <w:rsid w:val="00FE7C2E"/>
    <w:rsid w:val="00FE7E8D"/>
    <w:rsid w:val="00FF0787"/>
    <w:rsid w:val="00FF0C8D"/>
    <w:rsid w:val="00FF0F0F"/>
    <w:rsid w:val="00FF1692"/>
    <w:rsid w:val="00FF19BE"/>
    <w:rsid w:val="00FF19E7"/>
    <w:rsid w:val="00FF1C9D"/>
    <w:rsid w:val="00FF1E2B"/>
    <w:rsid w:val="00FF23F0"/>
    <w:rsid w:val="00FF2460"/>
    <w:rsid w:val="00FF24D6"/>
    <w:rsid w:val="00FF2575"/>
    <w:rsid w:val="00FF25C8"/>
    <w:rsid w:val="00FF2701"/>
    <w:rsid w:val="00FF27B1"/>
    <w:rsid w:val="00FF2B41"/>
    <w:rsid w:val="00FF2C4D"/>
    <w:rsid w:val="00FF2C74"/>
    <w:rsid w:val="00FF31D5"/>
    <w:rsid w:val="00FF331A"/>
    <w:rsid w:val="00FF3901"/>
    <w:rsid w:val="00FF3ABB"/>
    <w:rsid w:val="00FF3D0C"/>
    <w:rsid w:val="00FF4098"/>
    <w:rsid w:val="00FF442D"/>
    <w:rsid w:val="00FF4D02"/>
    <w:rsid w:val="00FF50B1"/>
    <w:rsid w:val="00FF524D"/>
    <w:rsid w:val="00FF5431"/>
    <w:rsid w:val="00FF547C"/>
    <w:rsid w:val="00FF5A81"/>
    <w:rsid w:val="00FF5E53"/>
    <w:rsid w:val="00FF5E60"/>
    <w:rsid w:val="00FF5E83"/>
    <w:rsid w:val="00FF636D"/>
    <w:rsid w:val="00FF64DA"/>
    <w:rsid w:val="00FF6D02"/>
    <w:rsid w:val="00FF6EC5"/>
    <w:rsid w:val="00FF734A"/>
    <w:rsid w:val="00FF7B27"/>
    <w:rsid w:val="0A869216"/>
    <w:rsid w:val="0FF308B8"/>
    <w:rsid w:val="13CC2241"/>
    <w:rsid w:val="179994D3"/>
    <w:rsid w:val="19EAEB47"/>
    <w:rsid w:val="1B1C17EB"/>
    <w:rsid w:val="1B9F6C33"/>
    <w:rsid w:val="1DADEDF1"/>
    <w:rsid w:val="26227642"/>
    <w:rsid w:val="2647C734"/>
    <w:rsid w:val="27A6E695"/>
    <w:rsid w:val="27ED6D10"/>
    <w:rsid w:val="281A7C15"/>
    <w:rsid w:val="31B27949"/>
    <w:rsid w:val="321C2386"/>
    <w:rsid w:val="32B3B472"/>
    <w:rsid w:val="3CD8EBE3"/>
    <w:rsid w:val="40F3F7B6"/>
    <w:rsid w:val="45636FA4"/>
    <w:rsid w:val="4A2B288A"/>
    <w:rsid w:val="4B2D49E3"/>
    <w:rsid w:val="4D40426E"/>
    <w:rsid w:val="501D80A0"/>
    <w:rsid w:val="59923EE4"/>
    <w:rsid w:val="5A356C08"/>
    <w:rsid w:val="6172B97C"/>
    <w:rsid w:val="619395E0"/>
    <w:rsid w:val="61DA66AF"/>
    <w:rsid w:val="6736C022"/>
    <w:rsid w:val="708A1E98"/>
    <w:rsid w:val="73207B4F"/>
    <w:rsid w:val="74C2BB70"/>
    <w:rsid w:val="7507F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75D"/>
  <w15:docId w15:val="{27A3EAD8-3CF9-467B-BC25-3DEF9554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5C"/>
    <w:pPr>
      <w:spacing w:after="0" w:line="276" w:lineRule="auto"/>
      <w:jc w:val="both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41F3"/>
    <w:pPr>
      <w:numPr>
        <w:numId w:val="2"/>
      </w:numPr>
      <w:spacing w:before="28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AEF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/>
      <w:b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6D"/>
    <w:pPr>
      <w:keepNext/>
      <w:keepLines/>
      <w:numPr>
        <w:ilvl w:val="2"/>
        <w:numId w:val="2"/>
      </w:numPr>
      <w:spacing w:before="240"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E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E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E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E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E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40"/>
    <w:rPr>
      <w:rFonts w:eastAsia="Times New Roman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40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B1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1F3"/>
    <w:rPr>
      <w:rFonts w:eastAsia="Times New Roman" w:cs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5E7"/>
    <w:rPr>
      <w:rFonts w:eastAsiaTheme="majorEastAsi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0226D"/>
    <w:rPr>
      <w:rFonts w:eastAsiaTheme="majorEastAsia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E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E7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E7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nhideWhenUsed/>
    <w:rsid w:val="006305E7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6305E7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6305E7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uiPriority w:val="99"/>
    <w:unhideWhenUsed/>
    <w:rsid w:val="006305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81958"/>
    <w:pPr>
      <w:spacing w:after="200" w:line="240" w:lineRule="auto"/>
    </w:pPr>
    <w:rPr>
      <w:iCs/>
    </w:rPr>
  </w:style>
  <w:style w:type="character" w:styleId="PlaceholderText">
    <w:name w:val="Placeholder Text"/>
    <w:basedOn w:val="DefaultParagraphFont"/>
    <w:uiPriority w:val="99"/>
    <w:semiHidden/>
    <w:rsid w:val="00F94E52"/>
    <w:rPr>
      <w:color w:val="808080"/>
    </w:rPr>
  </w:style>
  <w:style w:type="paragraph" w:styleId="NoSpacing">
    <w:name w:val="No Spacing"/>
    <w:uiPriority w:val="1"/>
    <w:qFormat/>
    <w:rsid w:val="00332740"/>
    <w:pPr>
      <w:spacing w:after="0" w:line="240" w:lineRule="auto"/>
      <w:jc w:val="both"/>
    </w:pPr>
    <w:rPr>
      <w:rFonts w:eastAsia="Times New Roman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66E13"/>
  </w:style>
  <w:style w:type="character" w:styleId="FollowedHyperlink">
    <w:name w:val="FollowedHyperlink"/>
    <w:basedOn w:val="DefaultParagraphFont"/>
    <w:uiPriority w:val="99"/>
    <w:semiHidden/>
    <w:unhideWhenUsed/>
    <w:rsid w:val="009B09E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71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12"/>
    <w:rPr>
      <w:rFonts w:eastAsia="Times New Roman" w:cs="Arial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E0F62"/>
    <w:rPr>
      <w:rFonts w:ascii="Arial" w:hAnsi="Arial"/>
      <w:sz w:val="18"/>
      <w:vertAlign w:val="baseline"/>
    </w:rPr>
  </w:style>
  <w:style w:type="character" w:styleId="IntenseReference">
    <w:name w:val="Intense Reference"/>
    <w:uiPriority w:val="32"/>
    <w:qFormat/>
    <w:rsid w:val="00B22F18"/>
  </w:style>
  <w:style w:type="character" w:styleId="IntenseEmphasis">
    <w:name w:val="Intense Emphasis"/>
    <w:basedOn w:val="DefaultParagraphFont"/>
    <w:uiPriority w:val="21"/>
    <w:qFormat/>
    <w:rsid w:val="00E964BC"/>
    <w:rPr>
      <w:rFonts w:ascii="Arial" w:hAnsi="Arial"/>
      <w:b w:val="0"/>
      <w:i w:val="0"/>
      <w:iCs/>
      <w:color w:val="auto"/>
      <w:sz w:val="18"/>
    </w:rPr>
  </w:style>
  <w:style w:type="table" w:customStyle="1" w:styleId="TableGrid1">
    <w:name w:val="Table Grid1"/>
    <w:basedOn w:val="TableNormal"/>
    <w:rsid w:val="008463F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E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5E350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9B5A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1D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1D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1D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A0"/>
    <w:rPr>
      <w:b/>
      <w:bCs/>
    </w:rPr>
  </w:style>
  <w:style w:type="paragraph" w:styleId="Revision">
    <w:name w:val="Revision"/>
    <w:hidden/>
    <w:uiPriority w:val="99"/>
    <w:semiHidden/>
    <w:rsid w:val="007908FF"/>
    <w:pPr>
      <w:spacing w:after="0" w:line="240" w:lineRule="auto"/>
    </w:pPr>
    <w:rPr>
      <w:sz w:val="18"/>
    </w:rPr>
  </w:style>
  <w:style w:type="table" w:customStyle="1" w:styleId="TableGrid3">
    <w:name w:val="Table Grid3"/>
    <w:basedOn w:val="TableNormal"/>
    <w:next w:val="TableGrid"/>
    <w:rsid w:val="00A1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B5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5B87"/>
    <w:pPr>
      <w:jc w:val="center"/>
    </w:pPr>
    <w:rPr>
      <w:b/>
      <w:noProof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EE5B87"/>
    <w:rPr>
      <w:b/>
      <w:noProof/>
    </w:rPr>
  </w:style>
  <w:style w:type="table" w:styleId="PlainTable4">
    <w:name w:val="Plain Table 4"/>
    <w:basedOn w:val="TableNormal"/>
    <w:uiPriority w:val="44"/>
    <w:rsid w:val="00307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02B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C073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ha.gov" TargetMode="External"/><Relationship Id="rId1" Type="http://schemas.openxmlformats.org/officeDocument/2006/relationships/hyperlink" Target="https://www.osh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forward val="1"/>
            <c:dispRSqr val="0"/>
            <c:dispEq val="0"/>
          </c:trendline>
          <c:xVal>
            <c:numRef>
              <c:f>Sheet1!$A$2:$A$19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0.05</c:v>
                </c:pt>
                <c:pt idx="5">
                  <c:v>0.05</c:v>
                </c:pt>
                <c:pt idx="6">
                  <c:v>0.1</c:v>
                </c:pt>
                <c:pt idx="7">
                  <c:v>0.1</c:v>
                </c:pt>
                <c:pt idx="8">
                  <c:v>0.1</c:v>
                </c:pt>
                <c:pt idx="9">
                  <c:v>0.151</c:v>
                </c:pt>
                <c:pt idx="10">
                  <c:v>0.151</c:v>
                </c:pt>
                <c:pt idx="11">
                  <c:v>0.151</c:v>
                </c:pt>
                <c:pt idx="12">
                  <c:v>0.20100000000000001</c:v>
                </c:pt>
                <c:pt idx="13">
                  <c:v>0.20100000000000001</c:v>
                </c:pt>
                <c:pt idx="14">
                  <c:v>0.20100000000000001</c:v>
                </c:pt>
                <c:pt idx="15">
                  <c:v>0.254</c:v>
                </c:pt>
                <c:pt idx="16">
                  <c:v>0.254</c:v>
                </c:pt>
                <c:pt idx="17">
                  <c:v>0.254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</c:v>
                </c:pt>
                <c:pt idx="5">
                  <c:v>0.05</c:v>
                </c:pt>
                <c:pt idx="6">
                  <c:v>0.1</c:v>
                </c:pt>
                <c:pt idx="7">
                  <c:v>0.1</c:v>
                </c:pt>
                <c:pt idx="8">
                  <c:v>0.1</c:v>
                </c:pt>
                <c:pt idx="9">
                  <c:v>0.15</c:v>
                </c:pt>
                <c:pt idx="10">
                  <c:v>0.15</c:v>
                </c:pt>
                <c:pt idx="11">
                  <c:v>0.15</c:v>
                </c:pt>
                <c:pt idx="12">
                  <c:v>0.2</c:v>
                </c:pt>
                <c:pt idx="13">
                  <c:v>0.2</c:v>
                </c:pt>
                <c:pt idx="14">
                  <c:v>0.2</c:v>
                </c:pt>
                <c:pt idx="15">
                  <c:v>0.3</c:v>
                </c:pt>
                <c:pt idx="16">
                  <c:v>0.25</c:v>
                </c:pt>
                <c:pt idx="17">
                  <c:v>0.3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DBD-42CD-B2C3-F90253728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709712"/>
        <c:axId val="481707912"/>
      </c:scatterChart>
      <c:valAx>
        <c:axId val="481709712"/>
        <c:scaling>
          <c:orientation val="minMax"/>
          <c:max val="0.26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Test Atmosphere Concentration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7912"/>
        <c:crosses val="autoZero"/>
        <c:crossBetween val="midCat"/>
        <c:majorUnit val="5.000000000000001E-2"/>
      </c:valAx>
      <c:valAx>
        <c:axId val="481707912"/>
        <c:scaling>
          <c:orientation val="minMax"/>
          <c:max val="0.31000000000000005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Response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(ppm)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29847163796306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9712"/>
        <c:crosses val="autoZero"/>
        <c:crossBetween val="midCat"/>
        <c:majorUnit val="5.000000000000001E-2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</cdr:x>
      <cdr:y>0.76051</cdr:y>
    </cdr:from>
    <cdr:to>
      <cdr:x>0.3965</cdr:x>
      <cdr:y>0.8199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339611" y="2538248"/>
          <a:ext cx="473202" cy="1982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LOD</a:t>
          </a:r>
        </a:p>
      </cdr:txBody>
    </cdr:sp>
  </cdr:relSizeAnchor>
  <cdr:relSizeAnchor xmlns:cdr="http://schemas.openxmlformats.org/drawingml/2006/chartDrawing">
    <cdr:from>
      <cdr:x>0.30167</cdr:x>
      <cdr:y>0.78539</cdr:y>
    </cdr:from>
    <cdr:to>
      <cdr:x>0.30167</cdr:x>
      <cdr:y>0.83714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1379235" y="2621293"/>
          <a:ext cx="0" cy="17271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0.76032</cdr:x>
      <cdr:y>0.77418</cdr:y>
    </cdr:from>
    <cdr:to>
      <cdr:x>0.76032</cdr:x>
      <cdr:y>0.83446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3476191" y="2583873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0.75285</cdr:x>
      <cdr:y>0.75153</cdr:y>
    </cdr:from>
    <cdr:to>
      <cdr:x>0.85635</cdr:x>
      <cdr:y>0.81092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3442015" y="2508276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27c2-a154-422e-b2bd-08df29cf4fa0">
      <Terms xmlns="http://schemas.microsoft.com/office/infopath/2007/PartnerControls"/>
    </lcf76f155ced4ddcb4097134ff3c332f>
    <TaxCatchAll xmlns="c8ac6f61-bb74-42a6-9a70-d10673a841ba" xsi:nil="true"/>
    <SharedWithUsers xmlns="c8ac6f61-bb74-42a6-9a70-d10673a841ba">
      <UserInfo>
        <DisplayName>Smith, Philip A. - OSHA</DisplayName>
        <AccountId>22</AccountId>
        <AccountType/>
      </UserInfo>
      <UserInfo>
        <DisplayName>Liddell, Brian - OSHA</DisplayName>
        <AccountId>61</AccountId>
        <AccountType/>
      </UserInfo>
      <UserInfo>
        <DisplayName>Jordan, Todd - OSHA</DisplayName>
        <AccountId>84</AccountId>
        <AccountType/>
      </UserInfo>
      <UserInfo>
        <DisplayName>Johansen, Daniel - OSHA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Hen18</b:Tag>
    <b:SourceType>DocumentFromInternetSite</b:SourceType>
    <b:Guid>{4B0553ED-B693-45AE-9F6F-5124DC453C97}</b:Guid>
    <b:Title>Methyl Alcohol (OSHA Method 91)</b:Title>
    <b:InternetSiteTitle>United States Department of Labor, Occupational Safety and Heallth Admiinistration</b:InternetSiteTitle>
    <b:Year>2018</b:Year>
    <b:Month>February</b:Month>
    <b:URL>https://www.osha.gov/dts/sltc/methods/organic/org091/org091.html</b:URL>
    <b:Author>
      <b:Author>
        <b:NameList>
          <b:Person>
            <b:Last>Hendrick</b:Last>
            <b:First>W.</b:First>
          </b:Person>
        </b:NameList>
      </b:Author>
    </b:Autho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207CC73F50149ACCC0A05EB4F6EC9" ma:contentTypeVersion="16" ma:contentTypeDescription="Create a new document." ma:contentTypeScope="" ma:versionID="c9fa28b10187df17ad671e02d31535c3">
  <xsd:schema xmlns:xsd="http://www.w3.org/2001/XMLSchema" xmlns:xs="http://www.w3.org/2001/XMLSchema" xmlns:p="http://schemas.microsoft.com/office/2006/metadata/properties" xmlns:ns2="051727c2-a154-422e-b2bd-08df29cf4fa0" xmlns:ns3="c8ac6f61-bb74-42a6-9a70-d10673a841ba" targetNamespace="http://schemas.microsoft.com/office/2006/metadata/properties" ma:root="true" ma:fieldsID="2c112622a4961fce40c3669383ddea37" ns2:_="" ns3:_="">
    <xsd:import namespace="051727c2-a154-422e-b2bd-08df29cf4fa0"/>
    <xsd:import namespace="c8ac6f61-bb74-42a6-9a70-d10673a84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27c2-a154-422e-b2bd-08df29cf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6f61-bb74-42a6-9a70-d10673a84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6c6cf-c589-4983-89a4-0dc28492fb43}" ma:internalName="TaxCatchAll" ma:showField="CatchAllData" ma:web="c8ac6f61-bb74-42a6-9a70-d10673a84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7035B-72C2-4F9E-8429-859FE34B2CD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c8ac6f61-bb74-42a6-9a70-d10673a841ba"/>
    <ds:schemaRef ds:uri="051727c2-a154-422e-b2bd-08df29cf4fa0"/>
  </ds:schemaRefs>
</ds:datastoreItem>
</file>

<file path=customXml/itemProps2.xml><?xml version="1.0" encoding="utf-8"?>
<ds:datastoreItem xmlns:ds="http://schemas.openxmlformats.org/officeDocument/2006/customXml" ds:itemID="{331A4E56-487E-41A6-8616-827B59922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B3AA7-E07E-45B7-8EEB-867486897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84965-F24F-492D-9146-DFD2BC60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27c2-a154-422e-b2bd-08df29cf4fa0"/>
    <ds:schemaRef ds:uri="c8ac6f61-bb74-42a6-9a70-d10673a8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3881</Words>
  <Characters>19770</Characters>
  <Application>Microsoft Office Word</Application>
  <DocSecurity>0</DocSecurity>
  <Lines>897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osha-1026</vt:lpstr>
    </vt:vector>
  </TitlesOfParts>
  <Company>Department of Labor</Company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osha-1030</dc:title>
  <dc:subject>Carbon Monoxide</dc:subject>
  <dc:creator>USDOL/OSHA – DTSEM – OSHA Technical Center</dc:creator>
  <cp:keywords>Chlorine, direct-reading, method</cp:keywords>
  <dc:description/>
  <cp:lastModifiedBy>Burt, Laura A - OSHA</cp:lastModifiedBy>
  <cp:revision>2</cp:revision>
  <cp:lastPrinted>2025-08-05T17:10:00Z</cp:lastPrinted>
  <dcterms:created xsi:type="dcterms:W3CDTF">2026-02-27T15:25:00Z</dcterms:created>
  <dcterms:modified xsi:type="dcterms:W3CDTF">2026-02-27T15:25:00Z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0x01010015E207CC73F50149ACCC0A05EB4F6EC9</vt:lpwstr>
  </property>
  <property fmtid="{D5CDD505-2E9C-101B-9397-08002B2CF9AE}" pid="3" name="MediaServiceImageTags">
    <vt:lpwstr/>
  </property>
</Properties>
</file>