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D7AB" w14:textId="1F911769" w:rsidR="000A134A" w:rsidRPr="001C1E47" w:rsidRDefault="002511E9" w:rsidP="007D197A">
      <w:pPr>
        <w:pStyle w:val="Heading1"/>
      </w:pPr>
      <w:bookmarkStart w:id="0" w:name="_Toc118900169"/>
      <w:bookmarkStart w:id="1" w:name="_Toc118905008"/>
      <w:r w:rsidRPr="001C1E47">
        <w:rPr>
          <w:iCs/>
        </w:rPr>
        <w:t>FY 2</w:t>
      </w:r>
      <w:r w:rsidR="00BD0358">
        <w:rPr>
          <w:iCs/>
        </w:rPr>
        <w:t>0</w:t>
      </w:r>
      <w:r w:rsidR="00BF78A9" w:rsidRPr="00BF78A9">
        <w:rPr>
          <w:iCs/>
        </w:rPr>
        <w:t>24</w:t>
      </w:r>
      <w:r w:rsidR="001C1E47" w:rsidRPr="001C1E47">
        <w:rPr>
          <w:iCs/>
        </w:rPr>
        <w:t xml:space="preserve"> </w:t>
      </w:r>
      <w:r w:rsidR="000A134A" w:rsidRPr="001C1E47">
        <w:rPr>
          <w:iCs/>
        </w:rPr>
        <w:t xml:space="preserve">Follow-up </w:t>
      </w:r>
      <w:r w:rsidR="00626033" w:rsidRPr="001C1E47">
        <w:t>Federal Annual Monitoring</w:t>
      </w:r>
      <w:r w:rsidR="000A134A" w:rsidRPr="001C1E47">
        <w:t xml:space="preserve"> Evaluation (FAME) Report</w:t>
      </w:r>
      <w:bookmarkEnd w:id="0"/>
      <w:bookmarkEnd w:id="1"/>
    </w:p>
    <w:p w14:paraId="5D01BB79" w14:textId="77777777" w:rsidR="000A134A" w:rsidRPr="001C1E47" w:rsidRDefault="000A134A" w:rsidP="0061177B">
      <w:pPr>
        <w:widowControl/>
        <w:autoSpaceDE/>
        <w:autoSpaceDN/>
        <w:adjustRightInd/>
        <w:rPr>
          <w:rFonts w:cs="Calibri"/>
          <w:bCs/>
          <w:iCs/>
        </w:rPr>
      </w:pPr>
    </w:p>
    <w:p w14:paraId="2681F091" w14:textId="77777777" w:rsidR="000A134A" w:rsidRPr="001C1E47" w:rsidRDefault="000A134A" w:rsidP="007A71AC">
      <w:pPr>
        <w:widowControl/>
        <w:autoSpaceDE/>
        <w:autoSpaceDN/>
        <w:adjustRightInd/>
        <w:jc w:val="center"/>
        <w:rPr>
          <w:rFonts w:cs="Calibri"/>
        </w:rPr>
      </w:pPr>
      <w:r w:rsidRPr="001C1E47">
        <w:rPr>
          <w:rFonts w:cs="Calibri"/>
        </w:rPr>
        <w:t xml:space="preserve"> </w:t>
      </w:r>
    </w:p>
    <w:p w14:paraId="61F6BBD2" w14:textId="77777777" w:rsidR="000A134A" w:rsidRPr="001C1E47" w:rsidRDefault="000A134A" w:rsidP="0061177B">
      <w:pPr>
        <w:widowControl/>
        <w:autoSpaceDE/>
        <w:autoSpaceDN/>
        <w:adjustRightInd/>
        <w:rPr>
          <w:rFonts w:cs="Calibri"/>
          <w:b/>
        </w:rPr>
      </w:pPr>
    </w:p>
    <w:p w14:paraId="44BEE292" w14:textId="77777777" w:rsidR="001A0D34" w:rsidRPr="001A0D34" w:rsidRDefault="001A0D34" w:rsidP="007D197A">
      <w:pPr>
        <w:rPr>
          <w:rFonts w:asciiTheme="minorHAnsi" w:hAnsiTheme="minorHAnsi" w:cstheme="minorHAnsi"/>
          <w:bCs/>
          <w:sz w:val="28"/>
          <w:szCs w:val="28"/>
        </w:rPr>
      </w:pPr>
      <w:r w:rsidRPr="001A0D34">
        <w:rPr>
          <w:rFonts w:asciiTheme="minorHAnsi" w:hAnsiTheme="minorHAnsi" w:cstheme="minorHAnsi"/>
          <w:bCs/>
          <w:sz w:val="28"/>
          <w:szCs w:val="28"/>
        </w:rPr>
        <w:t>Wyoming Occupational Safety and Health Administration</w:t>
      </w:r>
    </w:p>
    <w:p w14:paraId="6A06CECF" w14:textId="29EF5F72" w:rsidR="001A0D34" w:rsidRPr="001A0D34" w:rsidRDefault="001A0D34" w:rsidP="007D197A">
      <w:pPr>
        <w:rPr>
          <w:rFonts w:asciiTheme="minorHAnsi" w:hAnsiTheme="minorHAnsi" w:cstheme="minorHAnsi"/>
          <w:bCs/>
          <w:sz w:val="28"/>
          <w:szCs w:val="28"/>
        </w:rPr>
      </w:pPr>
      <w:r w:rsidRPr="001A0D34">
        <w:rPr>
          <w:rFonts w:asciiTheme="minorHAnsi" w:hAnsiTheme="minorHAnsi" w:cstheme="minorHAnsi"/>
          <w:bCs/>
          <w:sz w:val="28"/>
          <w:szCs w:val="28"/>
        </w:rPr>
        <w:t>(Wyoming OSHA)</w:t>
      </w:r>
    </w:p>
    <w:p w14:paraId="2A3E5133" w14:textId="77777777" w:rsidR="000A134A" w:rsidRPr="001C1E47" w:rsidRDefault="000A134A" w:rsidP="0061177B">
      <w:pPr>
        <w:widowControl/>
        <w:autoSpaceDE/>
        <w:autoSpaceDN/>
        <w:adjustRightInd/>
        <w:rPr>
          <w:rFonts w:cs="Calibri"/>
          <w:bCs/>
        </w:rPr>
      </w:pPr>
    </w:p>
    <w:p w14:paraId="33BDDAA9" w14:textId="77777777" w:rsidR="000A134A" w:rsidRPr="001C1E47" w:rsidRDefault="000A134A" w:rsidP="0061177B">
      <w:pPr>
        <w:widowControl/>
        <w:autoSpaceDE/>
        <w:autoSpaceDN/>
        <w:adjustRightInd/>
        <w:rPr>
          <w:rFonts w:cs="Calibri"/>
          <w:bCs/>
        </w:rPr>
      </w:pPr>
    </w:p>
    <w:p w14:paraId="0E828210" w14:textId="7E212DA1" w:rsidR="000A134A" w:rsidRPr="001C1E47" w:rsidRDefault="0065650A" w:rsidP="007D197A">
      <w:pPr>
        <w:widowControl/>
        <w:autoSpaceDE/>
        <w:autoSpaceDN/>
        <w:adjustRightInd/>
        <w:rPr>
          <w:rFonts w:cs="Calibri"/>
          <w:bCs/>
        </w:rPr>
      </w:pPr>
      <w:r w:rsidRPr="00C904CA">
        <w:rPr>
          <w:noProof/>
        </w:rPr>
        <w:drawing>
          <wp:inline distT="0" distB="0" distL="0" distR="0" wp14:anchorId="59E06349" wp14:editId="104DD3A5">
            <wp:extent cx="1852295" cy="1358265"/>
            <wp:effectExtent l="0" t="0" r="0" b="0"/>
            <wp:docPr id="1" name="Picture 1" descr="Wyoming OSHA logo (b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yoming OSHA logo (brow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2295" cy="1358265"/>
                    </a:xfrm>
                    <a:prstGeom prst="rect">
                      <a:avLst/>
                    </a:prstGeom>
                    <a:noFill/>
                    <a:ln>
                      <a:noFill/>
                    </a:ln>
                  </pic:spPr>
                </pic:pic>
              </a:graphicData>
            </a:graphic>
          </wp:inline>
        </w:drawing>
      </w:r>
    </w:p>
    <w:p w14:paraId="3FC46738" w14:textId="77777777" w:rsidR="000A134A" w:rsidRPr="001C1E47" w:rsidRDefault="000A134A" w:rsidP="0061177B">
      <w:pPr>
        <w:widowControl/>
        <w:autoSpaceDE/>
        <w:autoSpaceDN/>
        <w:adjustRightInd/>
        <w:rPr>
          <w:rFonts w:cs="Calibri"/>
          <w:b/>
        </w:rPr>
      </w:pPr>
    </w:p>
    <w:p w14:paraId="1B545BCB" w14:textId="77777777" w:rsidR="0065650A" w:rsidRDefault="0065650A" w:rsidP="0065650A">
      <w:pPr>
        <w:widowControl/>
        <w:tabs>
          <w:tab w:val="left" w:pos="720"/>
          <w:tab w:val="left" w:pos="1440"/>
          <w:tab w:val="left" w:pos="2160"/>
        </w:tabs>
        <w:autoSpaceDE/>
        <w:autoSpaceDN/>
        <w:adjustRightInd/>
        <w:jc w:val="center"/>
        <w:rPr>
          <w:rFonts w:eastAsia="Batang" w:cs="Calibri"/>
          <w:b/>
          <w:sz w:val="28"/>
          <w:szCs w:val="28"/>
        </w:rPr>
      </w:pPr>
    </w:p>
    <w:p w14:paraId="6CB8AD27" w14:textId="2358A8E7" w:rsidR="000A134A" w:rsidRPr="001C1E47" w:rsidRDefault="000A134A" w:rsidP="007D197A">
      <w:pPr>
        <w:widowControl/>
        <w:tabs>
          <w:tab w:val="left" w:pos="720"/>
          <w:tab w:val="left" w:pos="1440"/>
          <w:tab w:val="left" w:pos="2160"/>
        </w:tabs>
        <w:autoSpaceDE/>
        <w:autoSpaceDN/>
        <w:adjustRightInd/>
        <w:rPr>
          <w:rFonts w:eastAsia="Batang" w:cs="Calibri"/>
          <w:b/>
          <w:sz w:val="28"/>
          <w:szCs w:val="28"/>
        </w:rPr>
      </w:pPr>
      <w:r w:rsidRPr="001C1E47">
        <w:rPr>
          <w:rFonts w:eastAsia="Batang" w:cs="Calibri"/>
          <w:b/>
          <w:sz w:val="28"/>
          <w:szCs w:val="28"/>
        </w:rPr>
        <w:t>Ev</w:t>
      </w:r>
      <w:r w:rsidR="00882F2B" w:rsidRPr="001C1E47">
        <w:rPr>
          <w:rFonts w:eastAsia="Batang" w:cs="Calibri"/>
          <w:b/>
          <w:sz w:val="28"/>
          <w:szCs w:val="28"/>
        </w:rPr>
        <w:t xml:space="preserve">aluation Period: October </w:t>
      </w:r>
      <w:r w:rsidR="00882F2B" w:rsidRPr="0065650A">
        <w:rPr>
          <w:rFonts w:eastAsia="Batang" w:cs="Calibri"/>
          <w:b/>
          <w:sz w:val="28"/>
          <w:szCs w:val="28"/>
        </w:rPr>
        <w:t>1, 20</w:t>
      </w:r>
      <w:r w:rsidR="0065650A" w:rsidRPr="0065650A">
        <w:rPr>
          <w:rFonts w:eastAsia="Batang" w:cs="Calibri"/>
          <w:b/>
          <w:sz w:val="28"/>
          <w:szCs w:val="28"/>
        </w:rPr>
        <w:t>23</w:t>
      </w:r>
      <w:r w:rsidRPr="0065650A">
        <w:rPr>
          <w:rFonts w:eastAsia="Batang" w:cs="Calibri"/>
          <w:b/>
          <w:sz w:val="28"/>
          <w:szCs w:val="28"/>
        </w:rPr>
        <w:t xml:space="preserve"> –</w:t>
      </w:r>
      <w:r w:rsidR="00882F2B" w:rsidRPr="0065650A">
        <w:rPr>
          <w:rFonts w:eastAsia="Batang" w:cs="Calibri"/>
          <w:b/>
          <w:sz w:val="28"/>
          <w:szCs w:val="28"/>
        </w:rPr>
        <w:t xml:space="preserve"> September 30, 20</w:t>
      </w:r>
      <w:r w:rsidR="0065650A" w:rsidRPr="0065650A">
        <w:rPr>
          <w:rFonts w:eastAsia="Batang" w:cs="Calibri"/>
          <w:b/>
          <w:sz w:val="28"/>
          <w:szCs w:val="28"/>
        </w:rPr>
        <w:t>24</w:t>
      </w:r>
    </w:p>
    <w:p w14:paraId="03D79AE5" w14:textId="77777777" w:rsidR="000A134A" w:rsidRPr="001C1E47" w:rsidRDefault="000A134A" w:rsidP="007A71AC">
      <w:pPr>
        <w:widowControl/>
        <w:autoSpaceDE/>
        <w:autoSpaceDN/>
        <w:adjustRightInd/>
        <w:jc w:val="center"/>
        <w:rPr>
          <w:rFonts w:cs="Calibri"/>
        </w:rPr>
      </w:pPr>
    </w:p>
    <w:p w14:paraId="015E020F" w14:textId="77777777" w:rsidR="000A134A" w:rsidRPr="001C1E47" w:rsidRDefault="000A134A" w:rsidP="0061177B">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0E81BC24"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221B5785"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p>
    <w:p w14:paraId="0DF94F44" w14:textId="4F37386E" w:rsidR="000A134A" w:rsidRPr="001C1E47" w:rsidRDefault="000A134A" w:rsidP="007D197A">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Initial Approval Date:</w:t>
      </w:r>
      <w:r w:rsidR="00E81583">
        <w:rPr>
          <w:rFonts w:eastAsia="Batang" w:cs="Calibri"/>
          <w:b/>
        </w:rPr>
        <w:t xml:space="preserve"> </w:t>
      </w:r>
      <w:r w:rsidR="00A62920" w:rsidRPr="00FB30B9">
        <w:rPr>
          <w:rFonts w:asciiTheme="minorHAnsi" w:eastAsia="Batang" w:hAnsiTheme="minorHAnsi" w:cstheme="minorHAnsi"/>
        </w:rPr>
        <w:t>May 3, 1973</w:t>
      </w:r>
    </w:p>
    <w:p w14:paraId="3062998A" w14:textId="7D4B98B8" w:rsidR="000A134A" w:rsidRPr="001C1E47" w:rsidRDefault="000A134A" w:rsidP="007D197A">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 xml:space="preserve">Program Certification Date: </w:t>
      </w:r>
      <w:r w:rsidR="004B483D" w:rsidRPr="00FB30B9">
        <w:rPr>
          <w:rFonts w:asciiTheme="minorHAnsi" w:eastAsia="Batang" w:hAnsiTheme="minorHAnsi" w:cstheme="minorHAnsi"/>
        </w:rPr>
        <w:t>December 18, 1980</w:t>
      </w:r>
    </w:p>
    <w:p w14:paraId="51A91D4F" w14:textId="393867A7" w:rsidR="000A134A" w:rsidRPr="001C1E47" w:rsidRDefault="000A134A" w:rsidP="007D197A">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r w:rsidRPr="001C1E47">
        <w:rPr>
          <w:rFonts w:eastAsia="Batang" w:cs="Calibri"/>
          <w:b/>
        </w:rPr>
        <w:t xml:space="preserve">Final Approval Date: </w:t>
      </w:r>
      <w:r w:rsidR="00141C25" w:rsidRPr="00FB30B9">
        <w:rPr>
          <w:rFonts w:asciiTheme="minorHAnsi" w:eastAsia="Batang" w:hAnsiTheme="minorHAnsi" w:cstheme="minorHAnsi"/>
        </w:rPr>
        <w:t>June 27, 1985</w:t>
      </w:r>
    </w:p>
    <w:p w14:paraId="5FD63D8C" w14:textId="77777777" w:rsidR="000A134A" w:rsidRPr="001C1E47" w:rsidRDefault="000A134A" w:rsidP="0061177B">
      <w:pPr>
        <w:widowControl/>
        <w:autoSpaceDE/>
        <w:autoSpaceDN/>
        <w:adjustRightInd/>
        <w:rPr>
          <w:rFonts w:cs="Calibri"/>
          <w:b/>
          <w:bCs/>
        </w:rPr>
      </w:pPr>
    </w:p>
    <w:p w14:paraId="3903FDED" w14:textId="77777777" w:rsidR="000A134A" w:rsidRPr="001C1E47" w:rsidRDefault="000A134A" w:rsidP="007A71AC">
      <w:pPr>
        <w:widowControl/>
        <w:autoSpaceDE/>
        <w:autoSpaceDN/>
        <w:adjustRightInd/>
        <w:jc w:val="center"/>
        <w:rPr>
          <w:rFonts w:cs="Calibri"/>
          <w:b/>
        </w:rPr>
      </w:pPr>
    </w:p>
    <w:p w14:paraId="69312D4F" w14:textId="77777777" w:rsidR="000A134A" w:rsidRPr="001C1E47" w:rsidRDefault="000A134A" w:rsidP="0061177B">
      <w:pPr>
        <w:widowControl/>
        <w:tabs>
          <w:tab w:val="right" w:pos="9720"/>
        </w:tabs>
        <w:autoSpaceDE/>
        <w:autoSpaceDN/>
        <w:adjustRightInd/>
        <w:rPr>
          <w:rFonts w:cs="Calibri"/>
          <w:b/>
          <w:bCs/>
        </w:rPr>
      </w:pPr>
    </w:p>
    <w:p w14:paraId="19E2F8B5" w14:textId="77777777" w:rsidR="000A134A" w:rsidRPr="0061177B" w:rsidRDefault="000A134A" w:rsidP="0061177B">
      <w:pPr>
        <w:widowControl/>
        <w:autoSpaceDE/>
        <w:autoSpaceDN/>
        <w:adjustRightInd/>
        <w:rPr>
          <w:rFonts w:cs="Calibri"/>
          <w:bCs/>
          <w:iCs/>
        </w:rPr>
      </w:pPr>
    </w:p>
    <w:p w14:paraId="336BF8F1" w14:textId="77777777" w:rsidR="000A134A" w:rsidRPr="001C1E47" w:rsidRDefault="000A134A" w:rsidP="007D197A">
      <w:pPr>
        <w:widowControl/>
        <w:autoSpaceDE/>
        <w:autoSpaceDN/>
        <w:adjustRightInd/>
        <w:rPr>
          <w:rFonts w:cs="Calibri"/>
          <w:b/>
        </w:rPr>
      </w:pPr>
      <w:r w:rsidRPr="001C1E47">
        <w:rPr>
          <w:rFonts w:cs="Calibri"/>
          <w:b/>
        </w:rPr>
        <w:t>Prepared by:</w:t>
      </w:r>
    </w:p>
    <w:p w14:paraId="503A1070" w14:textId="43725D11" w:rsidR="000A134A" w:rsidRPr="001C1E47" w:rsidRDefault="000A134A" w:rsidP="007D197A">
      <w:pPr>
        <w:widowControl/>
        <w:autoSpaceDE/>
        <w:autoSpaceDN/>
        <w:adjustRightInd/>
        <w:rPr>
          <w:rFonts w:cs="Calibri"/>
          <w:b/>
        </w:rPr>
      </w:pPr>
      <w:r w:rsidRPr="001C1E47">
        <w:rPr>
          <w:rFonts w:cs="Calibri"/>
          <w:b/>
        </w:rPr>
        <w:t>U. S. Department of Labor</w:t>
      </w:r>
    </w:p>
    <w:p w14:paraId="5E957F30" w14:textId="77777777" w:rsidR="000A134A" w:rsidRPr="001C1E47" w:rsidRDefault="000A134A" w:rsidP="007D197A">
      <w:pPr>
        <w:widowControl/>
        <w:autoSpaceDE/>
        <w:autoSpaceDN/>
        <w:adjustRightInd/>
        <w:rPr>
          <w:rFonts w:cs="Calibri"/>
          <w:b/>
        </w:rPr>
      </w:pPr>
      <w:r w:rsidRPr="001C1E47">
        <w:rPr>
          <w:rFonts w:cs="Calibri"/>
          <w:b/>
        </w:rPr>
        <w:t>Occupational Safety and Health Administration</w:t>
      </w:r>
    </w:p>
    <w:p w14:paraId="283D40DC" w14:textId="63B16689" w:rsidR="000A134A" w:rsidRPr="001C1E47" w:rsidRDefault="00CE49B2" w:rsidP="007D197A">
      <w:pPr>
        <w:widowControl/>
        <w:autoSpaceDE/>
        <w:autoSpaceDN/>
        <w:adjustRightInd/>
        <w:rPr>
          <w:rFonts w:cs="Calibri"/>
          <w:b/>
        </w:rPr>
      </w:pPr>
      <w:r>
        <w:rPr>
          <w:rFonts w:cs="Calibri"/>
          <w:b/>
        </w:rPr>
        <w:t xml:space="preserve">Denver </w:t>
      </w:r>
      <w:r w:rsidR="000A134A" w:rsidRPr="001C1E47">
        <w:rPr>
          <w:rFonts w:cs="Calibri"/>
          <w:b/>
        </w:rPr>
        <w:t>Region</w:t>
      </w:r>
    </w:p>
    <w:p w14:paraId="26D41641" w14:textId="77777777" w:rsidR="00CD3768" w:rsidRPr="00CD3768" w:rsidRDefault="00CD3768" w:rsidP="007D197A">
      <w:pPr>
        <w:rPr>
          <w:rFonts w:asciiTheme="minorHAnsi" w:hAnsiTheme="minorHAnsi" w:cstheme="minorHAnsi"/>
          <w:b/>
          <w:bCs/>
        </w:rPr>
      </w:pPr>
      <w:r w:rsidRPr="00CD3768">
        <w:rPr>
          <w:rFonts w:asciiTheme="minorHAnsi" w:hAnsiTheme="minorHAnsi" w:cstheme="minorHAnsi"/>
          <w:b/>
          <w:bCs/>
        </w:rPr>
        <w:t>Denver, CO</w:t>
      </w:r>
    </w:p>
    <w:p w14:paraId="21697679" w14:textId="77777777" w:rsidR="00501A1C" w:rsidRDefault="00501A1C" w:rsidP="00501A1C">
      <w:pPr>
        <w:widowControl/>
        <w:autoSpaceDE/>
        <w:autoSpaceDN/>
        <w:adjustRightInd/>
        <w:rPr>
          <w:rFonts w:cs="Calibri"/>
          <w:b/>
        </w:rPr>
      </w:pPr>
    </w:p>
    <w:p w14:paraId="0F7D95D0" w14:textId="77777777" w:rsidR="00501A1C" w:rsidRPr="001C1E47" w:rsidRDefault="00501A1C" w:rsidP="00501A1C">
      <w:pPr>
        <w:widowControl/>
        <w:autoSpaceDE/>
        <w:autoSpaceDN/>
        <w:adjustRightInd/>
        <w:rPr>
          <w:rFonts w:cs="Calibri"/>
          <w:b/>
        </w:rPr>
      </w:pPr>
    </w:p>
    <w:p w14:paraId="41EC6729" w14:textId="77777777" w:rsidR="000A134A" w:rsidRPr="001C1E47" w:rsidRDefault="000A134A" w:rsidP="007A71AC">
      <w:pPr>
        <w:widowControl/>
        <w:autoSpaceDE/>
        <w:autoSpaceDN/>
        <w:adjustRightInd/>
        <w:jc w:val="center"/>
        <w:rPr>
          <w:rFonts w:cs="Calibri"/>
          <w:b/>
          <w:sz w:val="40"/>
          <w:szCs w:val="40"/>
        </w:rPr>
      </w:pPr>
      <w:r w:rsidRPr="001C1E47">
        <w:rPr>
          <w:rFonts w:cs="Calibri"/>
          <w:noProof/>
        </w:rPr>
        <w:drawing>
          <wp:inline distT="0" distB="0" distL="0" distR="0" wp14:anchorId="1D849888" wp14:editId="02DC62B1">
            <wp:extent cx="1600200" cy="1009650"/>
            <wp:effectExtent l="0" t="0" r="0" b="0"/>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26D1C94C" w14:textId="5FE8FC84" w:rsidR="00F43B23" w:rsidRDefault="00F43B23">
      <w:pPr>
        <w:widowControl/>
        <w:autoSpaceDE/>
        <w:autoSpaceDN/>
        <w:adjustRightInd/>
        <w:rPr>
          <w:rFonts w:cs="Calibri"/>
          <w:b/>
          <w:sz w:val="40"/>
          <w:szCs w:val="40"/>
        </w:rPr>
      </w:pPr>
    </w:p>
    <w:p w14:paraId="253E64F1" w14:textId="2FAB4601" w:rsidR="002A6CAA" w:rsidRPr="00F43B23" w:rsidRDefault="00F43B23">
      <w:pPr>
        <w:widowControl/>
        <w:autoSpaceDE/>
        <w:autoSpaceDN/>
        <w:adjustRightInd/>
        <w:rPr>
          <w:rFonts w:cs="Calibri"/>
          <w:b/>
          <w:sz w:val="28"/>
          <w:szCs w:val="28"/>
        </w:rPr>
      </w:pPr>
      <w:r w:rsidRPr="00F43B23">
        <w:rPr>
          <w:rFonts w:cs="Calibri"/>
          <w:b/>
          <w:sz w:val="28"/>
          <w:szCs w:val="28"/>
        </w:rPr>
        <w:t>Table of Contents</w:t>
      </w:r>
    </w:p>
    <w:p w14:paraId="161B9969" w14:textId="323CF0E2" w:rsidR="000F63C1" w:rsidRDefault="000F63C1">
      <w:pPr>
        <w:pStyle w:val="TOC2"/>
        <w:tabs>
          <w:tab w:val="left" w:pos="480"/>
          <w:tab w:val="right" w:leader="dot" w:pos="9530"/>
        </w:tabs>
        <w:rPr>
          <w:rFonts w:eastAsiaTheme="minorEastAsia" w:cstheme="minorBidi"/>
          <w:b/>
          <w:bCs w:val="0"/>
          <w:noProof/>
          <w:sz w:val="22"/>
          <w:szCs w:val="22"/>
        </w:rPr>
      </w:pPr>
      <w:r>
        <w:fldChar w:fldCharType="begin"/>
      </w:r>
      <w:r>
        <w:instrText xml:space="preserve"> TOC \o "2-3" \h \z \u \t "Level 1,1" </w:instrText>
      </w:r>
      <w:r>
        <w:fldChar w:fldCharType="separate"/>
      </w:r>
      <w:hyperlink w:anchor="_Toc119418663" w:history="1">
        <w:r w:rsidRPr="00B5463F">
          <w:rPr>
            <w:rStyle w:val="Hyperlink"/>
            <w:noProof/>
          </w:rPr>
          <w:t>I.</w:t>
        </w:r>
        <w:r>
          <w:rPr>
            <w:rFonts w:eastAsiaTheme="minorEastAsia" w:cstheme="minorBidi"/>
            <w:b/>
            <w:bCs w:val="0"/>
            <w:noProof/>
            <w:sz w:val="22"/>
            <w:szCs w:val="22"/>
          </w:rPr>
          <w:tab/>
        </w:r>
        <w:r w:rsidRPr="00B5463F">
          <w:rPr>
            <w:rStyle w:val="Hyperlink"/>
            <w:noProof/>
          </w:rPr>
          <w:t>Executive Summary</w:t>
        </w:r>
        <w:r>
          <w:rPr>
            <w:noProof/>
            <w:webHidden/>
          </w:rPr>
          <w:tab/>
        </w:r>
        <w:r>
          <w:rPr>
            <w:noProof/>
            <w:webHidden/>
          </w:rPr>
          <w:fldChar w:fldCharType="begin"/>
        </w:r>
        <w:r>
          <w:rPr>
            <w:noProof/>
            <w:webHidden/>
          </w:rPr>
          <w:instrText xml:space="preserve"> PAGEREF _Toc119418663 \h </w:instrText>
        </w:r>
        <w:r>
          <w:rPr>
            <w:noProof/>
            <w:webHidden/>
          </w:rPr>
        </w:r>
        <w:r>
          <w:rPr>
            <w:noProof/>
            <w:webHidden/>
          </w:rPr>
          <w:fldChar w:fldCharType="separate"/>
        </w:r>
        <w:r w:rsidR="000136CB">
          <w:rPr>
            <w:noProof/>
            <w:webHidden/>
          </w:rPr>
          <w:t>3</w:t>
        </w:r>
        <w:r>
          <w:rPr>
            <w:noProof/>
            <w:webHidden/>
          </w:rPr>
          <w:fldChar w:fldCharType="end"/>
        </w:r>
      </w:hyperlink>
    </w:p>
    <w:p w14:paraId="3BD91ACD" w14:textId="75339FB6" w:rsidR="000F63C1" w:rsidRDefault="000F63C1">
      <w:pPr>
        <w:pStyle w:val="TOC2"/>
        <w:tabs>
          <w:tab w:val="left" w:pos="480"/>
          <w:tab w:val="right" w:leader="dot" w:pos="9530"/>
        </w:tabs>
        <w:rPr>
          <w:rFonts w:eastAsiaTheme="minorEastAsia" w:cstheme="minorBidi"/>
          <w:b/>
          <w:bCs w:val="0"/>
          <w:noProof/>
          <w:sz w:val="22"/>
          <w:szCs w:val="22"/>
        </w:rPr>
      </w:pPr>
      <w:hyperlink w:anchor="_Toc119418664" w:history="1">
        <w:r w:rsidRPr="00B5463F">
          <w:rPr>
            <w:rStyle w:val="Hyperlink"/>
            <w:noProof/>
          </w:rPr>
          <w:t>II.</w:t>
        </w:r>
        <w:r>
          <w:rPr>
            <w:rFonts w:eastAsiaTheme="minorEastAsia" w:cstheme="minorBidi"/>
            <w:b/>
            <w:bCs w:val="0"/>
            <w:noProof/>
            <w:sz w:val="22"/>
            <w:szCs w:val="22"/>
          </w:rPr>
          <w:tab/>
        </w:r>
        <w:r w:rsidRPr="00B5463F">
          <w:rPr>
            <w:rStyle w:val="Hyperlink"/>
            <w:noProof/>
          </w:rPr>
          <w:t>State Plan Background</w:t>
        </w:r>
        <w:r>
          <w:rPr>
            <w:noProof/>
            <w:webHidden/>
          </w:rPr>
          <w:tab/>
        </w:r>
        <w:r w:rsidR="0041650F">
          <w:rPr>
            <w:noProof/>
            <w:webHidden/>
          </w:rPr>
          <w:t>3</w:t>
        </w:r>
      </w:hyperlink>
    </w:p>
    <w:p w14:paraId="12E60A29" w14:textId="7F72EBB2" w:rsidR="000F63C1" w:rsidRDefault="000F63C1">
      <w:pPr>
        <w:pStyle w:val="TOC2"/>
        <w:tabs>
          <w:tab w:val="left" w:pos="480"/>
          <w:tab w:val="right" w:leader="dot" w:pos="9530"/>
        </w:tabs>
        <w:rPr>
          <w:rFonts w:eastAsiaTheme="minorEastAsia" w:cstheme="minorBidi"/>
          <w:b/>
          <w:bCs w:val="0"/>
          <w:noProof/>
          <w:sz w:val="22"/>
          <w:szCs w:val="22"/>
        </w:rPr>
      </w:pPr>
      <w:hyperlink w:anchor="_Toc119418665" w:history="1">
        <w:r w:rsidRPr="00B5463F">
          <w:rPr>
            <w:rStyle w:val="Hyperlink"/>
            <w:noProof/>
          </w:rPr>
          <w:t>III.</w:t>
        </w:r>
        <w:r>
          <w:rPr>
            <w:rFonts w:eastAsiaTheme="minorEastAsia" w:cstheme="minorBidi"/>
            <w:b/>
            <w:bCs w:val="0"/>
            <w:noProof/>
            <w:sz w:val="22"/>
            <w:szCs w:val="22"/>
          </w:rPr>
          <w:tab/>
        </w:r>
        <w:r w:rsidRPr="00B5463F">
          <w:rPr>
            <w:rStyle w:val="Hyperlink"/>
            <w:noProof/>
          </w:rPr>
          <w:t>Assessment of State Plan Progress and Performance</w:t>
        </w:r>
        <w:r>
          <w:rPr>
            <w:noProof/>
            <w:webHidden/>
          </w:rPr>
          <w:tab/>
        </w:r>
        <w:r w:rsidR="00640FCD">
          <w:rPr>
            <w:noProof/>
            <w:webHidden/>
          </w:rPr>
          <w:t>5</w:t>
        </w:r>
      </w:hyperlink>
    </w:p>
    <w:p w14:paraId="1E2078A6" w14:textId="1888C49B" w:rsidR="000F63C1" w:rsidRDefault="000F63C1">
      <w:pPr>
        <w:pStyle w:val="TOC3"/>
        <w:tabs>
          <w:tab w:val="left" w:pos="720"/>
          <w:tab w:val="right" w:leader="dot" w:pos="9530"/>
        </w:tabs>
        <w:rPr>
          <w:rFonts w:eastAsiaTheme="minorEastAsia" w:cstheme="minorBidi"/>
          <w:noProof/>
          <w:sz w:val="22"/>
          <w:szCs w:val="22"/>
        </w:rPr>
      </w:pPr>
      <w:hyperlink w:anchor="_Toc119418666" w:history="1">
        <w:r w:rsidRPr="00B5463F">
          <w:rPr>
            <w:rStyle w:val="Hyperlink"/>
            <w:rFonts w:ascii="Calibri" w:hAnsi="Calibri"/>
            <w:noProof/>
          </w:rPr>
          <w:t>A.</w:t>
        </w:r>
        <w:r>
          <w:rPr>
            <w:rFonts w:eastAsiaTheme="minorEastAsia" w:cstheme="minorBidi"/>
            <w:noProof/>
            <w:sz w:val="22"/>
            <w:szCs w:val="22"/>
          </w:rPr>
          <w:tab/>
        </w:r>
        <w:r w:rsidRPr="00B5463F">
          <w:rPr>
            <w:rStyle w:val="Hyperlink"/>
            <w:noProof/>
          </w:rPr>
          <w:t>Data and Methodology</w:t>
        </w:r>
        <w:r>
          <w:rPr>
            <w:noProof/>
            <w:webHidden/>
          </w:rPr>
          <w:tab/>
        </w:r>
        <w:r w:rsidR="00640FCD">
          <w:rPr>
            <w:noProof/>
            <w:webHidden/>
          </w:rPr>
          <w:t>5</w:t>
        </w:r>
      </w:hyperlink>
    </w:p>
    <w:p w14:paraId="5EC14328" w14:textId="5E3D4304" w:rsidR="000F63C1" w:rsidRDefault="000F63C1">
      <w:pPr>
        <w:pStyle w:val="TOC3"/>
        <w:tabs>
          <w:tab w:val="left" w:pos="720"/>
          <w:tab w:val="right" w:leader="dot" w:pos="9530"/>
        </w:tabs>
        <w:rPr>
          <w:rFonts w:eastAsiaTheme="minorEastAsia" w:cstheme="minorBidi"/>
          <w:noProof/>
          <w:sz w:val="22"/>
          <w:szCs w:val="22"/>
        </w:rPr>
      </w:pPr>
      <w:hyperlink w:anchor="_Toc119418667" w:history="1">
        <w:r w:rsidRPr="00B5463F">
          <w:rPr>
            <w:rStyle w:val="Hyperlink"/>
            <w:rFonts w:ascii="Calibri" w:hAnsi="Calibri"/>
            <w:noProof/>
          </w:rPr>
          <w:t>B.</w:t>
        </w:r>
        <w:r>
          <w:rPr>
            <w:rFonts w:eastAsiaTheme="minorEastAsia" w:cstheme="minorBidi"/>
            <w:noProof/>
            <w:sz w:val="22"/>
            <w:szCs w:val="22"/>
          </w:rPr>
          <w:tab/>
        </w:r>
        <w:r w:rsidRPr="00B5463F">
          <w:rPr>
            <w:rStyle w:val="Hyperlink"/>
            <w:noProof/>
          </w:rPr>
          <w:t>Findings and Observations</w:t>
        </w:r>
        <w:r>
          <w:rPr>
            <w:noProof/>
            <w:webHidden/>
          </w:rPr>
          <w:tab/>
        </w:r>
        <w:r w:rsidR="00231CAB">
          <w:rPr>
            <w:noProof/>
            <w:webHidden/>
          </w:rPr>
          <w:t>5</w:t>
        </w:r>
      </w:hyperlink>
    </w:p>
    <w:p w14:paraId="373A40FB" w14:textId="7740FDEC" w:rsidR="000F63C1" w:rsidRDefault="00E667BB">
      <w:pPr>
        <w:pStyle w:val="TOC3"/>
        <w:tabs>
          <w:tab w:val="left" w:pos="720"/>
          <w:tab w:val="right" w:leader="dot" w:pos="9530"/>
        </w:tabs>
        <w:rPr>
          <w:rFonts w:eastAsiaTheme="minorEastAsia" w:cstheme="minorBidi"/>
          <w:noProof/>
          <w:sz w:val="22"/>
          <w:szCs w:val="22"/>
        </w:rPr>
      </w:pPr>
      <w:hyperlink w:anchor="_Toc119418668" w:history="1">
        <w:r w:rsidRPr="00B5463F">
          <w:rPr>
            <w:rStyle w:val="Hyperlink"/>
            <w:rFonts w:ascii="Calibri" w:hAnsi="Calibri"/>
            <w:noProof/>
          </w:rPr>
          <w:t>C.</w:t>
        </w:r>
        <w:r>
          <w:rPr>
            <w:rFonts w:eastAsiaTheme="minorEastAsia" w:cstheme="minorBidi"/>
            <w:noProof/>
            <w:sz w:val="22"/>
            <w:szCs w:val="22"/>
          </w:rPr>
          <w:tab/>
        </w:r>
        <w:r w:rsidRPr="00B5463F">
          <w:rPr>
            <w:rStyle w:val="Hyperlink"/>
            <w:noProof/>
          </w:rPr>
          <w:t>State Activity Mandated Measures (SAMM) Highlights</w:t>
        </w:r>
        <w:r>
          <w:rPr>
            <w:noProof/>
            <w:webHidden/>
          </w:rPr>
          <w:tab/>
          <w:t>9</w:t>
        </w:r>
      </w:hyperlink>
    </w:p>
    <w:p w14:paraId="50DBA2CB" w14:textId="3981C767" w:rsidR="000F63C1" w:rsidRDefault="000F63C1">
      <w:pPr>
        <w:pStyle w:val="TOC3"/>
        <w:tabs>
          <w:tab w:val="right" w:leader="dot" w:pos="9530"/>
        </w:tabs>
        <w:rPr>
          <w:rFonts w:eastAsiaTheme="minorEastAsia" w:cstheme="minorBidi"/>
          <w:noProof/>
          <w:sz w:val="22"/>
          <w:szCs w:val="22"/>
        </w:rPr>
      </w:pPr>
      <w:hyperlink w:anchor="_Toc119418669" w:history="1">
        <w:r w:rsidRPr="00B5463F">
          <w:rPr>
            <w:rStyle w:val="Hyperlink"/>
            <w:noProof/>
          </w:rPr>
          <w:t>Appendix A – New and Continued Findings and Recommendations</w:t>
        </w:r>
        <w:r>
          <w:rPr>
            <w:noProof/>
            <w:webHidden/>
          </w:rPr>
          <w:tab/>
        </w:r>
        <w:r w:rsidR="002A40DA">
          <w:rPr>
            <w:noProof/>
            <w:webHidden/>
          </w:rPr>
          <w:t>13</w:t>
        </w:r>
      </w:hyperlink>
    </w:p>
    <w:p w14:paraId="150115C6" w14:textId="1D0A13F5" w:rsidR="000F63C1" w:rsidRDefault="000F63C1">
      <w:pPr>
        <w:pStyle w:val="TOC3"/>
        <w:tabs>
          <w:tab w:val="right" w:leader="dot" w:pos="9530"/>
        </w:tabs>
        <w:rPr>
          <w:rFonts w:eastAsiaTheme="minorEastAsia" w:cstheme="minorBidi"/>
          <w:noProof/>
          <w:sz w:val="22"/>
          <w:szCs w:val="22"/>
        </w:rPr>
      </w:pPr>
      <w:hyperlink w:anchor="_Toc119418670" w:history="1">
        <w:r w:rsidRPr="00B5463F">
          <w:rPr>
            <w:rStyle w:val="Hyperlink"/>
            <w:noProof/>
          </w:rPr>
          <w:t>Appendix B – Observations Subject to Continued Monitoring</w:t>
        </w:r>
        <w:r>
          <w:rPr>
            <w:noProof/>
            <w:webHidden/>
          </w:rPr>
          <w:tab/>
        </w:r>
        <w:r w:rsidR="002A40DA">
          <w:rPr>
            <w:noProof/>
            <w:webHidden/>
          </w:rPr>
          <w:t>14</w:t>
        </w:r>
      </w:hyperlink>
    </w:p>
    <w:p w14:paraId="65AD001B" w14:textId="1A6BC2BF" w:rsidR="000F63C1" w:rsidRDefault="000F63C1">
      <w:pPr>
        <w:pStyle w:val="TOC3"/>
        <w:tabs>
          <w:tab w:val="right" w:leader="dot" w:pos="9530"/>
        </w:tabs>
        <w:rPr>
          <w:rFonts w:eastAsiaTheme="minorEastAsia" w:cstheme="minorBidi"/>
          <w:noProof/>
          <w:sz w:val="22"/>
          <w:szCs w:val="22"/>
        </w:rPr>
      </w:pPr>
      <w:hyperlink w:anchor="_Toc119418671" w:history="1">
        <w:r w:rsidRPr="00B5463F">
          <w:rPr>
            <w:rStyle w:val="Hyperlink"/>
            <w:noProof/>
          </w:rPr>
          <w:t>Appendix C - Status of FY 20</w:t>
        </w:r>
        <w:r w:rsidR="00D64582">
          <w:rPr>
            <w:rStyle w:val="Hyperlink"/>
            <w:noProof/>
          </w:rPr>
          <w:t>23</w:t>
        </w:r>
        <w:r w:rsidRPr="00B5463F">
          <w:rPr>
            <w:rStyle w:val="Hyperlink"/>
            <w:noProof/>
          </w:rPr>
          <w:t xml:space="preserve"> Findings and Recommendations</w:t>
        </w:r>
        <w:r>
          <w:rPr>
            <w:noProof/>
            <w:webHidden/>
          </w:rPr>
          <w:tab/>
        </w:r>
        <w:r w:rsidR="002A40DA">
          <w:rPr>
            <w:noProof/>
            <w:webHidden/>
          </w:rPr>
          <w:t>17</w:t>
        </w:r>
      </w:hyperlink>
    </w:p>
    <w:p w14:paraId="38E9E7F9" w14:textId="546B63AC" w:rsidR="000F63C1" w:rsidRDefault="000F63C1">
      <w:pPr>
        <w:pStyle w:val="TOC3"/>
        <w:tabs>
          <w:tab w:val="right" w:leader="dot" w:pos="9530"/>
        </w:tabs>
        <w:rPr>
          <w:rFonts w:eastAsiaTheme="minorEastAsia" w:cstheme="minorBidi"/>
          <w:noProof/>
          <w:sz w:val="22"/>
          <w:szCs w:val="22"/>
        </w:rPr>
      </w:pPr>
      <w:hyperlink w:anchor="_Toc119418672" w:history="1">
        <w:r w:rsidRPr="00B5463F">
          <w:rPr>
            <w:rStyle w:val="Hyperlink"/>
            <w:noProof/>
          </w:rPr>
          <w:t>Appendix D – FY 20</w:t>
        </w:r>
        <w:r w:rsidR="007D197A" w:rsidRPr="007D197A">
          <w:rPr>
            <w:rStyle w:val="Hyperlink"/>
            <w:noProof/>
            <w:color w:val="auto"/>
          </w:rPr>
          <w:t>24</w:t>
        </w:r>
        <w:r w:rsidRPr="007D197A">
          <w:rPr>
            <w:rStyle w:val="Hyperlink"/>
            <w:noProof/>
            <w:color w:val="auto"/>
          </w:rPr>
          <w:t xml:space="preserve"> </w:t>
        </w:r>
        <w:r w:rsidRPr="00B5463F">
          <w:rPr>
            <w:rStyle w:val="Hyperlink"/>
            <w:noProof/>
          </w:rPr>
          <w:t>State Activity Mandated Measures (SAMM) Report</w:t>
        </w:r>
        <w:r>
          <w:rPr>
            <w:noProof/>
            <w:webHidden/>
          </w:rPr>
          <w:tab/>
        </w:r>
        <w:r>
          <w:rPr>
            <w:noProof/>
            <w:webHidden/>
          </w:rPr>
          <w:fldChar w:fldCharType="begin"/>
        </w:r>
        <w:r>
          <w:rPr>
            <w:noProof/>
            <w:webHidden/>
          </w:rPr>
          <w:instrText xml:space="preserve"> PAGEREF _Toc119418672 \h </w:instrText>
        </w:r>
        <w:r>
          <w:rPr>
            <w:noProof/>
            <w:webHidden/>
          </w:rPr>
        </w:r>
        <w:r>
          <w:rPr>
            <w:noProof/>
            <w:webHidden/>
          </w:rPr>
          <w:fldChar w:fldCharType="separate"/>
        </w:r>
        <w:r w:rsidR="000136CB">
          <w:rPr>
            <w:noProof/>
            <w:webHidden/>
          </w:rPr>
          <w:t>1</w:t>
        </w:r>
        <w:r w:rsidR="00640FCD">
          <w:rPr>
            <w:noProof/>
            <w:webHidden/>
          </w:rPr>
          <w:t>9</w:t>
        </w:r>
        <w:r>
          <w:rPr>
            <w:noProof/>
            <w:webHidden/>
          </w:rPr>
          <w:fldChar w:fldCharType="end"/>
        </w:r>
      </w:hyperlink>
    </w:p>
    <w:p w14:paraId="5025DE29" w14:textId="758997E2" w:rsidR="000A134A" w:rsidRPr="00641792" w:rsidRDefault="000F63C1" w:rsidP="00641792">
      <w:r>
        <w:fldChar w:fldCharType="end"/>
      </w:r>
      <w:r w:rsidR="00B823A3">
        <w:br w:type="page"/>
      </w:r>
      <w:r w:rsidR="000A134A" w:rsidRPr="00A62074">
        <w:rPr>
          <w:rFonts w:cs="Calibri"/>
          <w:iCs/>
          <w:color w:val="0070C0"/>
        </w:rPr>
        <w:lastRenderedPageBreak/>
        <w:t xml:space="preserve"> </w:t>
      </w:r>
    </w:p>
    <w:p w14:paraId="57C8B837" w14:textId="77777777" w:rsidR="000A134A" w:rsidRPr="001C1E47" w:rsidRDefault="000A134A" w:rsidP="00BC54A4">
      <w:pPr>
        <w:pStyle w:val="Heading2"/>
      </w:pPr>
      <w:bookmarkStart w:id="2" w:name="_Toc338764303"/>
      <w:bookmarkStart w:id="3" w:name="_Toc118900170"/>
      <w:bookmarkStart w:id="4" w:name="_Toc118905009"/>
      <w:bookmarkStart w:id="5" w:name="_Toc119418663"/>
      <w:r w:rsidRPr="001C1E47">
        <w:t>Executive Summary</w:t>
      </w:r>
      <w:bookmarkEnd w:id="2"/>
      <w:bookmarkEnd w:id="3"/>
      <w:bookmarkEnd w:id="4"/>
      <w:bookmarkEnd w:id="5"/>
    </w:p>
    <w:p w14:paraId="4A4FF058" w14:textId="77777777" w:rsidR="000A134A" w:rsidRPr="001C1E47" w:rsidRDefault="000A134A" w:rsidP="00783189">
      <w:pPr>
        <w:widowControl/>
        <w:autoSpaceDE/>
        <w:autoSpaceDN/>
        <w:adjustRightInd/>
        <w:rPr>
          <w:rFonts w:cs="Calibri"/>
          <w:b/>
        </w:rPr>
      </w:pPr>
    </w:p>
    <w:p w14:paraId="7FACA70C" w14:textId="12D35A70" w:rsidR="00641792" w:rsidRPr="00C53328" w:rsidRDefault="00641792" w:rsidP="00641792">
      <w:pPr>
        <w:rPr>
          <w:iCs/>
          <w:color w:val="0070C0"/>
        </w:rPr>
      </w:pPr>
      <w:r w:rsidRPr="001C1E47">
        <w:t xml:space="preserve">The primary purpose of this report is to assess the </w:t>
      </w:r>
      <w:r>
        <w:t xml:space="preserve">Wyoming </w:t>
      </w:r>
      <w:r w:rsidRPr="001C1E47">
        <w:t xml:space="preserve">State Plan’s </w:t>
      </w:r>
      <w:r>
        <w:t>(Wyoming OSHA</w:t>
      </w:r>
      <w:r w:rsidRPr="00AE11C8">
        <w:t>’s</w:t>
      </w:r>
      <w:r>
        <w:t xml:space="preserve">) </w:t>
      </w:r>
      <w:r w:rsidRPr="001C1E47">
        <w:t>progress in Fiscal Year (FY) 202</w:t>
      </w:r>
      <w:r>
        <w:t>4</w:t>
      </w:r>
      <w:r w:rsidRPr="001C1E47">
        <w:t xml:space="preserve"> in resolving outstanding findings </w:t>
      </w:r>
      <w:r w:rsidR="004A58F9">
        <w:t xml:space="preserve">and observations </w:t>
      </w:r>
      <w:r w:rsidRPr="001C1E47">
        <w:t>from the previous FY 202</w:t>
      </w:r>
      <w:r>
        <w:t>3</w:t>
      </w:r>
      <w:r w:rsidRPr="001C1E47">
        <w:t xml:space="preserve"> Comprehensive Federal Annual Monitoring Evaluation (FAME) Report.  </w:t>
      </w:r>
    </w:p>
    <w:p w14:paraId="15361015" w14:textId="77777777" w:rsidR="0087426E" w:rsidRDefault="0087426E" w:rsidP="009C67DB">
      <w:pPr>
        <w:widowControl/>
        <w:autoSpaceDE/>
        <w:autoSpaceDN/>
        <w:adjustRightInd/>
        <w:rPr>
          <w:rFonts w:cs="Calibri"/>
          <w:iCs/>
          <w:color w:val="0070C0"/>
        </w:rPr>
      </w:pPr>
    </w:p>
    <w:p w14:paraId="549F528A" w14:textId="768481C2" w:rsidR="008A4C71" w:rsidRDefault="008A4C71" w:rsidP="009C67DB">
      <w:pPr>
        <w:widowControl/>
        <w:autoSpaceDE/>
        <w:autoSpaceDN/>
        <w:adjustRightInd/>
        <w:rPr>
          <w:rFonts w:eastAsia="Calibri" w:cs="Calibri"/>
        </w:rPr>
      </w:pPr>
      <w:r w:rsidRPr="00B86661">
        <w:rPr>
          <w:rFonts w:eastAsia="Calibri" w:cs="Calibri"/>
        </w:rPr>
        <w:t xml:space="preserve">The State Plan made </w:t>
      </w:r>
      <w:r>
        <w:rPr>
          <w:rFonts w:eastAsia="Calibri" w:cs="Calibri"/>
        </w:rPr>
        <w:t xml:space="preserve">progress toward </w:t>
      </w:r>
      <w:r w:rsidRPr="00B86661">
        <w:rPr>
          <w:rFonts w:eastAsia="Calibri" w:cs="Calibri"/>
        </w:rPr>
        <w:t>corrective action</w:t>
      </w:r>
      <w:r>
        <w:rPr>
          <w:rFonts w:eastAsia="Calibri" w:cs="Calibri"/>
        </w:rPr>
        <w:t>s</w:t>
      </w:r>
      <w:r w:rsidRPr="00B86661">
        <w:rPr>
          <w:rFonts w:eastAsia="Calibri" w:cs="Calibri"/>
        </w:rPr>
        <w:t xml:space="preserve"> on the two findings and five observations from </w:t>
      </w:r>
      <w:r w:rsidRPr="006C4BC5">
        <w:rPr>
          <w:rFonts w:eastAsia="Calibri" w:cs="Calibri"/>
        </w:rPr>
        <w:t>the FY 202</w:t>
      </w:r>
      <w:r>
        <w:rPr>
          <w:rFonts w:eastAsia="Calibri" w:cs="Calibri"/>
        </w:rPr>
        <w:t>3</w:t>
      </w:r>
      <w:r w:rsidRPr="006C4BC5">
        <w:rPr>
          <w:rFonts w:eastAsia="Calibri" w:cs="Calibri"/>
        </w:rPr>
        <w:t xml:space="preserve"> Comprehensive FAME Report.  </w:t>
      </w:r>
      <w:r>
        <w:rPr>
          <w:rFonts w:eastAsia="Calibri" w:cs="Calibri"/>
        </w:rPr>
        <w:t>Wyoming OSHA</w:t>
      </w:r>
      <w:r w:rsidRPr="006C4BC5">
        <w:rPr>
          <w:rFonts w:eastAsia="Calibri" w:cs="Calibri"/>
        </w:rPr>
        <w:t xml:space="preserve"> developed polic</w:t>
      </w:r>
      <w:r>
        <w:rPr>
          <w:rFonts w:eastAsia="Calibri" w:cs="Calibri"/>
        </w:rPr>
        <w:t>ies</w:t>
      </w:r>
      <w:r w:rsidRPr="006C4BC5">
        <w:rPr>
          <w:rFonts w:eastAsia="Calibri" w:cs="Calibri"/>
        </w:rPr>
        <w:t xml:space="preserve"> </w:t>
      </w:r>
      <w:r>
        <w:rPr>
          <w:rFonts w:eastAsia="Calibri" w:cs="Calibri"/>
        </w:rPr>
        <w:t xml:space="preserve">and procedures </w:t>
      </w:r>
      <w:proofErr w:type="spellStart"/>
      <w:r w:rsidRPr="006C4BC5">
        <w:rPr>
          <w:rFonts w:eastAsia="Calibri" w:cs="Calibri"/>
        </w:rPr>
        <w:t>where</w:t>
      </w:r>
      <w:proofErr w:type="spellEnd"/>
      <w:r w:rsidRPr="006C4BC5">
        <w:rPr>
          <w:rFonts w:eastAsia="Calibri" w:cs="Calibri"/>
        </w:rPr>
        <w:t xml:space="preserve"> absent, provided training to staff and </w:t>
      </w:r>
      <w:r>
        <w:rPr>
          <w:rFonts w:eastAsia="Calibri" w:cs="Calibri"/>
        </w:rPr>
        <w:t>supervisors</w:t>
      </w:r>
      <w:r w:rsidRPr="006C4BC5">
        <w:rPr>
          <w:rFonts w:eastAsia="Calibri" w:cs="Calibri"/>
        </w:rPr>
        <w:t>, and ensured that policies were implemented appropriately</w:t>
      </w:r>
      <w:r>
        <w:rPr>
          <w:rFonts w:eastAsia="Calibri" w:cs="Calibri"/>
        </w:rPr>
        <w:t>.</w:t>
      </w:r>
    </w:p>
    <w:p w14:paraId="7D9F58EA" w14:textId="77777777" w:rsidR="00B15EAA" w:rsidRDefault="00B15EAA" w:rsidP="00D521F6">
      <w:pPr>
        <w:pStyle w:val="ListParagraph"/>
        <w:spacing w:after="0" w:line="240" w:lineRule="auto"/>
        <w:ind w:left="0"/>
        <w:rPr>
          <w:rFonts w:asciiTheme="minorHAnsi" w:hAnsiTheme="minorHAnsi" w:cstheme="minorHAnsi"/>
          <w:iCs/>
          <w:color w:val="FF0000"/>
          <w:sz w:val="24"/>
          <w:szCs w:val="24"/>
        </w:rPr>
      </w:pPr>
    </w:p>
    <w:p w14:paraId="15E9D4AF" w14:textId="38DC142D" w:rsidR="00996CB7" w:rsidRPr="00A30227" w:rsidRDefault="00C970FD" w:rsidP="009C67DB">
      <w:pPr>
        <w:pStyle w:val="ListParagraph"/>
        <w:spacing w:after="0" w:line="240" w:lineRule="auto"/>
        <w:ind w:left="0"/>
        <w:rPr>
          <w:rFonts w:asciiTheme="minorHAnsi" w:hAnsiTheme="minorHAnsi" w:cstheme="minorHAnsi"/>
          <w:iCs/>
          <w:sz w:val="24"/>
          <w:szCs w:val="24"/>
        </w:rPr>
      </w:pPr>
      <w:r w:rsidRPr="00A30227">
        <w:rPr>
          <w:rStyle w:val="cf01"/>
          <w:rFonts w:asciiTheme="minorHAnsi" w:hAnsiTheme="minorHAnsi" w:cstheme="minorHAnsi"/>
          <w:sz w:val="24"/>
          <w:szCs w:val="24"/>
        </w:rPr>
        <w:t>The State Plan attempted to address concerns, including responsiveness to complaints</w:t>
      </w:r>
      <w:r w:rsidR="007A4CA7" w:rsidRPr="00A30227">
        <w:rPr>
          <w:rStyle w:val="cf01"/>
          <w:rFonts w:asciiTheme="minorHAnsi" w:hAnsiTheme="minorHAnsi" w:cstheme="minorHAnsi"/>
          <w:sz w:val="24"/>
          <w:szCs w:val="24"/>
        </w:rPr>
        <w:t>,</w:t>
      </w:r>
      <w:r w:rsidRPr="00A30227">
        <w:rPr>
          <w:rStyle w:val="cf01"/>
          <w:rFonts w:asciiTheme="minorHAnsi" w:hAnsiTheme="minorHAnsi" w:cstheme="minorHAnsi"/>
          <w:sz w:val="24"/>
          <w:szCs w:val="24"/>
        </w:rPr>
        <w:t xml:space="preserve"> by hiring an additional administrative person to ensure that </w:t>
      </w:r>
      <w:r w:rsidR="00AB5EDD" w:rsidRPr="00A30227">
        <w:rPr>
          <w:rStyle w:val="cf01"/>
          <w:rFonts w:asciiTheme="minorHAnsi" w:hAnsiTheme="minorHAnsi" w:cstheme="minorHAnsi"/>
          <w:sz w:val="24"/>
          <w:szCs w:val="24"/>
        </w:rPr>
        <w:t xml:space="preserve">complaints were processed quickly and accurately to enable </w:t>
      </w:r>
      <w:r w:rsidR="007A4CA7" w:rsidRPr="00A30227">
        <w:rPr>
          <w:rStyle w:val="cf01"/>
          <w:rFonts w:asciiTheme="minorHAnsi" w:hAnsiTheme="minorHAnsi" w:cstheme="minorHAnsi"/>
          <w:sz w:val="24"/>
          <w:szCs w:val="24"/>
        </w:rPr>
        <w:t xml:space="preserve">shorter response times.  This was implemented </w:t>
      </w:r>
      <w:r w:rsidR="00A30227" w:rsidRPr="00A30227">
        <w:rPr>
          <w:rStyle w:val="cf01"/>
          <w:rFonts w:asciiTheme="minorHAnsi" w:hAnsiTheme="minorHAnsi" w:cstheme="minorHAnsi"/>
          <w:sz w:val="24"/>
          <w:szCs w:val="24"/>
        </w:rPr>
        <w:t>late in FY 202</w:t>
      </w:r>
      <w:r w:rsidR="00804E90">
        <w:rPr>
          <w:rStyle w:val="cf01"/>
          <w:rFonts w:asciiTheme="minorHAnsi" w:hAnsiTheme="minorHAnsi" w:cstheme="minorHAnsi"/>
          <w:sz w:val="24"/>
          <w:szCs w:val="24"/>
        </w:rPr>
        <w:t>4</w:t>
      </w:r>
      <w:r w:rsidR="00A30227" w:rsidRPr="00A30227">
        <w:rPr>
          <w:rStyle w:val="cf01"/>
          <w:rFonts w:asciiTheme="minorHAnsi" w:hAnsiTheme="minorHAnsi" w:cstheme="minorHAnsi"/>
          <w:sz w:val="24"/>
          <w:szCs w:val="24"/>
        </w:rPr>
        <w:t xml:space="preserve">, so there was not sufficient time during </w:t>
      </w:r>
      <w:r w:rsidR="00804E90">
        <w:rPr>
          <w:rStyle w:val="cf01"/>
          <w:rFonts w:asciiTheme="minorHAnsi" w:hAnsiTheme="minorHAnsi" w:cstheme="minorHAnsi"/>
          <w:sz w:val="24"/>
          <w:szCs w:val="24"/>
        </w:rPr>
        <w:t>the fiscal year</w:t>
      </w:r>
      <w:r w:rsidR="00A30227" w:rsidRPr="00A30227">
        <w:rPr>
          <w:rStyle w:val="cf01"/>
          <w:rFonts w:asciiTheme="minorHAnsi" w:hAnsiTheme="minorHAnsi" w:cstheme="minorHAnsi"/>
          <w:sz w:val="24"/>
          <w:szCs w:val="24"/>
        </w:rPr>
        <w:t xml:space="preserve"> to determine if the process improvement resulted in the desired outcome.  </w:t>
      </w:r>
    </w:p>
    <w:p w14:paraId="2969A2CA" w14:textId="77777777" w:rsidR="00781312" w:rsidRPr="00554025" w:rsidRDefault="00781312" w:rsidP="009C67DB">
      <w:pPr>
        <w:rPr>
          <w:rFonts w:asciiTheme="minorHAnsi" w:hAnsiTheme="minorHAnsi" w:cstheme="minorHAnsi"/>
          <w:iCs/>
          <w:color w:val="0070C0"/>
        </w:rPr>
      </w:pPr>
    </w:p>
    <w:p w14:paraId="5496E1FE" w14:textId="495C9EF9" w:rsidR="0087426E" w:rsidRPr="004A3DE1" w:rsidRDefault="00114EBB" w:rsidP="009C67DB">
      <w:pPr>
        <w:pStyle w:val="ListParagraph"/>
        <w:spacing w:after="0" w:line="240" w:lineRule="auto"/>
        <w:ind w:left="0"/>
        <w:rPr>
          <w:rFonts w:asciiTheme="minorHAnsi" w:hAnsiTheme="minorHAnsi" w:cstheme="minorHAnsi"/>
          <w:iCs/>
          <w:sz w:val="24"/>
          <w:szCs w:val="24"/>
        </w:rPr>
      </w:pPr>
      <w:r w:rsidRPr="004A3DE1">
        <w:rPr>
          <w:rFonts w:asciiTheme="minorHAnsi" w:hAnsiTheme="minorHAnsi" w:cstheme="minorHAnsi"/>
          <w:iCs/>
          <w:sz w:val="24"/>
          <w:szCs w:val="24"/>
        </w:rPr>
        <w:t xml:space="preserve">The State Plan recognized the need for additional </w:t>
      </w:r>
      <w:r w:rsidR="003719AE" w:rsidRPr="004A3DE1">
        <w:rPr>
          <w:rFonts w:asciiTheme="minorHAnsi" w:hAnsiTheme="minorHAnsi" w:cstheme="minorHAnsi"/>
          <w:iCs/>
          <w:sz w:val="24"/>
          <w:szCs w:val="24"/>
        </w:rPr>
        <w:t xml:space="preserve">outreach </w:t>
      </w:r>
      <w:r w:rsidR="00635FD6" w:rsidRPr="004A3DE1">
        <w:rPr>
          <w:rFonts w:asciiTheme="minorHAnsi" w:hAnsiTheme="minorHAnsi" w:cstheme="minorHAnsi"/>
          <w:iCs/>
          <w:sz w:val="24"/>
          <w:szCs w:val="24"/>
        </w:rPr>
        <w:t xml:space="preserve">in </w:t>
      </w:r>
      <w:r w:rsidR="00C80C20">
        <w:rPr>
          <w:rFonts w:asciiTheme="minorHAnsi" w:hAnsiTheme="minorHAnsi" w:cstheme="minorHAnsi"/>
          <w:iCs/>
          <w:sz w:val="24"/>
          <w:szCs w:val="24"/>
        </w:rPr>
        <w:t>western</w:t>
      </w:r>
      <w:r w:rsidR="00C80C20" w:rsidRPr="004A3DE1">
        <w:rPr>
          <w:rFonts w:asciiTheme="minorHAnsi" w:hAnsiTheme="minorHAnsi" w:cstheme="minorHAnsi"/>
          <w:iCs/>
          <w:sz w:val="24"/>
          <w:szCs w:val="24"/>
        </w:rPr>
        <w:t xml:space="preserve"> </w:t>
      </w:r>
      <w:r w:rsidR="00635FD6" w:rsidRPr="004A3DE1">
        <w:rPr>
          <w:rFonts w:asciiTheme="minorHAnsi" w:hAnsiTheme="minorHAnsi" w:cstheme="minorHAnsi"/>
          <w:iCs/>
          <w:sz w:val="24"/>
          <w:szCs w:val="24"/>
        </w:rPr>
        <w:t xml:space="preserve">Wyoming </w:t>
      </w:r>
      <w:r w:rsidR="003719AE" w:rsidRPr="004A3DE1">
        <w:rPr>
          <w:rFonts w:asciiTheme="minorHAnsi" w:hAnsiTheme="minorHAnsi" w:cstheme="minorHAnsi"/>
          <w:iCs/>
          <w:sz w:val="24"/>
          <w:szCs w:val="24"/>
        </w:rPr>
        <w:t xml:space="preserve">to raise </w:t>
      </w:r>
      <w:r w:rsidR="00BB3EE9" w:rsidRPr="004A3DE1">
        <w:rPr>
          <w:rFonts w:asciiTheme="minorHAnsi" w:hAnsiTheme="minorHAnsi" w:cstheme="minorHAnsi"/>
          <w:iCs/>
          <w:sz w:val="24"/>
          <w:szCs w:val="24"/>
        </w:rPr>
        <w:t xml:space="preserve">awareness of construction hazards and </w:t>
      </w:r>
      <w:r w:rsidR="00635FD6" w:rsidRPr="004A3DE1">
        <w:rPr>
          <w:rFonts w:asciiTheme="minorHAnsi" w:hAnsiTheme="minorHAnsi" w:cstheme="minorHAnsi"/>
          <w:iCs/>
          <w:sz w:val="24"/>
          <w:szCs w:val="24"/>
        </w:rPr>
        <w:t>methods of compliance</w:t>
      </w:r>
      <w:r w:rsidR="003719AE" w:rsidRPr="004A3DE1">
        <w:rPr>
          <w:rFonts w:asciiTheme="minorHAnsi" w:hAnsiTheme="minorHAnsi" w:cstheme="minorHAnsi"/>
          <w:iCs/>
          <w:sz w:val="24"/>
          <w:szCs w:val="24"/>
        </w:rPr>
        <w:t xml:space="preserve">.  </w:t>
      </w:r>
      <w:r w:rsidR="00D553C5">
        <w:rPr>
          <w:rFonts w:asciiTheme="minorHAnsi" w:hAnsiTheme="minorHAnsi" w:cstheme="minorHAnsi"/>
          <w:iCs/>
          <w:sz w:val="24"/>
          <w:szCs w:val="24"/>
        </w:rPr>
        <w:t xml:space="preserve">This </w:t>
      </w:r>
      <w:r w:rsidR="001B1268">
        <w:rPr>
          <w:rFonts w:asciiTheme="minorHAnsi" w:hAnsiTheme="minorHAnsi" w:cstheme="minorHAnsi"/>
          <w:iCs/>
          <w:sz w:val="24"/>
          <w:szCs w:val="24"/>
        </w:rPr>
        <w:t xml:space="preserve">was in response to </w:t>
      </w:r>
      <w:r w:rsidR="00D553C5">
        <w:rPr>
          <w:rFonts w:asciiTheme="minorHAnsi" w:hAnsiTheme="minorHAnsi" w:cstheme="minorHAnsi"/>
          <w:iCs/>
          <w:sz w:val="24"/>
          <w:szCs w:val="24"/>
        </w:rPr>
        <w:t>a series of construction</w:t>
      </w:r>
      <w:r w:rsidR="00C23718">
        <w:rPr>
          <w:rFonts w:asciiTheme="minorHAnsi" w:hAnsiTheme="minorHAnsi" w:cstheme="minorHAnsi"/>
          <w:iCs/>
          <w:sz w:val="24"/>
          <w:szCs w:val="24"/>
        </w:rPr>
        <w:t>-</w:t>
      </w:r>
      <w:r w:rsidR="00D553C5">
        <w:rPr>
          <w:rFonts w:asciiTheme="minorHAnsi" w:hAnsiTheme="minorHAnsi" w:cstheme="minorHAnsi"/>
          <w:iCs/>
          <w:sz w:val="24"/>
          <w:szCs w:val="24"/>
        </w:rPr>
        <w:t xml:space="preserve">related fatalities that occurred in </w:t>
      </w:r>
      <w:r w:rsidR="00C80C20">
        <w:rPr>
          <w:rFonts w:asciiTheme="minorHAnsi" w:hAnsiTheme="minorHAnsi" w:cstheme="minorHAnsi"/>
          <w:iCs/>
          <w:sz w:val="24"/>
          <w:szCs w:val="24"/>
        </w:rPr>
        <w:t xml:space="preserve">western </w:t>
      </w:r>
      <w:r w:rsidR="00D553C5">
        <w:rPr>
          <w:rFonts w:asciiTheme="minorHAnsi" w:hAnsiTheme="minorHAnsi" w:cstheme="minorHAnsi"/>
          <w:iCs/>
          <w:sz w:val="24"/>
          <w:szCs w:val="24"/>
        </w:rPr>
        <w:t xml:space="preserve">Wyoming.  </w:t>
      </w:r>
      <w:r w:rsidR="003719AE" w:rsidRPr="004A3DE1">
        <w:rPr>
          <w:rFonts w:asciiTheme="minorHAnsi" w:hAnsiTheme="minorHAnsi" w:cstheme="minorHAnsi"/>
          <w:iCs/>
          <w:sz w:val="24"/>
          <w:szCs w:val="24"/>
        </w:rPr>
        <w:t>The staff held a two</w:t>
      </w:r>
      <w:r w:rsidR="00C23718">
        <w:rPr>
          <w:rFonts w:asciiTheme="minorHAnsi" w:hAnsiTheme="minorHAnsi" w:cstheme="minorHAnsi"/>
          <w:iCs/>
          <w:sz w:val="24"/>
          <w:szCs w:val="24"/>
        </w:rPr>
        <w:t>-</w:t>
      </w:r>
      <w:r w:rsidR="003719AE" w:rsidRPr="004A3DE1">
        <w:rPr>
          <w:rFonts w:asciiTheme="minorHAnsi" w:hAnsiTheme="minorHAnsi" w:cstheme="minorHAnsi"/>
          <w:iCs/>
          <w:sz w:val="24"/>
          <w:szCs w:val="24"/>
        </w:rPr>
        <w:t xml:space="preserve">day </w:t>
      </w:r>
      <w:r w:rsidR="00251F5C" w:rsidRPr="004A3DE1">
        <w:rPr>
          <w:rFonts w:asciiTheme="minorHAnsi" w:hAnsiTheme="minorHAnsi" w:cstheme="minorHAnsi"/>
          <w:iCs/>
          <w:sz w:val="24"/>
          <w:szCs w:val="24"/>
        </w:rPr>
        <w:t xml:space="preserve">“OSHA Roadshow” </w:t>
      </w:r>
      <w:r w:rsidR="00D73EBE">
        <w:rPr>
          <w:rFonts w:asciiTheme="minorHAnsi" w:hAnsiTheme="minorHAnsi" w:cstheme="minorHAnsi"/>
          <w:iCs/>
          <w:sz w:val="24"/>
          <w:szCs w:val="24"/>
        </w:rPr>
        <w:t xml:space="preserve">in May 2024 </w:t>
      </w:r>
      <w:r w:rsidR="00251F5C" w:rsidRPr="004A3DE1">
        <w:rPr>
          <w:rFonts w:asciiTheme="minorHAnsi" w:hAnsiTheme="minorHAnsi" w:cstheme="minorHAnsi"/>
          <w:iCs/>
          <w:sz w:val="24"/>
          <w:szCs w:val="24"/>
        </w:rPr>
        <w:t xml:space="preserve">to provide comprehensive training to employers and </w:t>
      </w:r>
      <w:r w:rsidR="00534F37">
        <w:rPr>
          <w:rFonts w:asciiTheme="minorHAnsi" w:hAnsiTheme="minorHAnsi" w:cstheme="minorHAnsi"/>
          <w:iCs/>
          <w:sz w:val="24"/>
          <w:szCs w:val="24"/>
        </w:rPr>
        <w:t>worker</w:t>
      </w:r>
      <w:r w:rsidR="00534F37" w:rsidRPr="004A3DE1">
        <w:rPr>
          <w:rFonts w:asciiTheme="minorHAnsi" w:hAnsiTheme="minorHAnsi" w:cstheme="minorHAnsi"/>
          <w:iCs/>
          <w:sz w:val="24"/>
          <w:szCs w:val="24"/>
        </w:rPr>
        <w:t xml:space="preserve">s </w:t>
      </w:r>
      <w:r w:rsidR="00251F5C" w:rsidRPr="004A3DE1">
        <w:rPr>
          <w:rFonts w:asciiTheme="minorHAnsi" w:hAnsiTheme="minorHAnsi" w:cstheme="minorHAnsi"/>
          <w:iCs/>
          <w:sz w:val="24"/>
          <w:szCs w:val="24"/>
        </w:rPr>
        <w:t>in this hard-to-reach region.</w:t>
      </w:r>
    </w:p>
    <w:p w14:paraId="538B2F12" w14:textId="77777777" w:rsidR="009C67DB" w:rsidRPr="00554025" w:rsidRDefault="009C67DB" w:rsidP="009C67DB">
      <w:pPr>
        <w:pStyle w:val="ListParagraph"/>
        <w:spacing w:after="0" w:line="240" w:lineRule="auto"/>
        <w:ind w:left="0"/>
        <w:rPr>
          <w:rFonts w:asciiTheme="minorHAnsi" w:hAnsiTheme="minorHAnsi" w:cstheme="minorHAnsi"/>
          <w:iCs/>
          <w:color w:val="0070C0"/>
          <w:sz w:val="24"/>
          <w:szCs w:val="24"/>
        </w:rPr>
      </w:pPr>
    </w:p>
    <w:p w14:paraId="076682DC" w14:textId="4C7D4D6C" w:rsidR="00781312" w:rsidRPr="006453CD" w:rsidRDefault="006376B3" w:rsidP="00783189">
      <w:pPr>
        <w:rPr>
          <w:rFonts w:cs="Calibri"/>
          <w:iCs/>
        </w:rPr>
      </w:pPr>
      <w:r>
        <w:rPr>
          <w:rFonts w:cs="Calibri"/>
          <w:iCs/>
        </w:rPr>
        <w:t>Wyoming OSHA</w:t>
      </w:r>
      <w:r w:rsidR="00E61A38" w:rsidRPr="006453CD">
        <w:rPr>
          <w:rFonts w:cs="Calibri"/>
          <w:iCs/>
        </w:rPr>
        <w:t xml:space="preserve"> was able to </w:t>
      </w:r>
      <w:r w:rsidR="00FC6B03">
        <w:rPr>
          <w:rFonts w:cs="Calibri"/>
          <w:iCs/>
        </w:rPr>
        <w:t xml:space="preserve">significantly </w:t>
      </w:r>
      <w:r w:rsidR="00E61A38" w:rsidRPr="006453CD">
        <w:rPr>
          <w:rFonts w:cs="Calibri"/>
          <w:iCs/>
        </w:rPr>
        <w:t xml:space="preserve">reduce its safety </w:t>
      </w:r>
      <w:r w:rsidR="00CC6992">
        <w:rPr>
          <w:rFonts w:cs="Calibri"/>
          <w:iCs/>
        </w:rPr>
        <w:t xml:space="preserve">inspection </w:t>
      </w:r>
      <w:r w:rsidR="00E61A38" w:rsidRPr="006453CD">
        <w:rPr>
          <w:rFonts w:cs="Calibri"/>
          <w:iCs/>
        </w:rPr>
        <w:t>in-compliance percentage</w:t>
      </w:r>
      <w:r w:rsidR="00037688" w:rsidRPr="006453CD">
        <w:rPr>
          <w:rFonts w:cs="Calibri"/>
          <w:iCs/>
        </w:rPr>
        <w:t xml:space="preserve"> during FY 2024</w:t>
      </w:r>
      <w:r w:rsidR="005225D2">
        <w:rPr>
          <w:rFonts w:cs="Calibri"/>
          <w:iCs/>
        </w:rPr>
        <w:t>,</w:t>
      </w:r>
      <w:r w:rsidR="005F3578">
        <w:rPr>
          <w:rFonts w:cs="Calibri"/>
          <w:iCs/>
        </w:rPr>
        <w:t xml:space="preserve"> which </w:t>
      </w:r>
      <w:r w:rsidR="00C23718">
        <w:rPr>
          <w:rFonts w:cs="Calibri"/>
          <w:iCs/>
        </w:rPr>
        <w:t xml:space="preserve">resulted in the completion of a finding from </w:t>
      </w:r>
      <w:r w:rsidR="005F3578">
        <w:rPr>
          <w:rFonts w:cs="Calibri"/>
          <w:iCs/>
        </w:rPr>
        <w:t>the</w:t>
      </w:r>
      <w:r w:rsidR="005F3578" w:rsidRPr="006453CD">
        <w:rPr>
          <w:rFonts w:cs="Calibri"/>
          <w:iCs/>
        </w:rPr>
        <w:t xml:space="preserve"> FY 2023</w:t>
      </w:r>
      <w:r w:rsidR="005F3578">
        <w:rPr>
          <w:rFonts w:cs="Calibri"/>
          <w:iCs/>
        </w:rPr>
        <w:t xml:space="preserve"> </w:t>
      </w:r>
      <w:r w:rsidR="00EE5813">
        <w:rPr>
          <w:rFonts w:cs="Calibri"/>
          <w:iCs/>
        </w:rPr>
        <w:t xml:space="preserve">Comprehensive </w:t>
      </w:r>
      <w:r w:rsidR="005F3578">
        <w:rPr>
          <w:rFonts w:cs="Calibri"/>
          <w:iCs/>
        </w:rPr>
        <w:t xml:space="preserve">FAME </w:t>
      </w:r>
      <w:r w:rsidR="0047568C">
        <w:rPr>
          <w:rFonts w:cs="Calibri"/>
          <w:iCs/>
        </w:rPr>
        <w:t>Report</w:t>
      </w:r>
      <w:r w:rsidR="00037688" w:rsidRPr="006453CD">
        <w:rPr>
          <w:rFonts w:cs="Calibri"/>
          <w:iCs/>
        </w:rPr>
        <w:t>.</w:t>
      </w:r>
      <w:r w:rsidR="00C23718">
        <w:rPr>
          <w:rFonts w:cs="Calibri"/>
          <w:iCs/>
        </w:rPr>
        <w:t xml:space="preserve"> </w:t>
      </w:r>
      <w:r w:rsidR="00037688" w:rsidRPr="006453CD">
        <w:rPr>
          <w:rFonts w:cs="Calibri"/>
          <w:iCs/>
        </w:rPr>
        <w:t xml:space="preserve"> </w:t>
      </w:r>
      <w:r w:rsidR="005F3578">
        <w:rPr>
          <w:rFonts w:cs="Calibri"/>
          <w:iCs/>
        </w:rPr>
        <w:t>However, t</w:t>
      </w:r>
      <w:r w:rsidR="00037688" w:rsidRPr="006453CD">
        <w:rPr>
          <w:rFonts w:cs="Calibri"/>
          <w:iCs/>
        </w:rPr>
        <w:t>he health inspection in-compliance percentage</w:t>
      </w:r>
      <w:r w:rsidR="006453CD" w:rsidRPr="006453CD">
        <w:rPr>
          <w:rFonts w:cs="Calibri"/>
          <w:iCs/>
        </w:rPr>
        <w:t xml:space="preserve"> continued to climb and remain</w:t>
      </w:r>
      <w:r w:rsidR="00C23718">
        <w:rPr>
          <w:rFonts w:cs="Calibri"/>
          <w:iCs/>
        </w:rPr>
        <w:t>ed</w:t>
      </w:r>
      <w:r w:rsidR="006453CD" w:rsidRPr="006453CD">
        <w:rPr>
          <w:rFonts w:cs="Calibri"/>
          <w:iCs/>
        </w:rPr>
        <w:t xml:space="preserve"> an issue </w:t>
      </w:r>
      <w:r w:rsidR="005F3578">
        <w:rPr>
          <w:rFonts w:cs="Calibri"/>
          <w:iCs/>
        </w:rPr>
        <w:t>for</w:t>
      </w:r>
      <w:r w:rsidR="006453CD" w:rsidRPr="006453CD">
        <w:rPr>
          <w:rFonts w:cs="Calibri"/>
          <w:iCs/>
        </w:rPr>
        <w:t xml:space="preserve"> Wyoming OSHA</w:t>
      </w:r>
      <w:r w:rsidR="00C23718">
        <w:rPr>
          <w:rFonts w:cs="Calibri"/>
          <w:iCs/>
        </w:rPr>
        <w:t>,</w:t>
      </w:r>
      <w:r w:rsidR="000E4B7A">
        <w:rPr>
          <w:rFonts w:cs="Calibri"/>
          <w:iCs/>
        </w:rPr>
        <w:t xml:space="preserve"> </w:t>
      </w:r>
      <w:r w:rsidR="00482C9C">
        <w:rPr>
          <w:rFonts w:cs="Calibri"/>
          <w:iCs/>
        </w:rPr>
        <w:t>so</w:t>
      </w:r>
      <w:r w:rsidR="000E4B7A">
        <w:rPr>
          <w:rFonts w:cs="Calibri"/>
          <w:iCs/>
        </w:rPr>
        <w:t xml:space="preserve"> this finding is continued</w:t>
      </w:r>
      <w:r w:rsidR="006453CD" w:rsidRPr="006453CD">
        <w:rPr>
          <w:rFonts w:cs="Calibri"/>
          <w:iCs/>
        </w:rPr>
        <w:t>.</w:t>
      </w:r>
      <w:r w:rsidR="009C67DB" w:rsidRPr="006453CD">
        <w:rPr>
          <w:rFonts w:cs="Calibri"/>
          <w:iCs/>
        </w:rPr>
        <w:t xml:space="preserve">  </w:t>
      </w:r>
      <w:r w:rsidR="000E4B7A" w:rsidRPr="000E4B7A">
        <w:rPr>
          <w:rFonts w:cs="Calibri"/>
          <w:iCs/>
        </w:rPr>
        <w:t xml:space="preserve">The five observations from last year’s FAME </w:t>
      </w:r>
      <w:r w:rsidR="00482C9C">
        <w:rPr>
          <w:rFonts w:cs="Calibri"/>
          <w:iCs/>
        </w:rPr>
        <w:t>R</w:t>
      </w:r>
      <w:r w:rsidR="002642B2" w:rsidRPr="000E4B7A">
        <w:rPr>
          <w:rFonts w:cs="Calibri"/>
          <w:iCs/>
        </w:rPr>
        <w:t xml:space="preserve">eport </w:t>
      </w:r>
      <w:r w:rsidR="000E4B7A" w:rsidRPr="000E4B7A">
        <w:rPr>
          <w:rFonts w:cs="Calibri"/>
          <w:iCs/>
        </w:rPr>
        <w:t xml:space="preserve">are continued until OSHA conducts a </w:t>
      </w:r>
      <w:r w:rsidR="00482C9C">
        <w:rPr>
          <w:rFonts w:cs="Calibri"/>
          <w:iCs/>
        </w:rPr>
        <w:t xml:space="preserve">case file </w:t>
      </w:r>
      <w:r w:rsidR="000E4B7A" w:rsidRPr="000E4B7A">
        <w:rPr>
          <w:rFonts w:cs="Calibri"/>
          <w:iCs/>
        </w:rPr>
        <w:t xml:space="preserve">review during the FY 2025 </w:t>
      </w:r>
      <w:r w:rsidR="00466075">
        <w:rPr>
          <w:rFonts w:cs="Calibri"/>
          <w:iCs/>
        </w:rPr>
        <w:t xml:space="preserve">comprehensive </w:t>
      </w:r>
      <w:r w:rsidR="000E4B7A" w:rsidRPr="000E4B7A">
        <w:rPr>
          <w:rFonts w:cs="Calibri"/>
          <w:iCs/>
        </w:rPr>
        <w:t>FAME.  One additional observation</w:t>
      </w:r>
      <w:r w:rsidR="00ED058D">
        <w:rPr>
          <w:rFonts w:cs="Calibri"/>
          <w:iCs/>
        </w:rPr>
        <w:t xml:space="preserve"> related to the </w:t>
      </w:r>
      <w:r w:rsidR="00391694">
        <w:rPr>
          <w:rFonts w:cs="Calibri"/>
          <w:iCs/>
        </w:rPr>
        <w:t xml:space="preserve">significantly </w:t>
      </w:r>
      <w:r w:rsidR="00482C9C">
        <w:rPr>
          <w:rFonts w:cs="Calibri"/>
          <w:iCs/>
        </w:rPr>
        <w:t xml:space="preserve">low number of actual versus planned </w:t>
      </w:r>
      <w:r w:rsidR="00ED058D">
        <w:rPr>
          <w:rFonts w:cs="Calibri"/>
          <w:iCs/>
        </w:rPr>
        <w:t>safety inspections</w:t>
      </w:r>
      <w:r w:rsidR="008F1635">
        <w:rPr>
          <w:rFonts w:cs="Calibri"/>
          <w:iCs/>
        </w:rPr>
        <w:t xml:space="preserve"> conducted</w:t>
      </w:r>
      <w:r w:rsidR="00ED058D">
        <w:rPr>
          <w:rFonts w:cs="Calibri"/>
          <w:iCs/>
        </w:rPr>
        <w:t xml:space="preserve"> </w:t>
      </w:r>
      <w:r w:rsidR="007F62C5">
        <w:rPr>
          <w:rFonts w:cs="Calibri"/>
          <w:iCs/>
        </w:rPr>
        <w:t>during FY 2024</w:t>
      </w:r>
      <w:r w:rsidR="000E4B7A" w:rsidRPr="000E4B7A">
        <w:rPr>
          <w:rFonts w:cs="Calibri"/>
          <w:iCs/>
        </w:rPr>
        <w:t xml:space="preserve"> was noted.</w:t>
      </w:r>
    </w:p>
    <w:p w14:paraId="46D1DC96" w14:textId="46FCCB89" w:rsidR="009B7D98" w:rsidRPr="002A55EB" w:rsidRDefault="009B7D98" w:rsidP="009B7D98">
      <w:pPr>
        <w:rPr>
          <w:rFonts w:cs="Calibri"/>
        </w:rPr>
      </w:pPr>
    </w:p>
    <w:p w14:paraId="0484E0C4" w14:textId="77777777" w:rsidR="001C5B81" w:rsidRPr="001C1E47" w:rsidRDefault="001C5B81" w:rsidP="00783189">
      <w:pPr>
        <w:widowControl/>
        <w:autoSpaceDE/>
        <w:autoSpaceDN/>
        <w:adjustRightInd/>
        <w:rPr>
          <w:rFonts w:cs="Calibri"/>
        </w:rPr>
      </w:pPr>
    </w:p>
    <w:p w14:paraId="67E95E6F" w14:textId="6755D6C3" w:rsidR="000A134A" w:rsidRPr="001C1E47" w:rsidRDefault="001E71BA" w:rsidP="00BC54A4">
      <w:pPr>
        <w:pStyle w:val="Heading2"/>
      </w:pPr>
      <w:bookmarkStart w:id="6" w:name="_Toc118900171"/>
      <w:bookmarkStart w:id="7" w:name="_Toc118905010"/>
      <w:bookmarkStart w:id="8" w:name="_Toc119418664"/>
      <w:r w:rsidRPr="001C1E47">
        <w:t>State Plan Background</w:t>
      </w:r>
      <w:bookmarkEnd w:id="6"/>
      <w:bookmarkEnd w:id="7"/>
      <w:bookmarkEnd w:id="8"/>
    </w:p>
    <w:p w14:paraId="7ED8AA2D" w14:textId="77777777" w:rsidR="000A134A" w:rsidRPr="001C1E47" w:rsidRDefault="000A134A" w:rsidP="00783189">
      <w:pPr>
        <w:widowControl/>
        <w:autoSpaceDE/>
        <w:autoSpaceDN/>
        <w:adjustRightInd/>
        <w:rPr>
          <w:rFonts w:cs="Calibri"/>
          <w:i/>
        </w:rPr>
      </w:pPr>
    </w:p>
    <w:p w14:paraId="0099F014" w14:textId="6211C6AC" w:rsidR="00DB0E10" w:rsidRPr="004D45BA" w:rsidRDefault="00DB0E10" w:rsidP="00DB0E10">
      <w:pPr>
        <w:widowControl/>
        <w:autoSpaceDE/>
        <w:autoSpaceDN/>
        <w:adjustRightInd/>
        <w:contextualSpacing/>
        <w:rPr>
          <w:rFonts w:cs="Calibri"/>
          <w:iCs/>
        </w:rPr>
      </w:pPr>
      <w:r w:rsidRPr="004D45BA">
        <w:rPr>
          <w:rFonts w:cs="Calibri"/>
          <w:iCs/>
        </w:rPr>
        <w:t>W</w:t>
      </w:r>
      <w:r>
        <w:rPr>
          <w:rFonts w:cs="Calibri"/>
          <w:iCs/>
        </w:rPr>
        <w:t>yoming</w:t>
      </w:r>
      <w:r w:rsidRPr="004D45BA">
        <w:rPr>
          <w:rFonts w:cs="Calibri"/>
          <w:iCs/>
        </w:rPr>
        <w:t xml:space="preserve"> OSHA is housed within the Wyoming Department of Workforce Services. </w:t>
      </w:r>
      <w:r>
        <w:rPr>
          <w:rFonts w:cs="Calibri"/>
          <w:iCs/>
        </w:rPr>
        <w:t xml:space="preserve"> </w:t>
      </w:r>
      <w:r w:rsidRPr="004D45BA">
        <w:rPr>
          <w:rFonts w:cs="Calibri"/>
          <w:iCs/>
        </w:rPr>
        <w:t xml:space="preserve">The State Plan designee also serves as the Workforce Standards Administrator of the Office of Standards and Compliance. </w:t>
      </w:r>
      <w:r>
        <w:rPr>
          <w:rFonts w:cs="Calibri"/>
          <w:iCs/>
        </w:rPr>
        <w:t xml:space="preserve"> </w:t>
      </w:r>
      <w:r w:rsidR="00540DDB">
        <w:rPr>
          <w:rFonts w:cs="Calibri"/>
          <w:iCs/>
        </w:rPr>
        <w:t xml:space="preserve">Karen J. Bebensee </w:t>
      </w:r>
      <w:r w:rsidR="00D11E53">
        <w:rPr>
          <w:rFonts w:cs="Calibri"/>
          <w:iCs/>
        </w:rPr>
        <w:t>became the</w:t>
      </w:r>
      <w:r w:rsidR="00540DDB">
        <w:rPr>
          <w:rFonts w:cs="Calibri"/>
          <w:iCs/>
        </w:rPr>
        <w:t xml:space="preserve"> Workforce Standards Administrator</w:t>
      </w:r>
      <w:r w:rsidR="00A128D5">
        <w:rPr>
          <w:rFonts w:cs="Calibri"/>
          <w:iCs/>
        </w:rPr>
        <w:t xml:space="preserve"> </w:t>
      </w:r>
      <w:r w:rsidR="00D11E53">
        <w:rPr>
          <w:rFonts w:cs="Calibri"/>
          <w:iCs/>
        </w:rPr>
        <w:t>in</w:t>
      </w:r>
      <w:r w:rsidR="00DA7B0E">
        <w:rPr>
          <w:rFonts w:cs="Calibri"/>
          <w:iCs/>
        </w:rPr>
        <w:t xml:space="preserve"> August 2024 following </w:t>
      </w:r>
      <w:r w:rsidR="00E05525">
        <w:rPr>
          <w:rFonts w:cs="Calibri"/>
          <w:iCs/>
        </w:rPr>
        <w:t>the departure of Jason Wolfe</w:t>
      </w:r>
      <w:r w:rsidR="00DA7B0E">
        <w:rPr>
          <w:rFonts w:cs="Calibri"/>
          <w:iCs/>
        </w:rPr>
        <w:t xml:space="preserve">.  </w:t>
      </w:r>
      <w:r w:rsidR="00521B5A">
        <w:rPr>
          <w:rFonts w:cs="Calibri"/>
          <w:iCs/>
        </w:rPr>
        <w:t>The</w:t>
      </w:r>
      <w:r w:rsidRPr="004D45BA">
        <w:rPr>
          <w:rFonts w:cs="Calibri"/>
          <w:iCs/>
        </w:rPr>
        <w:t xml:space="preserve"> </w:t>
      </w:r>
      <w:r w:rsidR="00920C63">
        <w:rPr>
          <w:rFonts w:cs="Calibri"/>
          <w:iCs/>
        </w:rPr>
        <w:t xml:space="preserve">position of </w:t>
      </w:r>
      <w:r w:rsidRPr="004D45BA">
        <w:rPr>
          <w:rFonts w:cs="Calibri"/>
          <w:iCs/>
        </w:rPr>
        <w:t>Deputy Administrator of W</w:t>
      </w:r>
      <w:r>
        <w:rPr>
          <w:rFonts w:cs="Calibri"/>
          <w:iCs/>
        </w:rPr>
        <w:t>yoming</w:t>
      </w:r>
      <w:r w:rsidRPr="004D45BA">
        <w:rPr>
          <w:rFonts w:cs="Calibri"/>
          <w:iCs/>
        </w:rPr>
        <w:t xml:space="preserve"> OSHA</w:t>
      </w:r>
      <w:r w:rsidR="00521B5A">
        <w:rPr>
          <w:rFonts w:cs="Calibri"/>
          <w:iCs/>
        </w:rPr>
        <w:t xml:space="preserve">, previously </w:t>
      </w:r>
      <w:r w:rsidR="00336A3A">
        <w:rPr>
          <w:rFonts w:cs="Calibri"/>
          <w:iCs/>
        </w:rPr>
        <w:t xml:space="preserve">held by </w:t>
      </w:r>
      <w:r w:rsidR="00521B5A">
        <w:rPr>
          <w:rFonts w:cs="Calibri"/>
          <w:iCs/>
        </w:rPr>
        <w:t xml:space="preserve">Karen J. Bebensee, became vacant and was not filled </w:t>
      </w:r>
      <w:r w:rsidR="00336A3A">
        <w:rPr>
          <w:rFonts w:cs="Calibri"/>
          <w:iCs/>
        </w:rPr>
        <w:t xml:space="preserve">by the end of </w:t>
      </w:r>
      <w:r w:rsidR="006C42FB">
        <w:rPr>
          <w:rFonts w:cs="Calibri"/>
          <w:iCs/>
        </w:rPr>
        <w:t>the fiscal year</w:t>
      </w:r>
      <w:r w:rsidRPr="004D45BA">
        <w:rPr>
          <w:rFonts w:cs="Calibri"/>
          <w:iCs/>
        </w:rPr>
        <w:t xml:space="preserve">. </w:t>
      </w:r>
      <w:r>
        <w:rPr>
          <w:rFonts w:cs="Calibri"/>
          <w:iCs/>
        </w:rPr>
        <w:t xml:space="preserve"> </w:t>
      </w:r>
      <w:r w:rsidR="005C588D">
        <w:rPr>
          <w:rFonts w:cs="Calibri"/>
          <w:iCs/>
        </w:rPr>
        <w:t xml:space="preserve">The </w:t>
      </w:r>
      <w:r w:rsidR="00520DFB">
        <w:rPr>
          <w:rFonts w:cs="Calibri"/>
          <w:iCs/>
        </w:rPr>
        <w:t xml:space="preserve">position was filled in early FY 2025 by Christian Graham.  </w:t>
      </w:r>
      <w:r w:rsidRPr="004D45BA">
        <w:rPr>
          <w:rFonts w:cs="Calibri"/>
          <w:iCs/>
        </w:rPr>
        <w:t>The main office is in Cheyenne, with field offices in Casper, Gillette, Sheridan, and Rock Springs.</w:t>
      </w:r>
    </w:p>
    <w:p w14:paraId="2C9BCFB6" w14:textId="77777777" w:rsidR="00DB0E10" w:rsidRPr="004D45BA" w:rsidRDefault="00DB0E10" w:rsidP="00DB0E10">
      <w:pPr>
        <w:widowControl/>
        <w:autoSpaceDE/>
        <w:autoSpaceDN/>
        <w:adjustRightInd/>
        <w:contextualSpacing/>
        <w:rPr>
          <w:rFonts w:cs="Calibri"/>
          <w:iCs/>
          <w:color w:val="0070C0"/>
        </w:rPr>
      </w:pPr>
    </w:p>
    <w:p w14:paraId="707C458B" w14:textId="71E8554D" w:rsidR="00DB0E10" w:rsidRPr="004D45BA" w:rsidRDefault="00DB0E10" w:rsidP="00DB0E10">
      <w:pPr>
        <w:widowControl/>
        <w:autoSpaceDE/>
        <w:autoSpaceDN/>
        <w:adjustRightInd/>
        <w:contextualSpacing/>
        <w:rPr>
          <w:rFonts w:cs="Calibri"/>
          <w:iCs/>
        </w:rPr>
      </w:pPr>
      <w:r w:rsidRPr="004D45BA">
        <w:rPr>
          <w:rFonts w:cs="Calibri"/>
          <w:iCs/>
        </w:rPr>
        <w:lastRenderedPageBreak/>
        <w:t xml:space="preserve">The program, funded through the 23(g) grant, consists of the enforcement, whistleblower, and cooperative programs (including the Voluntary Protection Program), as well as state and local government consultation. </w:t>
      </w:r>
      <w:r>
        <w:rPr>
          <w:rFonts w:cs="Calibri"/>
          <w:iCs/>
        </w:rPr>
        <w:t xml:space="preserve"> </w:t>
      </w:r>
      <w:r w:rsidRPr="004D45BA">
        <w:rPr>
          <w:rFonts w:cs="Calibri"/>
          <w:iCs/>
        </w:rPr>
        <w:t xml:space="preserve">A separate 21(d) cooperative agreement funds private sector consultation. </w:t>
      </w:r>
      <w:r>
        <w:rPr>
          <w:rFonts w:cs="Calibri"/>
          <w:iCs/>
        </w:rPr>
        <w:t xml:space="preserve"> </w:t>
      </w:r>
      <w:r w:rsidRPr="004D45BA">
        <w:rPr>
          <w:rFonts w:cs="Calibri"/>
          <w:iCs/>
        </w:rPr>
        <w:t xml:space="preserve">The State Plan closely mirrors the federal program with some differences that allow for the accommodation of unique state demands and issues. </w:t>
      </w:r>
      <w:r>
        <w:rPr>
          <w:rFonts w:cs="Calibri"/>
          <w:iCs/>
        </w:rPr>
        <w:t xml:space="preserve"> </w:t>
      </w:r>
      <w:r w:rsidRPr="004D45BA">
        <w:rPr>
          <w:rFonts w:cs="Calibri"/>
          <w:iCs/>
        </w:rPr>
        <w:t xml:space="preserve">The enforcement program maintains jurisdiction over safety and health issues for workers in the private sector, as well as for those in state and local government workplaces. </w:t>
      </w:r>
      <w:r>
        <w:rPr>
          <w:rFonts w:cs="Calibri"/>
          <w:iCs/>
        </w:rPr>
        <w:t xml:space="preserve"> </w:t>
      </w:r>
      <w:r w:rsidRPr="004D45BA">
        <w:rPr>
          <w:rFonts w:cs="Calibri"/>
          <w:iCs/>
        </w:rPr>
        <w:t>W</w:t>
      </w:r>
      <w:r>
        <w:rPr>
          <w:rFonts w:cs="Calibri"/>
          <w:iCs/>
        </w:rPr>
        <w:t>yoming</w:t>
      </w:r>
      <w:r w:rsidRPr="004D45BA">
        <w:rPr>
          <w:rFonts w:cs="Calibri"/>
          <w:iCs/>
        </w:rPr>
        <w:t xml:space="preserve"> OSHA enforces unique regulatory standards for oil and gas well drilling and servicing, including anchor testing, drill-stem testing, wireline operations, hydraulic fracturing, and mobile pumping.</w:t>
      </w:r>
    </w:p>
    <w:p w14:paraId="6A84D553" w14:textId="77777777" w:rsidR="00DB0E10" w:rsidRDefault="00DB0E10" w:rsidP="00DB0E10">
      <w:pPr>
        <w:widowControl/>
        <w:autoSpaceDE/>
        <w:autoSpaceDN/>
        <w:adjustRightInd/>
        <w:contextualSpacing/>
        <w:rPr>
          <w:rFonts w:cs="Calibri"/>
          <w:iCs/>
          <w:color w:val="0070C0"/>
        </w:rPr>
      </w:pPr>
    </w:p>
    <w:p w14:paraId="04F8C213" w14:textId="1AF2AD29" w:rsidR="00DB0E10" w:rsidRPr="00DB0E10" w:rsidRDefault="005C4788" w:rsidP="00DB0E10">
      <w:pPr>
        <w:widowControl/>
        <w:autoSpaceDE/>
        <w:autoSpaceDN/>
        <w:adjustRightInd/>
        <w:contextualSpacing/>
        <w:rPr>
          <w:rFonts w:cs="Calibri"/>
          <w:iCs/>
          <w:color w:val="FF0000"/>
        </w:rPr>
      </w:pPr>
      <w:r w:rsidRPr="00F74FD6">
        <w:rPr>
          <w:rFonts w:eastAsia="Calibri" w:cs="Calibri"/>
        </w:rPr>
        <w:t>At the end of FY 202</w:t>
      </w:r>
      <w:r>
        <w:rPr>
          <w:rFonts w:eastAsia="Calibri" w:cs="Calibri"/>
        </w:rPr>
        <w:t>4</w:t>
      </w:r>
      <w:r w:rsidRPr="00F74FD6">
        <w:rPr>
          <w:rFonts w:eastAsia="Calibri" w:cs="Calibri"/>
        </w:rPr>
        <w:t xml:space="preserve">, </w:t>
      </w:r>
      <w:r>
        <w:rPr>
          <w:rFonts w:eastAsia="Calibri" w:cs="Calibri"/>
        </w:rPr>
        <w:t>Wyoming OSHA</w:t>
      </w:r>
      <w:r w:rsidRPr="00F74FD6">
        <w:rPr>
          <w:rFonts w:eastAsia="Calibri" w:cs="Calibri"/>
        </w:rPr>
        <w:t xml:space="preserve"> employed</w:t>
      </w:r>
      <w:r w:rsidRPr="0012483D">
        <w:rPr>
          <w:rFonts w:eastAsia="Calibri" w:cs="Calibri"/>
        </w:rPr>
        <w:t xml:space="preserve"> </w:t>
      </w:r>
      <w:r w:rsidR="00952F7C" w:rsidRPr="0012483D">
        <w:rPr>
          <w:rFonts w:eastAsia="Calibri" w:cs="Calibri"/>
        </w:rPr>
        <w:t xml:space="preserve">14 </w:t>
      </w:r>
      <w:r w:rsidR="00CC56C4" w:rsidRPr="007610D1">
        <w:rPr>
          <w:rFonts w:eastAsia="Calibri" w:cs="Calibri"/>
        </w:rPr>
        <w:t>people</w:t>
      </w:r>
      <w:r w:rsidRPr="007610D1">
        <w:rPr>
          <w:rFonts w:eastAsia="Calibri" w:cs="Calibri"/>
        </w:rPr>
        <w:t xml:space="preserve">.  </w:t>
      </w:r>
      <w:r>
        <w:rPr>
          <w:rFonts w:eastAsia="Calibri" w:cs="Calibri"/>
        </w:rPr>
        <w:t>T</w:t>
      </w:r>
      <w:r w:rsidR="00DB0E10" w:rsidRPr="004D45BA">
        <w:rPr>
          <w:rFonts w:cs="Calibri"/>
          <w:iCs/>
        </w:rPr>
        <w:t xml:space="preserve">he State Plan was benchmarked for </w:t>
      </w:r>
      <w:r w:rsidR="00DB0E10" w:rsidRPr="00055275">
        <w:rPr>
          <w:rFonts w:cs="Calibri"/>
          <w:iCs/>
        </w:rPr>
        <w:t xml:space="preserve">six </w:t>
      </w:r>
      <w:r w:rsidR="00DB0E10" w:rsidRPr="004D45BA">
        <w:rPr>
          <w:rFonts w:cs="Calibri"/>
          <w:iCs/>
        </w:rPr>
        <w:t xml:space="preserve">safety compliance officers and </w:t>
      </w:r>
      <w:r w:rsidR="00DB0E10" w:rsidRPr="00055275">
        <w:rPr>
          <w:rFonts w:cs="Calibri"/>
          <w:iCs/>
        </w:rPr>
        <w:t xml:space="preserve">two </w:t>
      </w:r>
      <w:r w:rsidR="00DB0E10" w:rsidRPr="004D45BA">
        <w:rPr>
          <w:rFonts w:cs="Calibri"/>
          <w:iCs/>
        </w:rPr>
        <w:t xml:space="preserve">health compliance officers. </w:t>
      </w:r>
      <w:r w:rsidR="00DB0E10">
        <w:rPr>
          <w:rFonts w:cs="Calibri"/>
          <w:iCs/>
        </w:rPr>
        <w:t xml:space="preserve"> </w:t>
      </w:r>
      <w:r w:rsidR="00C93202">
        <w:rPr>
          <w:rFonts w:cs="Calibri"/>
          <w:iCs/>
        </w:rPr>
        <w:t>O</w:t>
      </w:r>
      <w:r w:rsidR="00DB0E10" w:rsidRPr="00055275">
        <w:rPr>
          <w:rFonts w:cs="Calibri"/>
          <w:iCs/>
        </w:rPr>
        <w:t xml:space="preserve">ne of the </w:t>
      </w:r>
      <w:r w:rsidR="00DB0E10">
        <w:rPr>
          <w:rFonts w:cs="Calibri"/>
          <w:iCs/>
        </w:rPr>
        <w:t>safety compliance officer</w:t>
      </w:r>
      <w:r w:rsidR="00DB0E10" w:rsidRPr="00055275">
        <w:rPr>
          <w:rFonts w:cs="Calibri"/>
          <w:iCs/>
        </w:rPr>
        <w:t xml:space="preserve"> positions was filled by the whistleblower investigator. </w:t>
      </w:r>
      <w:r w:rsidR="00DB0E10">
        <w:rPr>
          <w:rFonts w:cs="Calibri"/>
          <w:iCs/>
        </w:rPr>
        <w:t xml:space="preserve"> </w:t>
      </w:r>
      <w:r w:rsidR="00DB0E10" w:rsidRPr="00055275">
        <w:rPr>
          <w:rFonts w:cs="Calibri"/>
          <w:iCs/>
        </w:rPr>
        <w:t>In addition to the</w:t>
      </w:r>
      <w:r w:rsidR="00DB0E10" w:rsidRPr="002C371F">
        <w:rPr>
          <w:rFonts w:cs="Calibri"/>
          <w:iCs/>
        </w:rPr>
        <w:t xml:space="preserve"> </w:t>
      </w:r>
      <w:r w:rsidR="005158AA">
        <w:rPr>
          <w:rFonts w:cs="Calibri"/>
          <w:iCs/>
        </w:rPr>
        <w:t>s</w:t>
      </w:r>
      <w:r w:rsidR="007C0BEA">
        <w:rPr>
          <w:rFonts w:cs="Calibri"/>
          <w:iCs/>
        </w:rPr>
        <w:t>ix</w:t>
      </w:r>
      <w:r w:rsidR="00DB0E10" w:rsidRPr="002C371F">
        <w:rPr>
          <w:rFonts w:cs="Calibri"/>
          <w:iCs/>
        </w:rPr>
        <w:t xml:space="preserve"> </w:t>
      </w:r>
      <w:r w:rsidR="00BB04C0">
        <w:rPr>
          <w:rFonts w:cs="Calibri"/>
          <w:iCs/>
        </w:rPr>
        <w:t>compliance safety and health officer (</w:t>
      </w:r>
      <w:r w:rsidR="00DB0E10" w:rsidRPr="00055275">
        <w:rPr>
          <w:rFonts w:cs="Calibri"/>
          <w:iCs/>
        </w:rPr>
        <w:t>CSHO</w:t>
      </w:r>
      <w:r w:rsidR="00BB04C0">
        <w:rPr>
          <w:rFonts w:cs="Calibri"/>
          <w:iCs/>
        </w:rPr>
        <w:t>)</w:t>
      </w:r>
      <w:r w:rsidR="002C371F">
        <w:rPr>
          <w:rFonts w:cs="Calibri"/>
          <w:iCs/>
        </w:rPr>
        <w:t xml:space="preserve"> position</w:t>
      </w:r>
      <w:r w:rsidR="00DB0E10" w:rsidRPr="00055275">
        <w:rPr>
          <w:rFonts w:cs="Calibri"/>
          <w:iCs/>
        </w:rPr>
        <w:t xml:space="preserve">s, </w:t>
      </w:r>
      <w:r w:rsidR="00DB0E10" w:rsidRPr="004D45BA">
        <w:rPr>
          <w:rFonts w:cs="Calibri"/>
          <w:iCs/>
        </w:rPr>
        <w:t xml:space="preserve">management and staff consisted of </w:t>
      </w:r>
      <w:r w:rsidR="00CB386D">
        <w:rPr>
          <w:rFonts w:cs="Calibri"/>
          <w:iCs/>
        </w:rPr>
        <w:t>the</w:t>
      </w:r>
      <w:r w:rsidR="00DB0E10" w:rsidRPr="004D45BA">
        <w:rPr>
          <w:rFonts w:cs="Calibri"/>
          <w:iCs/>
        </w:rPr>
        <w:t xml:space="preserve"> compliance program supervisor, program operations manager, </w:t>
      </w:r>
      <w:r w:rsidR="00443EFD">
        <w:rPr>
          <w:rFonts w:cs="Calibri"/>
          <w:iCs/>
        </w:rPr>
        <w:t>two</w:t>
      </w:r>
      <w:r w:rsidR="00DB0E10" w:rsidRPr="004D45BA">
        <w:rPr>
          <w:rFonts w:cs="Calibri"/>
          <w:iCs/>
        </w:rPr>
        <w:t xml:space="preserve"> compliance assistance specialist</w:t>
      </w:r>
      <w:r w:rsidR="00443EFD">
        <w:rPr>
          <w:rFonts w:cs="Calibri"/>
          <w:iCs/>
        </w:rPr>
        <w:t>s</w:t>
      </w:r>
      <w:r w:rsidR="00DB0E10" w:rsidRPr="004D45BA">
        <w:rPr>
          <w:rFonts w:cs="Calibri"/>
          <w:iCs/>
        </w:rPr>
        <w:t xml:space="preserve">, </w:t>
      </w:r>
      <w:r w:rsidR="00B25D33">
        <w:rPr>
          <w:rFonts w:cs="Calibri"/>
          <w:iCs/>
        </w:rPr>
        <w:t xml:space="preserve">one compliance assurance </w:t>
      </w:r>
      <w:r w:rsidR="00524A7C" w:rsidRPr="00803625">
        <w:rPr>
          <w:rFonts w:cs="Calibri"/>
          <w:iCs/>
        </w:rPr>
        <w:t>person</w:t>
      </w:r>
      <w:r w:rsidR="00C07C15" w:rsidRPr="00803625">
        <w:rPr>
          <w:rFonts w:cs="Calibri"/>
          <w:iCs/>
        </w:rPr>
        <w:t xml:space="preserve">, </w:t>
      </w:r>
      <w:r w:rsidR="00DB0E10" w:rsidRPr="00803625">
        <w:rPr>
          <w:rFonts w:cs="Calibri"/>
          <w:iCs/>
        </w:rPr>
        <w:t xml:space="preserve">one whistleblower investigator, </w:t>
      </w:r>
      <w:r w:rsidR="000C515B" w:rsidRPr="00803625">
        <w:rPr>
          <w:rFonts w:cs="Calibri"/>
          <w:iCs/>
        </w:rPr>
        <w:t>one</w:t>
      </w:r>
      <w:r w:rsidR="00DB0E10" w:rsidRPr="00803625">
        <w:rPr>
          <w:rFonts w:cs="Calibri"/>
          <w:iCs/>
        </w:rPr>
        <w:t xml:space="preserve"> administrative person, and an accountant.  </w:t>
      </w:r>
      <w:r w:rsidR="007956C8">
        <w:t>The</w:t>
      </w:r>
      <w:r w:rsidR="007956C8" w:rsidRPr="00803625">
        <w:t xml:space="preserve"> </w:t>
      </w:r>
      <w:r w:rsidR="00524A7C" w:rsidRPr="00803625">
        <w:t>compliance assurance position was added to support the program in FY 2024.</w:t>
      </w:r>
      <w:r w:rsidR="004556C5">
        <w:t xml:space="preserve">  </w:t>
      </w:r>
      <w:r w:rsidR="004556C5" w:rsidRPr="00F74FD6">
        <w:rPr>
          <w:rFonts w:eastAsia="Calibri" w:cs="Calibri"/>
        </w:rPr>
        <w:t xml:space="preserve">At the end of FY </w:t>
      </w:r>
      <w:r w:rsidR="00F8597F" w:rsidRPr="00F74FD6">
        <w:rPr>
          <w:rFonts w:eastAsia="Calibri" w:cs="Calibri"/>
        </w:rPr>
        <w:t>202</w:t>
      </w:r>
      <w:r w:rsidR="00F8597F">
        <w:rPr>
          <w:rFonts w:eastAsia="Calibri" w:cs="Calibri"/>
        </w:rPr>
        <w:t>4</w:t>
      </w:r>
      <w:r w:rsidR="00F8597F" w:rsidRPr="00F74FD6">
        <w:rPr>
          <w:rFonts w:eastAsia="Calibri" w:cs="Calibri"/>
        </w:rPr>
        <w:t xml:space="preserve">, </w:t>
      </w:r>
      <w:r w:rsidR="00F8597F" w:rsidRPr="0012483D">
        <w:rPr>
          <w:rFonts w:eastAsia="Calibri" w:cs="Calibri"/>
        </w:rPr>
        <w:t>one</w:t>
      </w:r>
      <w:r w:rsidR="004556C5" w:rsidRPr="0012483D">
        <w:rPr>
          <w:rFonts w:eastAsia="Calibri" w:cs="Calibri"/>
        </w:rPr>
        <w:t xml:space="preserve"> health compliance officer position</w:t>
      </w:r>
      <w:r w:rsidR="00BC4B26" w:rsidRPr="0012483D">
        <w:rPr>
          <w:rFonts w:eastAsia="Calibri" w:cs="Calibri"/>
        </w:rPr>
        <w:t>,</w:t>
      </w:r>
      <w:r w:rsidR="004556C5" w:rsidRPr="0012483D">
        <w:rPr>
          <w:rFonts w:eastAsia="Calibri" w:cs="Calibri"/>
        </w:rPr>
        <w:t xml:space="preserve"> one administrative position</w:t>
      </w:r>
      <w:r w:rsidR="00274F17" w:rsidRPr="0012483D">
        <w:rPr>
          <w:rFonts w:eastAsia="Calibri" w:cs="Calibri"/>
        </w:rPr>
        <w:t xml:space="preserve">, </w:t>
      </w:r>
      <w:r w:rsidR="007D20D7" w:rsidRPr="0012483D">
        <w:rPr>
          <w:rFonts w:eastAsia="Calibri" w:cs="Calibri"/>
        </w:rPr>
        <w:t>and the deputy administrator position w</w:t>
      </w:r>
      <w:r w:rsidR="007C0BEA" w:rsidRPr="0012483D">
        <w:rPr>
          <w:rFonts w:eastAsia="Calibri" w:cs="Calibri"/>
        </w:rPr>
        <w:t>ere</w:t>
      </w:r>
      <w:r w:rsidR="007D20D7" w:rsidRPr="0012483D">
        <w:rPr>
          <w:rFonts w:eastAsia="Calibri" w:cs="Calibri"/>
        </w:rPr>
        <w:t xml:space="preserve"> vacant</w:t>
      </w:r>
      <w:r w:rsidR="004556C5" w:rsidRPr="0012483D">
        <w:rPr>
          <w:rFonts w:eastAsia="Calibri" w:cs="Calibri"/>
        </w:rPr>
        <w:t xml:space="preserve">.  </w:t>
      </w:r>
    </w:p>
    <w:p w14:paraId="5639FC1D" w14:textId="77777777" w:rsidR="00DB0E10" w:rsidRPr="004D45BA" w:rsidRDefault="00DB0E10" w:rsidP="00DB0E10">
      <w:pPr>
        <w:widowControl/>
        <w:autoSpaceDE/>
        <w:autoSpaceDN/>
        <w:adjustRightInd/>
        <w:contextualSpacing/>
        <w:rPr>
          <w:rFonts w:cs="Calibri"/>
          <w:iCs/>
          <w:color w:val="0070C0"/>
        </w:rPr>
      </w:pPr>
    </w:p>
    <w:p w14:paraId="33F3C1A1" w14:textId="6EAB6782" w:rsidR="00D02C09" w:rsidRPr="00F74FD6" w:rsidRDefault="007D5735" w:rsidP="00D02C09">
      <w:pPr>
        <w:widowControl/>
        <w:rPr>
          <w:rFonts w:eastAsia="Calibri" w:cs="Calibri"/>
        </w:rPr>
      </w:pPr>
      <w:r>
        <w:rPr>
          <w:rFonts w:eastAsia="Calibri" w:cs="Calibri"/>
        </w:rPr>
        <w:t>Wyoming OSHA</w:t>
      </w:r>
      <w:r w:rsidR="00D02C09" w:rsidRPr="00F74FD6">
        <w:rPr>
          <w:rFonts w:eastAsia="Calibri" w:cs="Calibri"/>
        </w:rPr>
        <w:t xml:space="preserve">’s </w:t>
      </w:r>
      <w:r w:rsidR="00D02C09">
        <w:rPr>
          <w:rFonts w:eastAsia="Calibri" w:cs="Calibri"/>
        </w:rPr>
        <w:t xml:space="preserve">initial federal base funding </w:t>
      </w:r>
      <w:r w:rsidR="00D02C09" w:rsidRPr="00F00DFF">
        <w:rPr>
          <w:rFonts w:eastAsia="Calibri" w:cs="Calibri"/>
        </w:rPr>
        <w:t>was reduced by $</w:t>
      </w:r>
      <w:r w:rsidR="008F76EB" w:rsidRPr="00F00DFF">
        <w:rPr>
          <w:rFonts w:eastAsia="Calibri" w:cs="Calibri"/>
        </w:rPr>
        <w:t>28</w:t>
      </w:r>
      <w:r w:rsidR="00D02C09" w:rsidRPr="00F00DFF">
        <w:rPr>
          <w:rFonts w:eastAsia="Calibri" w:cs="Calibri"/>
        </w:rPr>
        <w:t>,000 in late FY 2024.  The federal final base funding award in FY 2024 was $7</w:t>
      </w:r>
      <w:r w:rsidR="00F00DFF" w:rsidRPr="00F00DFF">
        <w:rPr>
          <w:rFonts w:eastAsia="Calibri" w:cs="Calibri"/>
        </w:rPr>
        <w:t>50</w:t>
      </w:r>
      <w:r w:rsidR="00D02C09" w:rsidRPr="00F00DFF">
        <w:rPr>
          <w:rFonts w:eastAsia="Calibri" w:cs="Calibri"/>
        </w:rPr>
        <w:t>,</w:t>
      </w:r>
      <w:r w:rsidR="00F00DFF" w:rsidRPr="00F00DFF">
        <w:rPr>
          <w:rFonts w:eastAsia="Calibri" w:cs="Calibri"/>
        </w:rPr>
        <w:t>8</w:t>
      </w:r>
      <w:r w:rsidR="00D02C09" w:rsidRPr="00F00DFF">
        <w:rPr>
          <w:rFonts w:eastAsia="Calibri" w:cs="Calibri"/>
        </w:rPr>
        <w:t>00, which the State Plan matched and additionally contributed $</w:t>
      </w:r>
      <w:r w:rsidR="00F00DFF" w:rsidRPr="00F00DFF">
        <w:rPr>
          <w:rFonts w:eastAsia="Calibri" w:cs="Calibri"/>
        </w:rPr>
        <w:t>724,700</w:t>
      </w:r>
      <w:r w:rsidR="00D02C09" w:rsidRPr="00F00DFF">
        <w:rPr>
          <w:rFonts w:eastAsia="Calibri" w:cs="Calibri"/>
        </w:rPr>
        <w:t xml:space="preserve">.  </w:t>
      </w:r>
      <w:r w:rsidR="00D02C09" w:rsidRPr="00F00DFF">
        <w:rPr>
          <w:rFonts w:cs="Calibri"/>
          <w:iCs/>
        </w:rPr>
        <w:t>One-time only funding of $</w:t>
      </w:r>
      <w:r w:rsidR="00CD22EC" w:rsidRPr="00F00DFF">
        <w:rPr>
          <w:rFonts w:cs="Calibri"/>
          <w:iCs/>
        </w:rPr>
        <w:t>12,</w:t>
      </w:r>
      <w:r w:rsidR="008F76EB" w:rsidRPr="00F00DFF">
        <w:rPr>
          <w:rFonts w:cs="Calibri"/>
          <w:iCs/>
        </w:rPr>
        <w:t>928</w:t>
      </w:r>
      <w:r w:rsidR="00D02C09" w:rsidRPr="00F00DFF">
        <w:rPr>
          <w:rFonts w:cs="Calibri"/>
          <w:iCs/>
        </w:rPr>
        <w:t xml:space="preserve"> </w:t>
      </w:r>
      <w:r w:rsidR="00D02C09">
        <w:rPr>
          <w:rFonts w:cs="Calibri"/>
          <w:iCs/>
        </w:rPr>
        <w:t>was provided by OSHA and matched by the State Plan in late FY 2024, which brought</w:t>
      </w:r>
      <w:r w:rsidR="00D02C09" w:rsidRPr="00B85794">
        <w:rPr>
          <w:rFonts w:cs="Calibri"/>
          <w:iCs/>
        </w:rPr>
        <w:t xml:space="preserve"> the total funding amount </w:t>
      </w:r>
      <w:r w:rsidR="00D02C09" w:rsidRPr="00810755">
        <w:rPr>
          <w:rFonts w:cs="Calibri"/>
          <w:iCs/>
        </w:rPr>
        <w:t>to $</w:t>
      </w:r>
      <w:r w:rsidR="00151BCC" w:rsidRPr="00810755">
        <w:rPr>
          <w:rFonts w:cs="Calibri"/>
          <w:iCs/>
        </w:rPr>
        <w:t>2</w:t>
      </w:r>
      <w:r w:rsidR="00D02C09" w:rsidRPr="00810755">
        <w:rPr>
          <w:rFonts w:cs="Calibri"/>
          <w:iCs/>
        </w:rPr>
        <w:t>,</w:t>
      </w:r>
      <w:r w:rsidR="00151BCC" w:rsidRPr="00810755">
        <w:rPr>
          <w:rFonts w:cs="Calibri"/>
          <w:iCs/>
        </w:rPr>
        <w:t>252</w:t>
      </w:r>
      <w:r w:rsidR="00D02C09" w:rsidRPr="00810755">
        <w:rPr>
          <w:rFonts w:cs="Calibri"/>
          <w:iCs/>
        </w:rPr>
        <w:t>,</w:t>
      </w:r>
      <w:r w:rsidR="00810755" w:rsidRPr="00810755">
        <w:rPr>
          <w:rFonts w:cs="Calibri"/>
          <w:iCs/>
        </w:rPr>
        <w:t>156</w:t>
      </w:r>
      <w:r w:rsidR="00D02C09" w:rsidRPr="00810755">
        <w:rPr>
          <w:rFonts w:cs="Calibri"/>
          <w:iCs/>
        </w:rPr>
        <w:t xml:space="preserve">.  </w:t>
      </w:r>
      <w:r>
        <w:rPr>
          <w:rFonts w:eastAsia="Calibri" w:cs="Calibri"/>
        </w:rPr>
        <w:t>Wyoming OSHA</w:t>
      </w:r>
      <w:r w:rsidR="00D02C09" w:rsidRPr="00F74FD6">
        <w:rPr>
          <w:rFonts w:eastAsia="Calibri" w:cs="Calibri"/>
        </w:rPr>
        <w:t xml:space="preserve">’s total contribution </w:t>
      </w:r>
      <w:r w:rsidR="00D02C09" w:rsidRPr="00792389">
        <w:rPr>
          <w:rFonts w:eastAsia="Calibri" w:cs="Calibri"/>
        </w:rPr>
        <w:t xml:space="preserve">of </w:t>
      </w:r>
      <w:r w:rsidR="00520B13" w:rsidRPr="00792389">
        <w:rPr>
          <w:rFonts w:eastAsia="Calibri" w:cs="Calibri"/>
        </w:rPr>
        <w:t>66</w:t>
      </w:r>
      <w:r w:rsidR="00792389" w:rsidRPr="00792389">
        <w:rPr>
          <w:rFonts w:eastAsia="Calibri" w:cs="Calibri"/>
        </w:rPr>
        <w:t>.09</w:t>
      </w:r>
      <w:r w:rsidR="00D02C09" w:rsidRPr="00792389">
        <w:rPr>
          <w:rFonts w:eastAsia="Calibri" w:cs="Calibri"/>
        </w:rPr>
        <w:t xml:space="preserve">% </w:t>
      </w:r>
      <w:r w:rsidR="00D02C09" w:rsidRPr="00F74FD6">
        <w:rPr>
          <w:rFonts w:eastAsia="Calibri" w:cs="Calibri"/>
        </w:rPr>
        <w:t xml:space="preserve">was </w:t>
      </w:r>
      <w:r w:rsidR="00D02C09" w:rsidRPr="00D06BBC">
        <w:rPr>
          <w:rFonts w:eastAsia="Calibri" w:cs="Calibri"/>
        </w:rPr>
        <w:t>more</w:t>
      </w:r>
      <w:r w:rsidR="00D02C09" w:rsidRPr="00F74FD6">
        <w:rPr>
          <w:rFonts w:eastAsia="Calibri" w:cs="Calibri"/>
        </w:rPr>
        <w:t xml:space="preserve"> than that of FY 202</w:t>
      </w:r>
      <w:r w:rsidR="00D02C09" w:rsidRPr="00D06BBC">
        <w:rPr>
          <w:rFonts w:eastAsia="Calibri" w:cs="Calibri"/>
        </w:rPr>
        <w:t>3</w:t>
      </w:r>
      <w:r w:rsidR="00D02C09" w:rsidRPr="00F74FD6">
        <w:rPr>
          <w:rFonts w:eastAsia="Calibri" w:cs="Calibri"/>
        </w:rPr>
        <w:t xml:space="preserve">, when the State Plan’s contribution was </w:t>
      </w:r>
      <w:r w:rsidR="00BA53AB" w:rsidRPr="00EF2F1F">
        <w:rPr>
          <w:rFonts w:eastAsia="Calibri" w:cs="Calibri"/>
        </w:rPr>
        <w:t>62.95</w:t>
      </w:r>
      <w:r w:rsidR="00D02C09" w:rsidRPr="00EF2F1F">
        <w:rPr>
          <w:rFonts w:eastAsia="Calibri" w:cs="Calibri"/>
        </w:rPr>
        <w:t xml:space="preserve">%.  </w:t>
      </w:r>
    </w:p>
    <w:p w14:paraId="03C98104" w14:textId="77777777" w:rsidR="00DB0E10" w:rsidRPr="00DB0E10" w:rsidRDefault="00DB0E10" w:rsidP="00DB0E10">
      <w:pPr>
        <w:widowControl/>
        <w:autoSpaceDE/>
        <w:autoSpaceDN/>
        <w:adjustRightInd/>
        <w:contextualSpacing/>
        <w:rPr>
          <w:rFonts w:cs="Calibri"/>
          <w:iCs/>
          <w:color w:val="FF0000"/>
        </w:rPr>
      </w:pPr>
    </w:p>
    <w:p w14:paraId="646737B7" w14:textId="55F87048" w:rsidR="00DB0E10" w:rsidRPr="00DB0E10" w:rsidRDefault="5678DBD7" w:rsidP="3D2B25CB">
      <w:pPr>
        <w:widowControl/>
        <w:autoSpaceDE/>
        <w:autoSpaceDN/>
        <w:adjustRightInd/>
        <w:contextualSpacing/>
        <w:rPr>
          <w:rFonts w:cs="Calibri"/>
          <w:color w:val="FF0000"/>
        </w:rPr>
      </w:pPr>
      <w:r w:rsidRPr="3D2B25CB">
        <w:rPr>
          <w:rFonts w:cs="Calibri"/>
        </w:rPr>
        <w:t>Wyoming OSHA</w:t>
      </w:r>
      <w:r w:rsidR="7EEF02D3" w:rsidRPr="3D2B25CB">
        <w:rPr>
          <w:rFonts w:cs="Calibri"/>
        </w:rPr>
        <w:t xml:space="preserve"> achieved </w:t>
      </w:r>
      <w:r w:rsidR="3B9FD49F" w:rsidRPr="3D2B25CB">
        <w:rPr>
          <w:rFonts w:cs="Calibri"/>
        </w:rPr>
        <w:t>51.06</w:t>
      </w:r>
      <w:r w:rsidR="7EEF02D3" w:rsidRPr="3D2B25CB">
        <w:rPr>
          <w:rFonts w:cs="Calibri"/>
        </w:rPr>
        <w:t xml:space="preserve">% of its inspection goal of 188 inspections.  The </w:t>
      </w:r>
      <w:r w:rsidR="000E4B7A">
        <w:rPr>
          <w:rFonts w:cs="Calibri"/>
        </w:rPr>
        <w:t xml:space="preserve">program conducted </w:t>
      </w:r>
      <w:r w:rsidR="7027F29F" w:rsidRPr="3D2B25CB">
        <w:rPr>
          <w:rFonts w:cs="Calibri"/>
        </w:rPr>
        <w:t>96</w:t>
      </w:r>
      <w:r w:rsidR="7EEF02D3" w:rsidRPr="3D2B25CB">
        <w:rPr>
          <w:rFonts w:cs="Calibri"/>
        </w:rPr>
        <w:t xml:space="preserve"> inspections, </w:t>
      </w:r>
      <w:r w:rsidR="000E4B7A" w:rsidRPr="3D2B25CB">
        <w:rPr>
          <w:rFonts w:cs="Calibri"/>
        </w:rPr>
        <w:t>consist</w:t>
      </w:r>
      <w:r w:rsidR="000E4B7A">
        <w:rPr>
          <w:rFonts w:cs="Calibri"/>
        </w:rPr>
        <w:t>ing of</w:t>
      </w:r>
      <w:r w:rsidR="7EEF02D3" w:rsidRPr="3D2B25CB">
        <w:rPr>
          <w:rFonts w:cs="Calibri"/>
        </w:rPr>
        <w:t xml:space="preserve"> </w:t>
      </w:r>
      <w:r w:rsidR="7027F29F" w:rsidRPr="3D2B25CB">
        <w:rPr>
          <w:rFonts w:cs="Calibri"/>
        </w:rPr>
        <w:t>79</w:t>
      </w:r>
      <w:r w:rsidR="7EEF02D3" w:rsidRPr="3D2B25CB">
        <w:rPr>
          <w:rFonts w:cs="Calibri"/>
        </w:rPr>
        <w:t xml:space="preserve"> safety inspections and 1</w:t>
      </w:r>
      <w:r w:rsidR="7027F29F" w:rsidRPr="3D2B25CB">
        <w:rPr>
          <w:rFonts w:cs="Calibri"/>
        </w:rPr>
        <w:t>7</w:t>
      </w:r>
      <w:r w:rsidR="7EEF02D3" w:rsidRPr="3D2B25CB">
        <w:rPr>
          <w:rFonts w:cs="Calibri"/>
        </w:rPr>
        <w:t xml:space="preserve"> health inspections.  </w:t>
      </w:r>
      <w:r w:rsidR="42637BB4" w:rsidRPr="3D2B25CB">
        <w:rPr>
          <w:rFonts w:eastAsia="Calibri" w:cs="Calibri"/>
          <w:color w:val="000000" w:themeColor="text1"/>
        </w:rPr>
        <w:t>The State Plan exceeded its goal of 15 health inspections</w:t>
      </w:r>
      <w:r w:rsidR="00BB04C0">
        <w:rPr>
          <w:rFonts w:eastAsia="Calibri" w:cs="Calibri"/>
          <w:color w:val="000000" w:themeColor="text1"/>
        </w:rPr>
        <w:t xml:space="preserve"> although there was</w:t>
      </w:r>
      <w:r w:rsidR="4B7C75BC" w:rsidRPr="3D2B25CB">
        <w:rPr>
          <w:rFonts w:eastAsia="Calibri" w:cs="Calibri"/>
          <w:color w:val="000000" w:themeColor="text1"/>
        </w:rPr>
        <w:t xml:space="preserve"> only one health compliance officer position</w:t>
      </w:r>
      <w:r w:rsidR="000E4B7A">
        <w:rPr>
          <w:rFonts w:eastAsia="Calibri" w:cs="Calibri"/>
          <w:color w:val="000000" w:themeColor="text1"/>
        </w:rPr>
        <w:t xml:space="preserve"> filled</w:t>
      </w:r>
      <w:r w:rsidR="4B7C75BC" w:rsidRPr="3D2B25CB">
        <w:rPr>
          <w:rFonts w:eastAsia="Calibri" w:cs="Calibri"/>
          <w:color w:val="000000" w:themeColor="text1"/>
        </w:rPr>
        <w:t>.</w:t>
      </w:r>
      <w:r w:rsidR="42CF39D0" w:rsidRPr="3D2B25CB">
        <w:rPr>
          <w:rFonts w:eastAsia="Calibri" w:cs="Calibri"/>
          <w:color w:val="000000" w:themeColor="text1"/>
        </w:rPr>
        <w:t xml:space="preserve">  </w:t>
      </w:r>
      <w:r w:rsidR="00920B3E">
        <w:rPr>
          <w:rFonts w:eastAsia="Calibri" w:cs="Calibri"/>
          <w:color w:val="000000" w:themeColor="text1"/>
        </w:rPr>
        <w:t>However</w:t>
      </w:r>
      <w:r w:rsidR="42CF39D0" w:rsidRPr="3D2B25CB">
        <w:rPr>
          <w:rFonts w:eastAsia="Calibri" w:cs="Calibri"/>
          <w:color w:val="000000" w:themeColor="text1"/>
        </w:rPr>
        <w:t xml:space="preserve">, </w:t>
      </w:r>
      <w:r w:rsidR="3F332B26" w:rsidRPr="3D2B25CB">
        <w:rPr>
          <w:rFonts w:eastAsia="Calibri" w:cs="Calibri"/>
          <w:color w:val="000000" w:themeColor="text1"/>
        </w:rPr>
        <w:t>diminished availability of</w:t>
      </w:r>
      <w:r w:rsidR="42CF39D0" w:rsidRPr="3D2B25CB">
        <w:rPr>
          <w:rFonts w:eastAsia="Calibri" w:cs="Calibri"/>
          <w:color w:val="000000" w:themeColor="text1"/>
        </w:rPr>
        <w:t xml:space="preserve"> </w:t>
      </w:r>
      <w:r w:rsidR="18EE9460" w:rsidRPr="3D2B25CB">
        <w:rPr>
          <w:rFonts w:eastAsia="Calibri" w:cs="Calibri"/>
          <w:color w:val="000000" w:themeColor="text1"/>
        </w:rPr>
        <w:t xml:space="preserve">compliance personnel </w:t>
      </w:r>
      <w:r w:rsidR="58925E75" w:rsidRPr="3D2B25CB">
        <w:rPr>
          <w:rFonts w:eastAsia="Calibri" w:cs="Calibri"/>
          <w:color w:val="000000" w:themeColor="text1"/>
        </w:rPr>
        <w:t xml:space="preserve">impacted </w:t>
      </w:r>
      <w:r w:rsidR="18EE9460" w:rsidRPr="3D2B25CB">
        <w:rPr>
          <w:rFonts w:eastAsia="Calibri" w:cs="Calibri"/>
          <w:color w:val="000000" w:themeColor="text1"/>
        </w:rPr>
        <w:t>the State Plan</w:t>
      </w:r>
      <w:r w:rsidR="58925E75" w:rsidRPr="3D2B25CB">
        <w:rPr>
          <w:rFonts w:eastAsia="Calibri" w:cs="Calibri"/>
          <w:color w:val="000000" w:themeColor="text1"/>
        </w:rPr>
        <w:t xml:space="preserve">’s ability to reach its </w:t>
      </w:r>
      <w:r w:rsidR="18EE9460" w:rsidRPr="3D2B25CB">
        <w:rPr>
          <w:rFonts w:eastAsia="Calibri" w:cs="Calibri"/>
          <w:color w:val="000000" w:themeColor="text1"/>
        </w:rPr>
        <w:t>safety</w:t>
      </w:r>
      <w:r w:rsidR="58925E75" w:rsidRPr="3D2B25CB">
        <w:rPr>
          <w:rFonts w:eastAsia="Calibri" w:cs="Calibri"/>
          <w:color w:val="000000" w:themeColor="text1"/>
        </w:rPr>
        <w:t xml:space="preserve"> inspection goal of 1</w:t>
      </w:r>
      <w:r w:rsidR="353F12BD" w:rsidRPr="3D2B25CB">
        <w:rPr>
          <w:rFonts w:eastAsia="Calibri" w:cs="Calibri"/>
          <w:color w:val="000000" w:themeColor="text1"/>
        </w:rPr>
        <w:t>73</w:t>
      </w:r>
      <w:r w:rsidR="58925E75" w:rsidRPr="3D2B25CB">
        <w:rPr>
          <w:rFonts w:eastAsia="Calibri" w:cs="Calibri"/>
          <w:color w:val="000000" w:themeColor="text1"/>
        </w:rPr>
        <w:t xml:space="preserve"> inspections.  </w:t>
      </w:r>
      <w:r w:rsidR="009C2ECA">
        <w:rPr>
          <w:rFonts w:eastAsia="Calibri" w:cs="Calibri"/>
          <w:color w:val="000000" w:themeColor="text1"/>
        </w:rPr>
        <w:t xml:space="preserve"> In addition, </w:t>
      </w:r>
      <w:r w:rsidR="01430080" w:rsidRPr="3D2B25CB">
        <w:rPr>
          <w:rFonts w:eastAsia="Calibri" w:cs="Calibri"/>
          <w:color w:val="000000" w:themeColor="text1"/>
        </w:rPr>
        <w:t xml:space="preserve">Wyoming OSHA </w:t>
      </w:r>
      <w:r w:rsidR="790A6347" w:rsidRPr="3D2B25CB">
        <w:rPr>
          <w:rFonts w:eastAsia="Calibri" w:cs="Calibri"/>
        </w:rPr>
        <w:t xml:space="preserve">did not reach its goal of </w:t>
      </w:r>
      <w:r w:rsidR="01F72374" w:rsidRPr="3D2B25CB">
        <w:rPr>
          <w:rFonts w:eastAsia="Calibri" w:cs="Calibri"/>
        </w:rPr>
        <w:t>45</w:t>
      </w:r>
      <w:r w:rsidR="790A6347" w:rsidRPr="3D2B25CB">
        <w:rPr>
          <w:rFonts w:eastAsia="Calibri" w:cs="Calibri"/>
        </w:rPr>
        <w:t xml:space="preserve"> state and local government consultation visits, conducting </w:t>
      </w:r>
      <w:r w:rsidR="2D92A81E" w:rsidRPr="3D2B25CB">
        <w:rPr>
          <w:rFonts w:eastAsia="Calibri" w:cs="Calibri"/>
        </w:rPr>
        <w:t xml:space="preserve">visits at </w:t>
      </w:r>
      <w:r w:rsidR="790A6347" w:rsidRPr="3D2B25CB">
        <w:rPr>
          <w:rFonts w:eastAsia="Calibri" w:cs="Calibri"/>
        </w:rPr>
        <w:t xml:space="preserve">13 state and local government worksites.  </w:t>
      </w:r>
      <w:r w:rsidR="01430080" w:rsidRPr="3D2B25CB">
        <w:rPr>
          <w:rFonts w:eastAsia="Calibri" w:cs="Calibri"/>
          <w:color w:val="000000" w:themeColor="text1"/>
        </w:rPr>
        <w:t xml:space="preserve"> </w:t>
      </w:r>
      <w:r w:rsidR="7EEF02D3" w:rsidRPr="3D2B25CB">
        <w:rPr>
          <w:rFonts w:cs="Calibri"/>
        </w:rPr>
        <w:t xml:space="preserve">In total, </w:t>
      </w:r>
      <w:r w:rsidR="0EB7F2D8" w:rsidRPr="3D2B25CB">
        <w:rPr>
          <w:rFonts w:cs="Calibri"/>
        </w:rPr>
        <w:t>158</w:t>
      </w:r>
      <w:r w:rsidR="24B4C38F" w:rsidRPr="3D2B25CB">
        <w:rPr>
          <w:rFonts w:cs="Calibri"/>
        </w:rPr>
        <w:t xml:space="preserve"> </w:t>
      </w:r>
      <w:r w:rsidR="7EEF02D3" w:rsidRPr="3D2B25CB">
        <w:rPr>
          <w:rFonts w:cs="Calibri"/>
        </w:rPr>
        <w:t xml:space="preserve">compliance interventions, including </w:t>
      </w:r>
      <w:r w:rsidR="3B9FD49F" w:rsidRPr="3D2B25CB">
        <w:rPr>
          <w:rFonts w:cs="Calibri"/>
        </w:rPr>
        <w:t>96</w:t>
      </w:r>
      <w:r w:rsidR="7EEF02D3" w:rsidRPr="3D2B25CB">
        <w:rPr>
          <w:rFonts w:cs="Calibri"/>
        </w:rPr>
        <w:t xml:space="preserve"> inspections, 13 state and local government consultation visits, and </w:t>
      </w:r>
      <w:r w:rsidR="3AEB2D3C" w:rsidRPr="3D2B25CB">
        <w:rPr>
          <w:rFonts w:cs="Calibri"/>
        </w:rPr>
        <w:t>49</w:t>
      </w:r>
      <w:r w:rsidR="7EEF02D3" w:rsidRPr="3D2B25CB">
        <w:rPr>
          <w:rFonts w:cs="Calibri"/>
        </w:rPr>
        <w:t xml:space="preserve"> compliance assistance activities, took place during FY 202</w:t>
      </w:r>
      <w:r w:rsidR="3B9FD49F" w:rsidRPr="3D2B25CB">
        <w:rPr>
          <w:rFonts w:cs="Calibri"/>
        </w:rPr>
        <w:t>4</w:t>
      </w:r>
      <w:r w:rsidR="7EEF02D3" w:rsidRPr="3D2B25CB">
        <w:rPr>
          <w:rFonts w:cs="Calibri"/>
        </w:rPr>
        <w:t>.  These interventions identified and abated</w:t>
      </w:r>
      <w:r w:rsidR="7EEF02D3" w:rsidRPr="3D2B25CB">
        <w:rPr>
          <w:rFonts w:cs="Calibri"/>
          <w:color w:val="FF0000"/>
        </w:rPr>
        <w:t xml:space="preserve"> </w:t>
      </w:r>
      <w:r w:rsidR="4DBF9DEF" w:rsidRPr="3D2B25CB">
        <w:rPr>
          <w:rFonts w:cs="Calibri"/>
        </w:rPr>
        <w:t>15</w:t>
      </w:r>
      <w:r w:rsidR="2DA14A73" w:rsidRPr="3D2B25CB">
        <w:rPr>
          <w:rFonts w:cs="Calibri"/>
        </w:rPr>
        <w:t>4</w:t>
      </w:r>
      <w:r w:rsidR="7EEF02D3" w:rsidRPr="3D2B25CB">
        <w:rPr>
          <w:rFonts w:cs="Calibri"/>
        </w:rPr>
        <w:t xml:space="preserve"> hazards.  </w:t>
      </w:r>
    </w:p>
    <w:p w14:paraId="66D14956" w14:textId="77777777" w:rsidR="00DB0E10" w:rsidRDefault="00DB0E10" w:rsidP="00DB0E10">
      <w:pPr>
        <w:widowControl/>
        <w:autoSpaceDE/>
        <w:autoSpaceDN/>
        <w:adjustRightInd/>
        <w:contextualSpacing/>
        <w:rPr>
          <w:rFonts w:cs="Calibri"/>
          <w:iCs/>
        </w:rPr>
      </w:pPr>
    </w:p>
    <w:p w14:paraId="05F74AA0" w14:textId="4DCBE624" w:rsidR="00DB0E10" w:rsidRPr="00842BDC" w:rsidRDefault="00DB0E10" w:rsidP="00DB0E10">
      <w:pPr>
        <w:widowControl/>
        <w:autoSpaceDE/>
        <w:autoSpaceDN/>
        <w:adjustRightInd/>
        <w:contextualSpacing/>
        <w:rPr>
          <w:rFonts w:cs="Calibri"/>
          <w:iCs/>
        </w:rPr>
      </w:pPr>
      <w:r w:rsidRPr="00AE11C8">
        <w:rPr>
          <w:rFonts w:cs="Calibri"/>
          <w:iCs/>
        </w:rPr>
        <w:t>Wyoming OSHA</w:t>
      </w:r>
      <w:r w:rsidRPr="00842BDC">
        <w:rPr>
          <w:rFonts w:cs="Calibri"/>
          <w:iCs/>
        </w:rPr>
        <w:t xml:space="preserve"> historically has excelled with penalty retention.  </w:t>
      </w:r>
      <w:r w:rsidRPr="00AB40DA">
        <w:rPr>
          <w:rFonts w:cs="Calibri"/>
          <w:iCs/>
        </w:rPr>
        <w:t>For FY 202</w:t>
      </w:r>
      <w:r>
        <w:rPr>
          <w:rFonts w:cs="Calibri"/>
          <w:iCs/>
        </w:rPr>
        <w:t>4,</w:t>
      </w:r>
      <w:r w:rsidRPr="00AB40DA">
        <w:rPr>
          <w:rFonts w:cs="Calibri"/>
          <w:iCs/>
        </w:rPr>
        <w:t xml:space="preserve"> the </w:t>
      </w:r>
      <w:r w:rsidR="00920B3E">
        <w:rPr>
          <w:rFonts w:cs="Calibri"/>
          <w:iCs/>
        </w:rPr>
        <w:t>State Plan</w:t>
      </w:r>
      <w:r w:rsidRPr="00AB40DA">
        <w:rPr>
          <w:rFonts w:cs="Calibri"/>
          <w:iCs/>
        </w:rPr>
        <w:t xml:space="preserve"> </w:t>
      </w:r>
      <w:r w:rsidRPr="007D5735">
        <w:rPr>
          <w:rFonts w:cs="Calibri"/>
          <w:iCs/>
        </w:rPr>
        <w:t xml:space="preserve">retained </w:t>
      </w:r>
      <w:r w:rsidR="007D5735" w:rsidRPr="007D5735">
        <w:rPr>
          <w:rFonts w:cs="Calibri"/>
          <w:iCs/>
        </w:rPr>
        <w:t>90.15</w:t>
      </w:r>
      <w:r w:rsidRPr="007D5735">
        <w:rPr>
          <w:rFonts w:cs="Calibri"/>
          <w:iCs/>
        </w:rPr>
        <w:t xml:space="preserve">% </w:t>
      </w:r>
      <w:r w:rsidRPr="00842BDC">
        <w:rPr>
          <w:rFonts w:cs="Calibri"/>
          <w:iCs/>
        </w:rPr>
        <w:t xml:space="preserve">of the penalties assessed in citations issued.  </w:t>
      </w:r>
    </w:p>
    <w:p w14:paraId="7AF6A28E" w14:textId="77777777" w:rsidR="00DB0E10" w:rsidRPr="00842BDC" w:rsidRDefault="00DB0E10" w:rsidP="00DB0E10">
      <w:pPr>
        <w:widowControl/>
        <w:autoSpaceDE/>
        <w:autoSpaceDN/>
        <w:adjustRightInd/>
        <w:contextualSpacing/>
        <w:rPr>
          <w:rFonts w:cs="Calibri"/>
          <w:iCs/>
        </w:rPr>
      </w:pPr>
    </w:p>
    <w:p w14:paraId="62C717E5" w14:textId="6AA95AC0" w:rsidR="00DB0E10" w:rsidRDefault="002E3D2B" w:rsidP="00DB0E10">
      <w:pPr>
        <w:widowControl/>
        <w:autoSpaceDE/>
        <w:autoSpaceDN/>
        <w:adjustRightInd/>
        <w:contextualSpacing/>
        <w:rPr>
          <w:rFonts w:cs="Calibri"/>
          <w:iCs/>
        </w:rPr>
      </w:pPr>
      <w:r>
        <w:rPr>
          <w:rFonts w:cs="Calibri"/>
          <w:iCs/>
        </w:rPr>
        <w:t>Wyoming OSHA</w:t>
      </w:r>
      <w:r w:rsidR="00DB0E10" w:rsidRPr="007D5735">
        <w:rPr>
          <w:rFonts w:cs="Calibri"/>
          <w:iCs/>
        </w:rPr>
        <w:t xml:space="preserve"> ha</w:t>
      </w:r>
      <w:r w:rsidR="00666378">
        <w:rPr>
          <w:rFonts w:cs="Calibri"/>
          <w:iCs/>
        </w:rPr>
        <w:t>d</w:t>
      </w:r>
      <w:r w:rsidR="00DB0E10" w:rsidRPr="007D5735">
        <w:rPr>
          <w:rFonts w:cs="Calibri"/>
          <w:iCs/>
        </w:rPr>
        <w:t xml:space="preserve"> two safety-related </w:t>
      </w:r>
      <w:r w:rsidR="00290DE1">
        <w:rPr>
          <w:rFonts w:cs="Calibri"/>
          <w:iCs/>
        </w:rPr>
        <w:t>local emphasis program</w:t>
      </w:r>
      <w:r w:rsidR="00DB0E10" w:rsidRPr="007D5735">
        <w:rPr>
          <w:rFonts w:cs="Calibri"/>
          <w:iCs/>
        </w:rPr>
        <w:t>s which address</w:t>
      </w:r>
      <w:r w:rsidR="004B4972">
        <w:rPr>
          <w:rFonts w:cs="Calibri"/>
          <w:iCs/>
        </w:rPr>
        <w:t>ed</w:t>
      </w:r>
      <w:r w:rsidR="00DB0E10" w:rsidRPr="007D5735">
        <w:rPr>
          <w:rFonts w:cs="Calibri"/>
          <w:iCs/>
        </w:rPr>
        <w:t xml:space="preserve"> construction hazards and oil and gas drilling and servicing </w:t>
      </w:r>
      <w:r w:rsidR="00DB0E10" w:rsidRPr="00787953">
        <w:rPr>
          <w:rFonts w:cs="Calibri"/>
          <w:iCs/>
        </w:rPr>
        <w:t xml:space="preserve">hazards.  Programmed safety inspections accounted for </w:t>
      </w:r>
      <w:r w:rsidR="00787953" w:rsidRPr="00787953">
        <w:rPr>
          <w:rFonts w:cs="Calibri"/>
          <w:iCs/>
        </w:rPr>
        <w:t>15.19</w:t>
      </w:r>
      <w:r w:rsidR="00DB0E10" w:rsidRPr="00787953">
        <w:rPr>
          <w:rFonts w:cs="Calibri"/>
          <w:iCs/>
        </w:rPr>
        <w:t>% of safety inspection activity during FY 202</w:t>
      </w:r>
      <w:r w:rsidR="00787953" w:rsidRPr="00787953">
        <w:rPr>
          <w:rFonts w:cs="Calibri"/>
          <w:iCs/>
        </w:rPr>
        <w:t>4</w:t>
      </w:r>
      <w:r w:rsidR="00DB0E10" w:rsidRPr="00787953">
        <w:rPr>
          <w:rFonts w:cs="Calibri"/>
          <w:iCs/>
        </w:rPr>
        <w:t xml:space="preserve">.  Programmed health inspections </w:t>
      </w:r>
      <w:r w:rsidR="00DB0E10" w:rsidRPr="00787953">
        <w:rPr>
          <w:rFonts w:cs="Calibri"/>
          <w:iCs/>
        </w:rPr>
        <w:lastRenderedPageBreak/>
        <w:t xml:space="preserve">accounted for </w:t>
      </w:r>
      <w:r w:rsidR="00E95972">
        <w:rPr>
          <w:rFonts w:cs="Calibri"/>
          <w:iCs/>
        </w:rPr>
        <w:t>three of the seventeen (</w:t>
      </w:r>
      <w:r w:rsidR="00FB2350" w:rsidRPr="00787953">
        <w:rPr>
          <w:rFonts w:cs="Calibri"/>
          <w:iCs/>
        </w:rPr>
        <w:t>17.65</w:t>
      </w:r>
      <w:r w:rsidR="00DB0E10" w:rsidRPr="00787953">
        <w:rPr>
          <w:rFonts w:cs="Calibri"/>
          <w:iCs/>
        </w:rPr>
        <w:t>%</w:t>
      </w:r>
      <w:r w:rsidR="00E95972">
        <w:rPr>
          <w:rFonts w:cs="Calibri"/>
          <w:iCs/>
        </w:rPr>
        <w:t>)</w:t>
      </w:r>
      <w:r w:rsidR="00DB0E10" w:rsidRPr="00787953">
        <w:rPr>
          <w:rFonts w:cs="Calibri"/>
          <w:iCs/>
        </w:rPr>
        <w:t xml:space="preserve"> </w:t>
      </w:r>
      <w:r w:rsidR="00DB0E10" w:rsidRPr="00382B04">
        <w:rPr>
          <w:rFonts w:cs="Calibri"/>
          <w:iCs/>
        </w:rPr>
        <w:t>health inspections in FY 202</w:t>
      </w:r>
      <w:r w:rsidR="00787953" w:rsidRPr="00382B04">
        <w:rPr>
          <w:rFonts w:cs="Calibri"/>
          <w:iCs/>
        </w:rPr>
        <w:t>4</w:t>
      </w:r>
      <w:r w:rsidR="00045124" w:rsidRPr="00382B04">
        <w:rPr>
          <w:rFonts w:cs="Calibri"/>
          <w:iCs/>
        </w:rPr>
        <w:t>.  Th</w:t>
      </w:r>
      <w:r w:rsidR="00E95972">
        <w:rPr>
          <w:rFonts w:cs="Calibri"/>
          <w:iCs/>
        </w:rPr>
        <w:t>e th</w:t>
      </w:r>
      <w:r w:rsidR="00045124" w:rsidRPr="00382B04">
        <w:rPr>
          <w:rFonts w:cs="Calibri"/>
          <w:iCs/>
        </w:rPr>
        <w:t xml:space="preserve">ree </w:t>
      </w:r>
      <w:r w:rsidR="00E95972">
        <w:rPr>
          <w:rFonts w:cs="Calibri"/>
          <w:iCs/>
        </w:rPr>
        <w:t>program</w:t>
      </w:r>
      <w:r w:rsidR="00CC5846">
        <w:rPr>
          <w:rFonts w:cs="Calibri"/>
          <w:iCs/>
        </w:rPr>
        <w:t xml:space="preserve">med </w:t>
      </w:r>
      <w:r w:rsidR="00045124" w:rsidRPr="00382B04">
        <w:rPr>
          <w:rFonts w:cs="Calibri"/>
          <w:iCs/>
        </w:rPr>
        <w:t xml:space="preserve">health inspections </w:t>
      </w:r>
      <w:r w:rsidR="00666378">
        <w:rPr>
          <w:rFonts w:cs="Calibri"/>
          <w:iCs/>
        </w:rPr>
        <w:t>resulted from</w:t>
      </w:r>
      <w:r w:rsidR="00045124" w:rsidRPr="00382B04">
        <w:rPr>
          <w:rFonts w:cs="Calibri"/>
          <w:iCs/>
        </w:rPr>
        <w:t xml:space="preserve"> the State Plan’s emphasis program on respirable crystalline silica.</w:t>
      </w:r>
    </w:p>
    <w:p w14:paraId="7FA11BF6" w14:textId="77777777" w:rsidR="00D4258B" w:rsidRDefault="00D4258B" w:rsidP="00DB0E10">
      <w:pPr>
        <w:widowControl/>
        <w:autoSpaceDE/>
        <w:autoSpaceDN/>
        <w:adjustRightInd/>
        <w:contextualSpacing/>
        <w:rPr>
          <w:rFonts w:cs="Calibri"/>
          <w:iCs/>
        </w:rPr>
      </w:pPr>
    </w:p>
    <w:p w14:paraId="76F6B2ED" w14:textId="471F8C05" w:rsidR="00DC6559" w:rsidRPr="00962A0E" w:rsidRDefault="002247B1" w:rsidP="00962A0E">
      <w:pPr>
        <w:widowControl/>
        <w:rPr>
          <w:rFonts w:eastAsia="Calibri" w:cs="Calibri"/>
          <w:color w:val="FF0000"/>
        </w:rPr>
      </w:pPr>
      <w:r>
        <w:rPr>
          <w:rFonts w:eastAsia="Calibri" w:cs="Calibri"/>
        </w:rPr>
        <w:t>Wyoming OSHA</w:t>
      </w:r>
      <w:r w:rsidR="00D4258B" w:rsidRPr="00F74FD6">
        <w:rPr>
          <w:rFonts w:eastAsia="Calibri" w:cs="Calibri"/>
        </w:rPr>
        <w:t xml:space="preserve"> obtained abatement</w:t>
      </w:r>
      <w:r w:rsidR="00CB2CD3">
        <w:rPr>
          <w:rFonts w:eastAsia="Calibri" w:cs="Calibri"/>
        </w:rPr>
        <w:t xml:space="preserve"> in a timely manner</w:t>
      </w:r>
      <w:r w:rsidR="004552AE">
        <w:rPr>
          <w:rFonts w:eastAsia="Calibri" w:cs="Calibri"/>
        </w:rPr>
        <w:t>, which led to</w:t>
      </w:r>
      <w:r w:rsidR="00D4258B" w:rsidRPr="00F74FD6">
        <w:rPr>
          <w:rFonts w:eastAsia="Calibri" w:cs="Calibri"/>
        </w:rPr>
        <w:t xml:space="preserve"> prompt closure of health inspections.  At the end of the fiscal year, there </w:t>
      </w:r>
      <w:r w:rsidR="00D4258B" w:rsidRPr="009F289D">
        <w:rPr>
          <w:rFonts w:eastAsia="Calibri" w:cs="Calibri"/>
        </w:rPr>
        <w:t>were no</w:t>
      </w:r>
      <w:r w:rsidR="00D4258B" w:rsidRPr="00F74FD6">
        <w:rPr>
          <w:rFonts w:eastAsia="Calibri" w:cs="Calibri"/>
        </w:rPr>
        <w:t xml:space="preserve"> health inspection</w:t>
      </w:r>
      <w:r w:rsidR="00D4258B" w:rsidRPr="009F289D">
        <w:rPr>
          <w:rFonts w:eastAsia="Calibri" w:cs="Calibri"/>
        </w:rPr>
        <w:t>s</w:t>
      </w:r>
      <w:r w:rsidR="00D4258B" w:rsidRPr="00F74FD6">
        <w:rPr>
          <w:rFonts w:eastAsia="Calibri" w:cs="Calibri"/>
        </w:rPr>
        <w:t xml:space="preserve"> </w:t>
      </w:r>
      <w:r w:rsidR="00666378">
        <w:rPr>
          <w:rFonts w:eastAsia="Calibri" w:cs="Calibri"/>
        </w:rPr>
        <w:t>with pending</w:t>
      </w:r>
      <w:r w:rsidR="00D4258B" w:rsidRPr="00F74FD6">
        <w:rPr>
          <w:rFonts w:eastAsia="Calibri" w:cs="Calibri"/>
        </w:rPr>
        <w:t xml:space="preserve"> abatement </w:t>
      </w:r>
      <w:r w:rsidR="003714A8">
        <w:rPr>
          <w:rFonts w:eastAsia="Calibri" w:cs="Calibri"/>
        </w:rPr>
        <w:t xml:space="preserve">for violations </w:t>
      </w:r>
      <w:r w:rsidR="00D4258B" w:rsidRPr="00F74FD6">
        <w:rPr>
          <w:rFonts w:eastAsia="Calibri" w:cs="Calibri"/>
        </w:rPr>
        <w:t>within 90 days of issuance</w:t>
      </w:r>
      <w:r w:rsidR="003714A8">
        <w:rPr>
          <w:rFonts w:eastAsia="Calibri" w:cs="Calibri"/>
        </w:rPr>
        <w:t xml:space="preserve"> of </w:t>
      </w:r>
      <w:r w:rsidR="000B258D">
        <w:rPr>
          <w:rFonts w:eastAsia="Calibri" w:cs="Calibri"/>
        </w:rPr>
        <w:t xml:space="preserve">a </w:t>
      </w:r>
      <w:r w:rsidR="003714A8">
        <w:rPr>
          <w:rFonts w:eastAsia="Calibri" w:cs="Calibri"/>
        </w:rPr>
        <w:t>citation</w:t>
      </w:r>
      <w:r w:rsidR="00D4258B" w:rsidRPr="009F289D">
        <w:rPr>
          <w:rFonts w:eastAsia="Calibri" w:cs="Calibri"/>
        </w:rPr>
        <w:t>.</w:t>
      </w:r>
      <w:r w:rsidR="00D4258B" w:rsidRPr="00F74FD6">
        <w:rPr>
          <w:rFonts w:eastAsia="Calibri" w:cs="Calibri"/>
        </w:rPr>
        <w:t xml:space="preserve">  Abatement was obtained promptly for most safety </w:t>
      </w:r>
      <w:r w:rsidR="00226544">
        <w:rPr>
          <w:rFonts w:eastAsia="Calibri" w:cs="Calibri"/>
        </w:rPr>
        <w:t>violations</w:t>
      </w:r>
      <w:r w:rsidR="00226544" w:rsidRPr="00F74FD6">
        <w:rPr>
          <w:rFonts w:eastAsia="Calibri" w:cs="Calibri"/>
        </w:rPr>
        <w:t xml:space="preserve"> </w:t>
      </w:r>
      <w:r w:rsidR="00D4258B" w:rsidRPr="00F74FD6">
        <w:rPr>
          <w:rFonts w:eastAsia="Calibri" w:cs="Calibri"/>
        </w:rPr>
        <w:t xml:space="preserve">by the end of </w:t>
      </w:r>
      <w:r w:rsidR="00D4258B" w:rsidRPr="004859D1">
        <w:rPr>
          <w:rFonts w:eastAsia="Calibri" w:cs="Calibri"/>
        </w:rPr>
        <w:t xml:space="preserve">the fiscal year, with only </w:t>
      </w:r>
      <w:r w:rsidR="00CF76BD" w:rsidRPr="004859D1">
        <w:rPr>
          <w:rFonts w:eastAsia="Calibri" w:cs="Calibri"/>
        </w:rPr>
        <w:t>five</w:t>
      </w:r>
      <w:r w:rsidR="00D4258B" w:rsidRPr="004859D1">
        <w:rPr>
          <w:rFonts w:eastAsia="Calibri" w:cs="Calibri"/>
        </w:rPr>
        <w:t xml:space="preserve"> inspections awaiting abatement for violations issued in FY 2024.</w:t>
      </w:r>
      <w:r w:rsidR="006F3548" w:rsidRPr="004859D1">
        <w:rPr>
          <w:rFonts w:eastAsia="Calibri" w:cs="Calibri"/>
        </w:rPr>
        <w:t xml:space="preserve">  </w:t>
      </w:r>
      <w:r w:rsidR="002E3D2B">
        <w:rPr>
          <w:rFonts w:eastAsia="Calibri" w:cs="Calibri"/>
        </w:rPr>
        <w:t>Wyoming OSHA</w:t>
      </w:r>
      <w:r w:rsidR="001E4163" w:rsidRPr="004859D1">
        <w:rPr>
          <w:rFonts w:eastAsia="Calibri" w:cs="Calibri"/>
        </w:rPr>
        <w:t xml:space="preserve"> had </w:t>
      </w:r>
      <w:r w:rsidR="003F5495">
        <w:rPr>
          <w:rFonts w:eastAsia="Calibri" w:cs="Calibri"/>
        </w:rPr>
        <w:t>nine</w:t>
      </w:r>
      <w:r w:rsidR="001E4163" w:rsidRPr="004859D1">
        <w:rPr>
          <w:rFonts w:eastAsia="Calibri" w:cs="Calibri"/>
        </w:rPr>
        <w:t xml:space="preserve"> complaint investigations that had been open for </w:t>
      </w:r>
      <w:r w:rsidR="00425585">
        <w:rPr>
          <w:rFonts w:eastAsia="Calibri" w:cs="Calibri"/>
        </w:rPr>
        <w:t xml:space="preserve">more than </w:t>
      </w:r>
      <w:r w:rsidR="003F5495">
        <w:rPr>
          <w:rFonts w:eastAsia="Calibri" w:cs="Calibri"/>
        </w:rPr>
        <w:t xml:space="preserve">30 </w:t>
      </w:r>
      <w:r w:rsidR="00425585">
        <w:rPr>
          <w:rFonts w:eastAsia="Calibri" w:cs="Calibri"/>
        </w:rPr>
        <w:t>days</w:t>
      </w:r>
      <w:r w:rsidR="00920B3E">
        <w:rPr>
          <w:rFonts w:eastAsia="Calibri" w:cs="Calibri"/>
        </w:rPr>
        <w:t xml:space="preserve"> at the end of FY 2024</w:t>
      </w:r>
      <w:r w:rsidR="001E4163" w:rsidRPr="004859D1">
        <w:rPr>
          <w:rFonts w:eastAsia="Calibri" w:cs="Calibri"/>
        </w:rPr>
        <w:t xml:space="preserve">.  </w:t>
      </w:r>
    </w:p>
    <w:p w14:paraId="07E4A0DB" w14:textId="77777777" w:rsidR="00783189" w:rsidRDefault="00783189" w:rsidP="00783189">
      <w:pPr>
        <w:widowControl/>
        <w:autoSpaceDE/>
        <w:autoSpaceDN/>
        <w:adjustRightInd/>
        <w:contextualSpacing/>
        <w:rPr>
          <w:rFonts w:cs="Calibri"/>
          <w:b/>
        </w:rPr>
      </w:pPr>
    </w:p>
    <w:p w14:paraId="3E407F81" w14:textId="77777777" w:rsidR="00AA63AE" w:rsidRPr="001C1E47" w:rsidRDefault="00AA63AE" w:rsidP="00783189">
      <w:pPr>
        <w:widowControl/>
        <w:autoSpaceDE/>
        <w:autoSpaceDN/>
        <w:adjustRightInd/>
        <w:contextualSpacing/>
        <w:rPr>
          <w:rFonts w:cs="Calibri"/>
          <w:b/>
        </w:rPr>
      </w:pPr>
    </w:p>
    <w:p w14:paraId="79C16822" w14:textId="77777777" w:rsidR="001B04E9" w:rsidRPr="001C1E47" w:rsidRDefault="001B04E9" w:rsidP="001B04E9">
      <w:pPr>
        <w:widowControl/>
        <w:autoSpaceDE/>
        <w:autoSpaceDN/>
        <w:adjustRightInd/>
        <w:contextualSpacing/>
        <w:rPr>
          <w:rFonts w:cs="Calibri"/>
          <w:b/>
        </w:rPr>
      </w:pPr>
      <w:r w:rsidRPr="001C1E47">
        <w:rPr>
          <w:rFonts w:cs="Calibri"/>
          <w:b/>
        </w:rPr>
        <w:t>New Issues</w:t>
      </w:r>
    </w:p>
    <w:p w14:paraId="0BC4EB92" w14:textId="77777777" w:rsidR="001B04E9" w:rsidRPr="001C1E47" w:rsidRDefault="001B04E9" w:rsidP="001B04E9">
      <w:pPr>
        <w:ind w:left="720"/>
        <w:contextualSpacing/>
        <w:rPr>
          <w:rFonts w:cs="Calibri"/>
          <w:sz w:val="28"/>
          <w:szCs w:val="28"/>
        </w:rPr>
      </w:pPr>
    </w:p>
    <w:p w14:paraId="1C8E0666" w14:textId="77777777" w:rsidR="001B04E9" w:rsidRPr="007145DC" w:rsidRDefault="001B04E9" w:rsidP="001B04E9">
      <w:pPr>
        <w:contextualSpacing/>
        <w:rPr>
          <w:rFonts w:cs="Calibri"/>
          <w:iCs/>
        </w:rPr>
      </w:pPr>
      <w:r w:rsidRPr="007145DC">
        <w:rPr>
          <w:rFonts w:cs="Calibri"/>
          <w:iCs/>
        </w:rPr>
        <w:t>None.</w:t>
      </w:r>
    </w:p>
    <w:p w14:paraId="4D45CF2E" w14:textId="77777777" w:rsidR="00780E29" w:rsidRDefault="00780E29" w:rsidP="00783189">
      <w:pPr>
        <w:widowControl/>
        <w:autoSpaceDE/>
        <w:autoSpaceDN/>
        <w:adjustRightInd/>
        <w:rPr>
          <w:rFonts w:cs="Calibri"/>
          <w:iCs/>
        </w:rPr>
      </w:pPr>
    </w:p>
    <w:p w14:paraId="7458896A" w14:textId="77777777" w:rsidR="00150AB3" w:rsidRPr="00AB16D9" w:rsidRDefault="00150AB3" w:rsidP="00783189">
      <w:pPr>
        <w:widowControl/>
        <w:autoSpaceDE/>
        <w:autoSpaceDN/>
        <w:adjustRightInd/>
        <w:rPr>
          <w:rFonts w:cs="Calibri"/>
          <w:iCs/>
        </w:rPr>
      </w:pPr>
    </w:p>
    <w:p w14:paraId="0A29FCDE" w14:textId="40051B71" w:rsidR="00054900" w:rsidRPr="00476C08" w:rsidRDefault="00054900" w:rsidP="00BC54A4">
      <w:pPr>
        <w:pStyle w:val="Heading2"/>
      </w:pPr>
      <w:bookmarkStart w:id="9" w:name="_Toc118900172"/>
      <w:bookmarkStart w:id="10" w:name="_Toc118905011"/>
      <w:bookmarkStart w:id="11" w:name="_Toc119418665"/>
      <w:r w:rsidRPr="00476C08">
        <w:t xml:space="preserve">Assessment of State Plan </w:t>
      </w:r>
      <w:r w:rsidR="001E2FBB" w:rsidRPr="00476C08">
        <w:t xml:space="preserve">Progress and </w:t>
      </w:r>
      <w:r w:rsidRPr="00476C08">
        <w:t>Performance</w:t>
      </w:r>
      <w:bookmarkEnd w:id="9"/>
      <w:bookmarkEnd w:id="10"/>
      <w:bookmarkEnd w:id="11"/>
    </w:p>
    <w:p w14:paraId="07D68C5F" w14:textId="77777777" w:rsidR="00054900" w:rsidRPr="001C1E47" w:rsidRDefault="00054900" w:rsidP="00783189">
      <w:pPr>
        <w:widowControl/>
        <w:autoSpaceDE/>
        <w:autoSpaceDN/>
        <w:adjustRightInd/>
        <w:rPr>
          <w:rFonts w:cs="Calibri"/>
        </w:rPr>
      </w:pPr>
    </w:p>
    <w:p w14:paraId="4CD3C312" w14:textId="77777777" w:rsidR="000A134A" w:rsidRPr="00C53328" w:rsidRDefault="000A134A" w:rsidP="006A2768">
      <w:pPr>
        <w:pStyle w:val="Heading3"/>
      </w:pPr>
      <w:bookmarkStart w:id="12" w:name="_Toc118900173"/>
      <w:bookmarkStart w:id="13" w:name="_Toc118905012"/>
      <w:bookmarkStart w:id="14" w:name="_Toc119418666"/>
      <w:r w:rsidRPr="00C53328">
        <w:t>Data and Methodology</w:t>
      </w:r>
      <w:bookmarkEnd w:id="12"/>
      <w:bookmarkEnd w:id="13"/>
      <w:bookmarkEnd w:id="14"/>
    </w:p>
    <w:p w14:paraId="72EF69F8" w14:textId="77777777" w:rsidR="000A134A" w:rsidRPr="001C1E47" w:rsidRDefault="000A134A" w:rsidP="00783189">
      <w:pPr>
        <w:widowControl/>
        <w:autoSpaceDE/>
        <w:autoSpaceDN/>
        <w:adjustRightInd/>
        <w:ind w:left="1440"/>
        <w:rPr>
          <w:rFonts w:cs="Calibri"/>
          <w:bCs/>
        </w:rPr>
      </w:pPr>
    </w:p>
    <w:p w14:paraId="54D3DBBC" w14:textId="77777777" w:rsidR="007A3385" w:rsidRPr="007A3385" w:rsidRDefault="007A3385" w:rsidP="007A3385">
      <w:pPr>
        <w:widowControl/>
        <w:autoSpaceDE/>
        <w:autoSpaceDN/>
        <w:adjustRightInd/>
        <w:rPr>
          <w:rFonts w:cs="Calibri"/>
          <w:bCs/>
          <w:iCs/>
        </w:rPr>
      </w:pPr>
      <w:r w:rsidRPr="007A3385">
        <w:rPr>
          <w:rFonts w:cs="Calibri"/>
          <w:bCs/>
          <w:iCs/>
        </w:rPr>
        <w:t>OSHA has established a two-year cycle for the FAME process.  This is the follow-up year, and as such, OSHA did not perform an on-site case file review associated with a comprehensive FAME.  This strategy allows the State Plan to focus on correcting deficiencies identified in the most recent comprehensive FAME.  The analyses and conclusions described in this report are based on information obtained from a variety of monitoring sources, including:</w:t>
      </w:r>
    </w:p>
    <w:p w14:paraId="5EA1A88A" w14:textId="77777777" w:rsidR="007A3385" w:rsidRPr="004A0BF5" w:rsidRDefault="007A3385" w:rsidP="007A3385">
      <w:pPr>
        <w:widowControl/>
        <w:autoSpaceDE/>
        <w:autoSpaceDN/>
        <w:adjustRightInd/>
        <w:rPr>
          <w:rFonts w:cs="Calibri"/>
          <w:bCs/>
          <w:iCs/>
        </w:rPr>
      </w:pPr>
    </w:p>
    <w:p w14:paraId="7ACBAFE3" w14:textId="77777777" w:rsidR="007A3385" w:rsidRPr="004A0BF5" w:rsidRDefault="007A3385" w:rsidP="007A3385">
      <w:pPr>
        <w:pStyle w:val="ListParagraph"/>
        <w:numPr>
          <w:ilvl w:val="0"/>
          <w:numId w:val="13"/>
        </w:numPr>
        <w:rPr>
          <w:bCs/>
          <w:iCs/>
          <w:sz w:val="24"/>
          <w:szCs w:val="24"/>
        </w:rPr>
      </w:pPr>
      <w:r w:rsidRPr="004A0BF5">
        <w:rPr>
          <w:bCs/>
          <w:iCs/>
          <w:sz w:val="24"/>
          <w:szCs w:val="24"/>
        </w:rPr>
        <w:t xml:space="preserve">State Activity Mandated Measures (SAMM) Report </w:t>
      </w:r>
    </w:p>
    <w:p w14:paraId="73279E09" w14:textId="1783A7CC" w:rsidR="007A3385" w:rsidRPr="004A0BF5" w:rsidRDefault="007A3385" w:rsidP="007A3385">
      <w:pPr>
        <w:pStyle w:val="ListParagraph"/>
        <w:numPr>
          <w:ilvl w:val="0"/>
          <w:numId w:val="13"/>
        </w:numPr>
        <w:rPr>
          <w:bCs/>
          <w:iCs/>
          <w:sz w:val="24"/>
          <w:szCs w:val="24"/>
        </w:rPr>
      </w:pPr>
      <w:r w:rsidRPr="004A0BF5">
        <w:rPr>
          <w:bCs/>
          <w:iCs/>
          <w:sz w:val="24"/>
          <w:szCs w:val="24"/>
        </w:rPr>
        <w:t xml:space="preserve">State Information Report </w:t>
      </w:r>
    </w:p>
    <w:p w14:paraId="51E6A1CD" w14:textId="40D58126" w:rsidR="007A3385" w:rsidRPr="004A0BF5" w:rsidRDefault="007A3385" w:rsidP="007A3385">
      <w:pPr>
        <w:pStyle w:val="ListParagraph"/>
        <w:numPr>
          <w:ilvl w:val="0"/>
          <w:numId w:val="13"/>
        </w:numPr>
        <w:rPr>
          <w:bCs/>
          <w:iCs/>
          <w:sz w:val="24"/>
          <w:szCs w:val="24"/>
        </w:rPr>
      </w:pPr>
      <w:r w:rsidRPr="004A0BF5">
        <w:rPr>
          <w:bCs/>
          <w:iCs/>
          <w:sz w:val="24"/>
          <w:szCs w:val="24"/>
        </w:rPr>
        <w:t xml:space="preserve">Mandated Activities Report for Consultation </w:t>
      </w:r>
    </w:p>
    <w:p w14:paraId="17DA09EB" w14:textId="72AED752" w:rsidR="007A3385" w:rsidRPr="004A0BF5" w:rsidRDefault="007A3385" w:rsidP="007A3385">
      <w:pPr>
        <w:pStyle w:val="ListParagraph"/>
        <w:numPr>
          <w:ilvl w:val="0"/>
          <w:numId w:val="13"/>
        </w:numPr>
        <w:rPr>
          <w:bCs/>
          <w:iCs/>
          <w:sz w:val="24"/>
          <w:szCs w:val="24"/>
        </w:rPr>
      </w:pPr>
      <w:r w:rsidRPr="004A0BF5">
        <w:rPr>
          <w:bCs/>
          <w:iCs/>
          <w:sz w:val="24"/>
          <w:szCs w:val="24"/>
        </w:rPr>
        <w:t xml:space="preserve">State OSHA Annual Report </w:t>
      </w:r>
    </w:p>
    <w:p w14:paraId="22BB4B0C" w14:textId="0A83EF87" w:rsidR="007A3385" w:rsidRPr="004A0BF5" w:rsidRDefault="007A3385" w:rsidP="007A3385">
      <w:pPr>
        <w:pStyle w:val="ListParagraph"/>
        <w:numPr>
          <w:ilvl w:val="0"/>
          <w:numId w:val="13"/>
        </w:numPr>
        <w:rPr>
          <w:bCs/>
          <w:iCs/>
          <w:sz w:val="24"/>
          <w:szCs w:val="24"/>
        </w:rPr>
      </w:pPr>
      <w:r w:rsidRPr="004A0BF5">
        <w:rPr>
          <w:bCs/>
          <w:iCs/>
          <w:sz w:val="24"/>
          <w:szCs w:val="24"/>
        </w:rPr>
        <w:t xml:space="preserve">State Plan Annual Performance Plan </w:t>
      </w:r>
    </w:p>
    <w:p w14:paraId="063ADA90" w14:textId="77777777" w:rsidR="007A3385" w:rsidRPr="004A0BF5" w:rsidRDefault="007A3385" w:rsidP="007A3385">
      <w:pPr>
        <w:pStyle w:val="ListParagraph"/>
        <w:numPr>
          <w:ilvl w:val="0"/>
          <w:numId w:val="13"/>
        </w:numPr>
        <w:rPr>
          <w:bCs/>
          <w:iCs/>
          <w:sz w:val="24"/>
          <w:szCs w:val="24"/>
        </w:rPr>
      </w:pPr>
      <w:r w:rsidRPr="004A0BF5">
        <w:rPr>
          <w:bCs/>
          <w:iCs/>
          <w:sz w:val="24"/>
          <w:szCs w:val="24"/>
        </w:rPr>
        <w:t xml:space="preserve">State Plan Grant Application </w:t>
      </w:r>
    </w:p>
    <w:p w14:paraId="1ADF7991" w14:textId="77777777" w:rsidR="007A3385" w:rsidRPr="004A0BF5" w:rsidRDefault="007A3385" w:rsidP="007A3385">
      <w:pPr>
        <w:pStyle w:val="ListParagraph"/>
        <w:numPr>
          <w:ilvl w:val="0"/>
          <w:numId w:val="13"/>
        </w:numPr>
        <w:rPr>
          <w:bCs/>
          <w:iCs/>
          <w:sz w:val="24"/>
          <w:szCs w:val="24"/>
        </w:rPr>
      </w:pPr>
      <w:r w:rsidRPr="004A0BF5">
        <w:rPr>
          <w:bCs/>
          <w:iCs/>
          <w:sz w:val="24"/>
          <w:szCs w:val="24"/>
        </w:rPr>
        <w:t>Quarterly monitoring meetings between OSHA and the State Plan</w:t>
      </w:r>
    </w:p>
    <w:p w14:paraId="350BF10B" w14:textId="697E0542" w:rsidR="00766682" w:rsidRPr="004A0BF5" w:rsidRDefault="007A3385" w:rsidP="00766682">
      <w:pPr>
        <w:pStyle w:val="ListParagraph"/>
        <w:numPr>
          <w:ilvl w:val="0"/>
          <w:numId w:val="13"/>
        </w:numPr>
        <w:rPr>
          <w:bCs/>
          <w:iCs/>
          <w:sz w:val="24"/>
          <w:szCs w:val="24"/>
        </w:rPr>
      </w:pPr>
      <w:r w:rsidRPr="004A0BF5">
        <w:rPr>
          <w:bCs/>
          <w:iCs/>
          <w:sz w:val="24"/>
          <w:szCs w:val="24"/>
        </w:rPr>
        <w:t>OSHA Information System (OIS)</w:t>
      </w:r>
    </w:p>
    <w:p w14:paraId="605A9ECA" w14:textId="77777777" w:rsidR="00096432" w:rsidRDefault="00096432" w:rsidP="00096432">
      <w:pPr>
        <w:pStyle w:val="ListParagraph"/>
        <w:rPr>
          <w:bCs/>
          <w:iCs/>
          <w:sz w:val="24"/>
          <w:szCs w:val="24"/>
        </w:rPr>
      </w:pPr>
    </w:p>
    <w:p w14:paraId="7A1F0E90" w14:textId="77777777" w:rsidR="00AA63AE" w:rsidRDefault="00AA63AE" w:rsidP="00096432">
      <w:pPr>
        <w:pStyle w:val="ListParagraph"/>
        <w:rPr>
          <w:bCs/>
          <w:iCs/>
          <w:sz w:val="24"/>
          <w:szCs w:val="24"/>
        </w:rPr>
      </w:pPr>
    </w:p>
    <w:p w14:paraId="5888F0E8" w14:textId="77777777" w:rsidR="00AA63AE" w:rsidRDefault="00AA63AE" w:rsidP="00096432">
      <w:pPr>
        <w:pStyle w:val="ListParagraph"/>
        <w:rPr>
          <w:bCs/>
          <w:iCs/>
          <w:sz w:val="24"/>
          <w:szCs w:val="24"/>
        </w:rPr>
      </w:pPr>
    </w:p>
    <w:p w14:paraId="4C6C18B6" w14:textId="77777777" w:rsidR="00AA63AE" w:rsidRPr="004A0BF5" w:rsidRDefault="00AA63AE" w:rsidP="00096432">
      <w:pPr>
        <w:pStyle w:val="ListParagraph"/>
        <w:rPr>
          <w:bCs/>
          <w:iCs/>
          <w:sz w:val="24"/>
          <w:szCs w:val="24"/>
        </w:rPr>
      </w:pPr>
    </w:p>
    <w:p w14:paraId="51B991F5" w14:textId="607F78CB" w:rsidR="000A134A" w:rsidRPr="00640FCD" w:rsidRDefault="000A134A" w:rsidP="00640FCD">
      <w:pPr>
        <w:pStyle w:val="Heading3"/>
      </w:pPr>
      <w:bookmarkStart w:id="15" w:name="_Toc118900174"/>
      <w:bookmarkStart w:id="16" w:name="_Toc118905013"/>
      <w:bookmarkStart w:id="17" w:name="_Toc119418667"/>
      <w:r w:rsidRPr="001C1E47">
        <w:lastRenderedPageBreak/>
        <w:t>Findings and Observations</w:t>
      </w:r>
      <w:bookmarkEnd w:id="15"/>
      <w:bookmarkEnd w:id="16"/>
      <w:bookmarkEnd w:id="17"/>
    </w:p>
    <w:p w14:paraId="5A952A6F" w14:textId="77777777" w:rsidR="001E2FBB" w:rsidRPr="00583DD4" w:rsidRDefault="001E2FBB" w:rsidP="00783189">
      <w:pPr>
        <w:widowControl/>
        <w:autoSpaceDE/>
        <w:autoSpaceDN/>
        <w:adjustRightInd/>
        <w:jc w:val="center"/>
        <w:rPr>
          <w:rFonts w:cs="Calibri"/>
          <w:iCs/>
          <w:highlight w:val="cyan"/>
        </w:rPr>
      </w:pPr>
    </w:p>
    <w:p w14:paraId="2789CCA0" w14:textId="77777777" w:rsidR="00E71FB7" w:rsidRPr="001C1E47" w:rsidRDefault="00E71FB7" w:rsidP="00765361">
      <w:pPr>
        <w:pStyle w:val="Heading4"/>
        <w:rPr>
          <w:highlight w:val="yellow"/>
        </w:rPr>
      </w:pPr>
      <w:bookmarkStart w:id="18" w:name="_Toc118900175"/>
      <w:bookmarkStart w:id="19" w:name="_Toc118905014"/>
      <w:r w:rsidRPr="001C1E47">
        <w:t>Findings</w:t>
      </w:r>
      <w:r w:rsidR="00443054" w:rsidRPr="001C1E47">
        <w:t xml:space="preserve"> (Status of Previous and New Items)</w:t>
      </w:r>
      <w:bookmarkEnd w:id="18"/>
      <w:bookmarkEnd w:id="19"/>
    </w:p>
    <w:p w14:paraId="6C7BE9F8" w14:textId="77777777" w:rsidR="00E71FB7" w:rsidRPr="001C1E47" w:rsidRDefault="00E71FB7" w:rsidP="00783189">
      <w:pPr>
        <w:widowControl/>
        <w:autoSpaceDE/>
        <w:autoSpaceDN/>
        <w:adjustRightInd/>
        <w:rPr>
          <w:rFonts w:cs="Calibri"/>
          <w:highlight w:val="yellow"/>
          <w:u w:val="single"/>
        </w:rPr>
      </w:pPr>
    </w:p>
    <w:p w14:paraId="56ED02B6" w14:textId="13FDD986" w:rsidR="00D036BA" w:rsidRPr="00982885" w:rsidRDefault="00D036BA" w:rsidP="00D036BA">
      <w:pPr>
        <w:widowControl/>
        <w:rPr>
          <w:rFonts w:eastAsia="Calibri" w:cs="Calibri"/>
        </w:rPr>
      </w:pPr>
      <w:r w:rsidRPr="00982885">
        <w:rPr>
          <w:rFonts w:eastAsia="Calibri" w:cs="Calibri"/>
        </w:rPr>
        <w:t xml:space="preserve">The State Plan made progress </w:t>
      </w:r>
      <w:r w:rsidRPr="00BA1DE4">
        <w:rPr>
          <w:rFonts w:eastAsia="Calibri" w:cs="Calibri"/>
        </w:rPr>
        <w:t xml:space="preserve">addressing the previous two findings and five observations from </w:t>
      </w:r>
      <w:r w:rsidRPr="00982885">
        <w:rPr>
          <w:rFonts w:eastAsia="Calibri" w:cs="Calibri"/>
        </w:rPr>
        <w:t>the FY 202</w:t>
      </w:r>
      <w:r>
        <w:rPr>
          <w:rFonts w:eastAsia="Calibri" w:cs="Calibri"/>
        </w:rPr>
        <w:t>3</w:t>
      </w:r>
      <w:r w:rsidRPr="00982885">
        <w:rPr>
          <w:rFonts w:eastAsia="Calibri" w:cs="Calibri"/>
        </w:rPr>
        <w:t xml:space="preserve"> Comprehensive FAME Report.  </w:t>
      </w:r>
      <w:r w:rsidR="009D391E">
        <w:rPr>
          <w:rFonts w:eastAsia="Calibri" w:cs="Calibri"/>
        </w:rPr>
        <w:t xml:space="preserve">One finding was completed.  </w:t>
      </w:r>
      <w:r w:rsidR="009C2ECA">
        <w:rPr>
          <w:rFonts w:eastAsia="Calibri" w:cs="Calibri"/>
        </w:rPr>
        <w:t>F</w:t>
      </w:r>
      <w:r w:rsidRPr="00660101">
        <w:rPr>
          <w:rFonts w:eastAsia="Calibri" w:cs="Calibri"/>
        </w:rPr>
        <w:t xml:space="preserve">ive observations were </w:t>
      </w:r>
      <w:r w:rsidR="009D391E" w:rsidRPr="00660101">
        <w:rPr>
          <w:rFonts w:eastAsia="Calibri" w:cs="Calibri"/>
        </w:rPr>
        <w:t>continued,</w:t>
      </w:r>
      <w:r w:rsidR="009C2ECA">
        <w:rPr>
          <w:rFonts w:eastAsia="Calibri" w:cs="Calibri"/>
        </w:rPr>
        <w:t xml:space="preserve"> and o</w:t>
      </w:r>
      <w:r w:rsidR="009F7CDE">
        <w:rPr>
          <w:rFonts w:eastAsia="Calibri" w:cs="Calibri"/>
        </w:rPr>
        <w:t>ne</w:t>
      </w:r>
      <w:r w:rsidR="009F7CDE" w:rsidRPr="00660101">
        <w:rPr>
          <w:rFonts w:eastAsia="Calibri" w:cs="Calibri"/>
        </w:rPr>
        <w:t xml:space="preserve"> </w:t>
      </w:r>
      <w:r w:rsidRPr="00660101">
        <w:rPr>
          <w:rFonts w:eastAsia="Calibri" w:cs="Calibri"/>
        </w:rPr>
        <w:t xml:space="preserve">new observation </w:t>
      </w:r>
      <w:r w:rsidR="009F7CDE" w:rsidRPr="00660101">
        <w:rPr>
          <w:rFonts w:eastAsia="Calibri" w:cs="Calibri"/>
        </w:rPr>
        <w:t>w</w:t>
      </w:r>
      <w:r w:rsidR="009F7CDE">
        <w:rPr>
          <w:rFonts w:eastAsia="Calibri" w:cs="Calibri"/>
        </w:rPr>
        <w:t>as</w:t>
      </w:r>
      <w:r w:rsidR="009F7CDE" w:rsidRPr="00660101">
        <w:rPr>
          <w:rFonts w:eastAsia="Calibri" w:cs="Calibri"/>
        </w:rPr>
        <w:t xml:space="preserve"> </w:t>
      </w:r>
      <w:r w:rsidRPr="00660101">
        <w:rPr>
          <w:rFonts w:eastAsia="Calibri" w:cs="Calibri"/>
        </w:rPr>
        <w:t xml:space="preserve">added.  </w:t>
      </w:r>
      <w:r w:rsidRPr="00982885">
        <w:rPr>
          <w:rFonts w:eastAsia="Calibri" w:cs="Calibri"/>
        </w:rPr>
        <w:t>Appendix A describes new and continued findings and recommendations.  Appendix B describes observations subject to continued monitoring and the related federal monitoring plans.  Appendix C describes the status of each FY 202</w:t>
      </w:r>
      <w:r>
        <w:rPr>
          <w:rFonts w:eastAsia="Calibri" w:cs="Calibri"/>
        </w:rPr>
        <w:t>3</w:t>
      </w:r>
      <w:r w:rsidRPr="00982885">
        <w:rPr>
          <w:rFonts w:eastAsia="Calibri" w:cs="Calibri"/>
        </w:rPr>
        <w:t xml:space="preserve"> finding and recommendation in detail.</w:t>
      </w:r>
    </w:p>
    <w:p w14:paraId="699539B4" w14:textId="77777777" w:rsidR="004E505A" w:rsidRPr="001C1E47" w:rsidRDefault="004E505A" w:rsidP="00783189">
      <w:pPr>
        <w:widowControl/>
        <w:autoSpaceDE/>
        <w:autoSpaceDN/>
        <w:adjustRightInd/>
        <w:rPr>
          <w:rFonts w:cs="Calibri"/>
          <w:highlight w:val="yellow"/>
        </w:rPr>
      </w:pPr>
    </w:p>
    <w:p w14:paraId="1CD392F2" w14:textId="52CD2791" w:rsidR="005C1BFC" w:rsidRPr="0061362E" w:rsidRDefault="00733D36" w:rsidP="00783189">
      <w:pPr>
        <w:widowControl/>
        <w:autoSpaceDE/>
        <w:autoSpaceDN/>
        <w:adjustRightInd/>
        <w:rPr>
          <w:rFonts w:cs="Calibri"/>
          <w:b/>
          <w:bCs/>
        </w:rPr>
      </w:pPr>
      <w:r w:rsidRPr="0061362E">
        <w:rPr>
          <w:rFonts w:cs="Calibri"/>
          <w:b/>
          <w:bCs/>
        </w:rPr>
        <w:t xml:space="preserve">Completed </w:t>
      </w:r>
      <w:r w:rsidR="007C0A36" w:rsidRPr="0061362E">
        <w:rPr>
          <w:rFonts w:cs="Calibri"/>
          <w:b/>
          <w:bCs/>
        </w:rPr>
        <w:t>Finding</w:t>
      </w:r>
    </w:p>
    <w:p w14:paraId="7BB91E9C" w14:textId="77777777" w:rsidR="007C0A36" w:rsidRPr="001C1E47" w:rsidRDefault="007C0A36" w:rsidP="00783189">
      <w:pPr>
        <w:widowControl/>
        <w:autoSpaceDE/>
        <w:autoSpaceDN/>
        <w:adjustRightInd/>
        <w:rPr>
          <w:rFonts w:cs="Calibri"/>
          <w:highlight w:val="yellow"/>
          <w:u w:val="single"/>
        </w:rPr>
      </w:pPr>
    </w:p>
    <w:p w14:paraId="750D1F62" w14:textId="5F978BF5" w:rsidR="004327D3" w:rsidRPr="001C1E47" w:rsidRDefault="004327D3" w:rsidP="004327D3">
      <w:pPr>
        <w:widowControl/>
        <w:autoSpaceDE/>
        <w:autoSpaceDN/>
        <w:adjustRightInd/>
        <w:rPr>
          <w:rFonts w:cs="Calibri"/>
        </w:rPr>
      </w:pPr>
      <w:r w:rsidRPr="001C1E47">
        <w:rPr>
          <w:rFonts w:cs="Calibri"/>
          <w:b/>
        </w:rPr>
        <w:t>Finding FY 20</w:t>
      </w:r>
      <w:r>
        <w:rPr>
          <w:rFonts w:cs="Calibri"/>
          <w:b/>
        </w:rPr>
        <w:t>23</w:t>
      </w:r>
      <w:r w:rsidRPr="001C1E47">
        <w:rPr>
          <w:rFonts w:cs="Calibri"/>
          <w:b/>
        </w:rPr>
        <w:t>-</w:t>
      </w:r>
      <w:r>
        <w:rPr>
          <w:rFonts w:cs="Calibri"/>
          <w:b/>
        </w:rPr>
        <w:t>01</w:t>
      </w:r>
      <w:r w:rsidRPr="001C1E47">
        <w:rPr>
          <w:rFonts w:cs="Calibri"/>
          <w:b/>
        </w:rPr>
        <w:t>:</w:t>
      </w:r>
      <w:r w:rsidRPr="001C1E47">
        <w:rPr>
          <w:rFonts w:cs="Calibri"/>
        </w:rPr>
        <w:t xml:space="preserve"> </w:t>
      </w:r>
      <w:r w:rsidRPr="004327D3">
        <w:rPr>
          <w:rFonts w:cs="Calibri"/>
        </w:rPr>
        <w:t xml:space="preserve">In FY 2023, Wyoming OSHA’s safety inspection in-compliance percentage of 69.09% significantly exceeded the </w:t>
      </w:r>
      <w:r w:rsidR="008D78EB">
        <w:rPr>
          <w:rFonts w:cs="Calibri"/>
        </w:rPr>
        <w:t>f</w:t>
      </w:r>
      <w:r w:rsidR="00977D91">
        <w:rPr>
          <w:rFonts w:cs="Calibri"/>
        </w:rPr>
        <w:t xml:space="preserve">urther </w:t>
      </w:r>
      <w:r w:rsidR="008D78EB">
        <w:rPr>
          <w:rFonts w:cs="Calibri"/>
        </w:rPr>
        <w:t>r</w:t>
      </w:r>
      <w:r w:rsidR="00977D91">
        <w:rPr>
          <w:rFonts w:cs="Calibri"/>
        </w:rPr>
        <w:t xml:space="preserve">eview </w:t>
      </w:r>
      <w:r w:rsidR="008D78EB">
        <w:rPr>
          <w:rFonts w:cs="Calibri"/>
        </w:rPr>
        <w:t>l</w:t>
      </w:r>
      <w:r w:rsidR="00977D91">
        <w:rPr>
          <w:rFonts w:cs="Calibri"/>
        </w:rPr>
        <w:t>evel (</w:t>
      </w:r>
      <w:r w:rsidRPr="004327D3">
        <w:rPr>
          <w:rFonts w:cs="Calibri"/>
        </w:rPr>
        <w:t>FRL</w:t>
      </w:r>
      <w:r w:rsidR="00977D91">
        <w:rPr>
          <w:rFonts w:cs="Calibri"/>
        </w:rPr>
        <w:t>)</w:t>
      </w:r>
      <w:r w:rsidRPr="004327D3">
        <w:rPr>
          <w:rFonts w:cs="Calibri"/>
        </w:rPr>
        <w:t xml:space="preserve"> range of 25.38% to 38.08%.   </w:t>
      </w:r>
    </w:p>
    <w:p w14:paraId="1379E6E5" w14:textId="77777777" w:rsidR="004327D3" w:rsidRPr="001C1E47" w:rsidRDefault="004327D3" w:rsidP="004327D3">
      <w:pPr>
        <w:widowControl/>
        <w:autoSpaceDE/>
        <w:autoSpaceDN/>
        <w:adjustRightInd/>
        <w:rPr>
          <w:rFonts w:cs="Calibri"/>
        </w:rPr>
      </w:pPr>
    </w:p>
    <w:p w14:paraId="469B8F12" w14:textId="0A1CB7D4" w:rsidR="004327D3" w:rsidRPr="001C1E47" w:rsidRDefault="004327D3" w:rsidP="004327D3">
      <w:pPr>
        <w:widowControl/>
        <w:autoSpaceDE/>
        <w:autoSpaceDN/>
        <w:adjustRightInd/>
        <w:rPr>
          <w:rFonts w:cs="Calibri"/>
        </w:rPr>
      </w:pPr>
      <w:r w:rsidRPr="001C1E47">
        <w:rPr>
          <w:rFonts w:cs="Calibri"/>
          <w:b/>
        </w:rPr>
        <w:t>Status:</w:t>
      </w:r>
      <w:r w:rsidR="007641F6">
        <w:rPr>
          <w:rFonts w:cs="Calibri"/>
        </w:rPr>
        <w:t xml:space="preserve"> </w:t>
      </w:r>
      <w:r w:rsidR="009B6330">
        <w:rPr>
          <w:rFonts w:cs="Calibri"/>
        </w:rPr>
        <w:t xml:space="preserve">During FY 2024, </w:t>
      </w:r>
      <w:r w:rsidR="007641F6" w:rsidRPr="007641F6">
        <w:rPr>
          <w:rFonts w:cs="Calibri"/>
        </w:rPr>
        <w:t xml:space="preserve">Wyoming OSHA analyzed </w:t>
      </w:r>
      <w:r w:rsidR="006D75A7">
        <w:rPr>
          <w:rFonts w:cs="Calibri"/>
        </w:rPr>
        <w:t>its</w:t>
      </w:r>
      <w:r w:rsidR="007641F6" w:rsidRPr="007641F6">
        <w:rPr>
          <w:rFonts w:cs="Calibri"/>
        </w:rPr>
        <w:t xml:space="preserve"> safety inspection data and found that a </w:t>
      </w:r>
      <w:r w:rsidR="00403130">
        <w:rPr>
          <w:rFonts w:cs="Calibri"/>
        </w:rPr>
        <w:t>significant number of</w:t>
      </w:r>
      <w:r w:rsidR="007641F6" w:rsidRPr="007641F6">
        <w:rPr>
          <w:rFonts w:cs="Calibri"/>
        </w:rPr>
        <w:t xml:space="preserve"> in</w:t>
      </w:r>
      <w:r w:rsidR="002B5461">
        <w:rPr>
          <w:rFonts w:cs="Calibri"/>
        </w:rPr>
        <w:t>-</w:t>
      </w:r>
      <w:r w:rsidR="007641F6" w:rsidRPr="007641F6">
        <w:rPr>
          <w:rFonts w:cs="Calibri"/>
        </w:rPr>
        <w:t xml:space="preserve">compliance </w:t>
      </w:r>
      <w:r w:rsidR="00403130">
        <w:rPr>
          <w:rFonts w:cs="Calibri"/>
        </w:rPr>
        <w:t xml:space="preserve">inspections occurred </w:t>
      </w:r>
      <w:r w:rsidR="003B6911">
        <w:rPr>
          <w:rFonts w:cs="Calibri"/>
        </w:rPr>
        <w:t>from</w:t>
      </w:r>
      <w:r w:rsidR="007641F6" w:rsidRPr="007641F6">
        <w:rPr>
          <w:rFonts w:cs="Calibri"/>
        </w:rPr>
        <w:t xml:space="preserve"> multi-employer worksite inspections.  </w:t>
      </w:r>
      <w:r w:rsidR="00685976">
        <w:rPr>
          <w:rFonts w:cs="Calibri"/>
        </w:rPr>
        <w:t>Previous</w:t>
      </w:r>
      <w:r w:rsidR="008E778B">
        <w:rPr>
          <w:rFonts w:cs="Calibri"/>
        </w:rPr>
        <w:t>ly</w:t>
      </w:r>
      <w:r w:rsidR="008D78EB">
        <w:rPr>
          <w:rFonts w:cs="Calibri"/>
        </w:rPr>
        <w:t>,</w:t>
      </w:r>
      <w:r w:rsidR="008E778B">
        <w:rPr>
          <w:rFonts w:cs="Calibri"/>
        </w:rPr>
        <w:t xml:space="preserve"> a</w:t>
      </w:r>
      <w:r w:rsidR="00685976">
        <w:rPr>
          <w:rFonts w:cs="Calibri"/>
        </w:rPr>
        <w:t xml:space="preserve"> </w:t>
      </w:r>
      <w:r w:rsidR="00115C5A">
        <w:rPr>
          <w:rFonts w:cs="Calibri"/>
        </w:rPr>
        <w:t xml:space="preserve">common </w:t>
      </w:r>
      <w:r w:rsidR="00685976">
        <w:rPr>
          <w:rFonts w:cs="Calibri"/>
        </w:rPr>
        <w:t xml:space="preserve">practice by CSHOs </w:t>
      </w:r>
      <w:r w:rsidR="00C6288A">
        <w:rPr>
          <w:rFonts w:cs="Calibri"/>
        </w:rPr>
        <w:t>was</w:t>
      </w:r>
      <w:r w:rsidR="00685976">
        <w:rPr>
          <w:rFonts w:cs="Calibri"/>
        </w:rPr>
        <w:t xml:space="preserve"> to </w:t>
      </w:r>
      <w:r w:rsidR="00136EAC">
        <w:rPr>
          <w:rFonts w:cs="Calibri"/>
        </w:rPr>
        <w:t>open inspection</w:t>
      </w:r>
      <w:r w:rsidR="007665BC">
        <w:rPr>
          <w:rFonts w:cs="Calibri"/>
        </w:rPr>
        <w:t>s</w:t>
      </w:r>
      <w:r w:rsidR="00136EAC">
        <w:rPr>
          <w:rFonts w:cs="Calibri"/>
        </w:rPr>
        <w:t xml:space="preserve"> with </w:t>
      </w:r>
      <w:r w:rsidR="007665BC">
        <w:rPr>
          <w:rFonts w:cs="Calibri"/>
        </w:rPr>
        <w:t>multiple</w:t>
      </w:r>
      <w:r w:rsidR="00575B41">
        <w:rPr>
          <w:rFonts w:cs="Calibri"/>
        </w:rPr>
        <w:t xml:space="preserve"> employer</w:t>
      </w:r>
      <w:r w:rsidR="007665BC">
        <w:rPr>
          <w:rFonts w:cs="Calibri"/>
        </w:rPr>
        <w:t>s</w:t>
      </w:r>
      <w:r w:rsidR="0046375F">
        <w:rPr>
          <w:rFonts w:cs="Calibri"/>
        </w:rPr>
        <w:t xml:space="preserve"> present</w:t>
      </w:r>
      <w:r w:rsidR="00575B41">
        <w:rPr>
          <w:rFonts w:cs="Calibri"/>
        </w:rPr>
        <w:t xml:space="preserve"> at multi-employer worksites regardless of whether a complaint or referral allegation involved each employer or </w:t>
      </w:r>
      <w:r w:rsidR="00606345">
        <w:rPr>
          <w:rFonts w:cs="Calibri"/>
        </w:rPr>
        <w:t xml:space="preserve">whether </w:t>
      </w:r>
      <w:r w:rsidR="00115C5A">
        <w:rPr>
          <w:rFonts w:cs="Calibri"/>
        </w:rPr>
        <w:t xml:space="preserve">hazards were observed involving each employer.  </w:t>
      </w:r>
      <w:r w:rsidR="00F21D3D">
        <w:rPr>
          <w:rFonts w:cs="Calibri"/>
        </w:rPr>
        <w:t xml:space="preserve">During FY 2024, </w:t>
      </w:r>
      <w:r w:rsidR="00E820C2">
        <w:rPr>
          <w:rFonts w:cs="Calibri"/>
        </w:rPr>
        <w:t>Wyoming OSHA</w:t>
      </w:r>
      <w:r w:rsidR="007641F6" w:rsidRPr="007641F6">
        <w:rPr>
          <w:rFonts w:cs="Calibri"/>
        </w:rPr>
        <w:t xml:space="preserve"> retrained CSHOs on effective hazard recognition during programmed and unprogrammed inspections.  </w:t>
      </w:r>
      <w:r w:rsidR="007641F6">
        <w:rPr>
          <w:rFonts w:cs="Calibri"/>
        </w:rPr>
        <w:t xml:space="preserve">The State Plan </w:t>
      </w:r>
      <w:r w:rsidR="00115206">
        <w:rPr>
          <w:rFonts w:cs="Calibri"/>
        </w:rPr>
        <w:t xml:space="preserve">assigned </w:t>
      </w:r>
      <w:r w:rsidR="007641F6" w:rsidRPr="007641F6">
        <w:rPr>
          <w:rFonts w:cs="Calibri"/>
        </w:rPr>
        <w:t xml:space="preserve">management </w:t>
      </w:r>
      <w:r w:rsidR="00115206">
        <w:rPr>
          <w:rFonts w:cs="Calibri"/>
        </w:rPr>
        <w:t xml:space="preserve">to review case files to </w:t>
      </w:r>
      <w:r w:rsidR="007641F6" w:rsidRPr="007641F6">
        <w:rPr>
          <w:rFonts w:cs="Calibri"/>
        </w:rPr>
        <w:t>ensure that hazard recognition during multi-employer worksite inspections remain</w:t>
      </w:r>
      <w:r w:rsidR="00115206">
        <w:rPr>
          <w:rFonts w:cs="Calibri"/>
        </w:rPr>
        <w:t>ed</w:t>
      </w:r>
      <w:r w:rsidR="007641F6" w:rsidRPr="007641F6">
        <w:rPr>
          <w:rFonts w:cs="Calibri"/>
        </w:rPr>
        <w:t xml:space="preserve"> effective</w:t>
      </w:r>
      <w:bookmarkStart w:id="20" w:name="_Hlk188016287"/>
      <w:r w:rsidR="007641F6" w:rsidRPr="007641F6">
        <w:rPr>
          <w:rFonts w:cs="Calibri"/>
        </w:rPr>
        <w:t xml:space="preserve">. </w:t>
      </w:r>
      <w:r w:rsidR="00C30834">
        <w:rPr>
          <w:rFonts w:cs="Calibri"/>
        </w:rPr>
        <w:t xml:space="preserve"> </w:t>
      </w:r>
      <w:bookmarkStart w:id="21" w:name="_Hlk188016353"/>
      <w:bookmarkEnd w:id="20"/>
      <w:r w:rsidR="00E820C2">
        <w:rPr>
          <w:rFonts w:cs="Calibri"/>
        </w:rPr>
        <w:t>Wyoming OSHA’s</w:t>
      </w:r>
      <w:r w:rsidR="00C30834">
        <w:rPr>
          <w:rFonts w:cs="Calibri"/>
        </w:rPr>
        <w:t xml:space="preserve"> </w:t>
      </w:r>
      <w:r w:rsidR="00384E5B">
        <w:rPr>
          <w:rFonts w:cs="Calibri"/>
        </w:rPr>
        <w:t>safety inspection in-compliance percentage for FY 2024 was 39.39%</w:t>
      </w:r>
      <w:r w:rsidR="008D78EB">
        <w:rPr>
          <w:rFonts w:cs="Calibri"/>
        </w:rPr>
        <w:t>, so the State Plan met the</w:t>
      </w:r>
      <w:r w:rsidR="00384E5B">
        <w:rPr>
          <w:rFonts w:cs="Calibri"/>
        </w:rPr>
        <w:t xml:space="preserve"> FRL </w:t>
      </w:r>
      <w:r w:rsidR="000254CD">
        <w:rPr>
          <w:rFonts w:cs="Calibri"/>
        </w:rPr>
        <w:t xml:space="preserve">range </w:t>
      </w:r>
      <w:r w:rsidR="008D78EB">
        <w:rPr>
          <w:rFonts w:cs="Calibri"/>
        </w:rPr>
        <w:t>of</w:t>
      </w:r>
      <w:r w:rsidR="00384E5B">
        <w:rPr>
          <w:rFonts w:cs="Calibri"/>
        </w:rPr>
        <w:t xml:space="preserve"> </w:t>
      </w:r>
      <w:bookmarkEnd w:id="21"/>
      <w:r w:rsidR="00384E5B" w:rsidRPr="00384E5B">
        <w:rPr>
          <w:rFonts w:cs="Calibri"/>
        </w:rPr>
        <w:t>26.27% to 39.40%</w:t>
      </w:r>
      <w:r w:rsidR="00384E5B">
        <w:rPr>
          <w:rFonts w:cs="Calibri"/>
        </w:rPr>
        <w:t xml:space="preserve">.  </w:t>
      </w:r>
      <w:r w:rsidR="00270B07">
        <w:rPr>
          <w:rFonts w:cs="Calibri"/>
        </w:rPr>
        <w:t>Additionally, t</w:t>
      </w:r>
      <w:r w:rsidR="00EE3801">
        <w:rPr>
          <w:rFonts w:cs="Calibri"/>
        </w:rPr>
        <w:t xml:space="preserve">he State Plan’s in-compliance percentage </w:t>
      </w:r>
      <w:r w:rsidR="00E779EA">
        <w:rPr>
          <w:rFonts w:cs="Calibri"/>
        </w:rPr>
        <w:t xml:space="preserve">for FY 2024 was approximately thirty percent </w:t>
      </w:r>
      <w:r w:rsidR="00A74318">
        <w:rPr>
          <w:rFonts w:cs="Calibri"/>
        </w:rPr>
        <w:t>lower</w:t>
      </w:r>
      <w:r w:rsidR="003055E1">
        <w:rPr>
          <w:rFonts w:cs="Calibri"/>
        </w:rPr>
        <w:t xml:space="preserve"> than</w:t>
      </w:r>
      <w:r w:rsidR="00E779EA">
        <w:rPr>
          <w:rFonts w:cs="Calibri"/>
        </w:rPr>
        <w:t xml:space="preserve"> the percentage </w:t>
      </w:r>
      <w:r w:rsidR="003055E1">
        <w:rPr>
          <w:rFonts w:cs="Calibri"/>
        </w:rPr>
        <w:t xml:space="preserve">for </w:t>
      </w:r>
      <w:r w:rsidR="00E779EA">
        <w:rPr>
          <w:rFonts w:cs="Calibri"/>
        </w:rPr>
        <w:t xml:space="preserve">FY 2023.  </w:t>
      </w:r>
      <w:r w:rsidRPr="001C1E47">
        <w:rPr>
          <w:rFonts w:cs="Calibri"/>
        </w:rPr>
        <w:t xml:space="preserve">This item is completed.  </w:t>
      </w:r>
    </w:p>
    <w:p w14:paraId="6975C73F" w14:textId="77777777" w:rsidR="00733729" w:rsidRPr="001C1E47" w:rsidRDefault="00733729" w:rsidP="00783189">
      <w:pPr>
        <w:widowControl/>
        <w:autoSpaceDE/>
        <w:autoSpaceDN/>
        <w:adjustRightInd/>
        <w:rPr>
          <w:rFonts w:cs="Calibri"/>
          <w:u w:val="single"/>
        </w:rPr>
      </w:pPr>
    </w:p>
    <w:p w14:paraId="66699C18" w14:textId="5AE45EBE" w:rsidR="00A33959" w:rsidRPr="0061362E" w:rsidRDefault="00785B2E" w:rsidP="00783189">
      <w:pPr>
        <w:widowControl/>
        <w:autoSpaceDE/>
        <w:autoSpaceDN/>
        <w:adjustRightInd/>
        <w:rPr>
          <w:rFonts w:cs="Calibri"/>
          <w:b/>
          <w:bCs/>
          <w:i/>
        </w:rPr>
      </w:pPr>
      <w:r w:rsidRPr="0061362E">
        <w:rPr>
          <w:rFonts w:cs="Calibri"/>
          <w:b/>
          <w:bCs/>
        </w:rPr>
        <w:t xml:space="preserve">Continued </w:t>
      </w:r>
      <w:r w:rsidR="007C0A36" w:rsidRPr="0061362E">
        <w:rPr>
          <w:rFonts w:cs="Calibri"/>
          <w:b/>
          <w:bCs/>
        </w:rPr>
        <w:t>Finding</w:t>
      </w:r>
      <w:r w:rsidR="00391D6F" w:rsidRPr="0061362E">
        <w:rPr>
          <w:rFonts w:cs="Calibri"/>
          <w:b/>
          <w:bCs/>
        </w:rPr>
        <w:t xml:space="preserve"> </w:t>
      </w:r>
    </w:p>
    <w:p w14:paraId="6BE9DE34" w14:textId="77777777" w:rsidR="007C0A36" w:rsidRPr="001C1E47" w:rsidRDefault="007C0A36" w:rsidP="00783189">
      <w:pPr>
        <w:widowControl/>
        <w:autoSpaceDE/>
        <w:autoSpaceDN/>
        <w:adjustRightInd/>
        <w:rPr>
          <w:rFonts w:cs="Calibri"/>
          <w:bCs/>
          <w:i/>
          <w:sz w:val="22"/>
          <w:u w:val="single"/>
        </w:rPr>
      </w:pPr>
    </w:p>
    <w:p w14:paraId="05FE6C14" w14:textId="09BAF3AE" w:rsidR="007C0A36" w:rsidRPr="00246B96" w:rsidRDefault="000003C7" w:rsidP="00783189">
      <w:pPr>
        <w:widowControl/>
        <w:autoSpaceDE/>
        <w:autoSpaceDN/>
        <w:adjustRightInd/>
        <w:rPr>
          <w:rFonts w:cs="Calibri"/>
        </w:rPr>
      </w:pPr>
      <w:r w:rsidRPr="00246B96">
        <w:rPr>
          <w:rFonts w:cs="Calibri"/>
          <w:b/>
        </w:rPr>
        <w:t xml:space="preserve">Finding </w:t>
      </w:r>
      <w:r w:rsidR="00D40933">
        <w:rPr>
          <w:rFonts w:cs="Calibri"/>
          <w:b/>
        </w:rPr>
        <w:t xml:space="preserve">FY </w:t>
      </w:r>
      <w:r w:rsidR="003B5F39">
        <w:rPr>
          <w:rFonts w:cs="Calibri"/>
          <w:b/>
        </w:rPr>
        <w:t xml:space="preserve">2024-01 (previously </w:t>
      </w:r>
      <w:r w:rsidR="00D40933">
        <w:rPr>
          <w:rFonts w:cs="Calibri"/>
          <w:b/>
        </w:rPr>
        <w:t xml:space="preserve">FY </w:t>
      </w:r>
      <w:r w:rsidRPr="00246B96">
        <w:rPr>
          <w:rFonts w:cs="Calibri"/>
          <w:b/>
        </w:rPr>
        <w:t>20</w:t>
      </w:r>
      <w:r w:rsidR="00725A8B" w:rsidRPr="00246B96">
        <w:rPr>
          <w:rFonts w:cs="Calibri"/>
          <w:b/>
        </w:rPr>
        <w:t>23</w:t>
      </w:r>
      <w:r w:rsidR="007C0A36" w:rsidRPr="00246B96">
        <w:rPr>
          <w:rFonts w:cs="Calibri"/>
          <w:b/>
        </w:rPr>
        <w:t>-0</w:t>
      </w:r>
      <w:r w:rsidR="00725A8B" w:rsidRPr="00246B96">
        <w:rPr>
          <w:rFonts w:cs="Calibri"/>
          <w:b/>
        </w:rPr>
        <w:t>2</w:t>
      </w:r>
      <w:r w:rsidR="004A20C4">
        <w:rPr>
          <w:rFonts w:cs="Calibri"/>
          <w:b/>
        </w:rPr>
        <w:t>)</w:t>
      </w:r>
      <w:r w:rsidR="007C0A36" w:rsidRPr="00246B96">
        <w:rPr>
          <w:rFonts w:cs="Calibri"/>
          <w:b/>
        </w:rPr>
        <w:t xml:space="preserve">: </w:t>
      </w:r>
      <w:r w:rsidR="00246B96" w:rsidRPr="00246B96">
        <w:rPr>
          <w:rFonts w:cs="Calibri"/>
        </w:rPr>
        <w:t>In FY 202</w:t>
      </w:r>
      <w:r w:rsidR="008A7E52">
        <w:rPr>
          <w:rFonts w:cs="Calibri"/>
        </w:rPr>
        <w:t>4</w:t>
      </w:r>
      <w:r w:rsidR="00246B96" w:rsidRPr="00246B96">
        <w:rPr>
          <w:rFonts w:cs="Calibri"/>
        </w:rPr>
        <w:t xml:space="preserve">, Wyoming OSHA’s health inspection in-compliance percentage of </w:t>
      </w:r>
      <w:r w:rsidR="00E3034D">
        <w:rPr>
          <w:rFonts w:cs="Calibri"/>
        </w:rPr>
        <w:t>81.25</w:t>
      </w:r>
      <w:r w:rsidR="00246B96" w:rsidRPr="00246B96">
        <w:rPr>
          <w:rFonts w:cs="Calibri"/>
        </w:rPr>
        <w:t>% significantly exceeded the FRL range of 35.</w:t>
      </w:r>
      <w:r w:rsidR="00E3034D">
        <w:rPr>
          <w:rFonts w:cs="Calibri"/>
        </w:rPr>
        <w:t>34</w:t>
      </w:r>
      <w:r w:rsidR="00246B96" w:rsidRPr="00246B96">
        <w:rPr>
          <w:rFonts w:cs="Calibri"/>
        </w:rPr>
        <w:t>% to 5</w:t>
      </w:r>
      <w:r w:rsidR="00E3034D">
        <w:rPr>
          <w:rFonts w:cs="Calibri"/>
        </w:rPr>
        <w:t>3.01</w:t>
      </w:r>
      <w:r w:rsidR="00246B96" w:rsidRPr="00246B96">
        <w:rPr>
          <w:rFonts w:cs="Calibri"/>
        </w:rPr>
        <w:t>%.</w:t>
      </w:r>
    </w:p>
    <w:p w14:paraId="0C84E00F" w14:textId="77777777" w:rsidR="007C0A36" w:rsidRPr="001C1E47" w:rsidRDefault="007C0A36" w:rsidP="00783189">
      <w:pPr>
        <w:widowControl/>
        <w:autoSpaceDE/>
        <w:autoSpaceDN/>
        <w:adjustRightInd/>
        <w:rPr>
          <w:rFonts w:cs="Calibri"/>
          <w:b/>
        </w:rPr>
      </w:pPr>
    </w:p>
    <w:p w14:paraId="60945A0B" w14:textId="5FC93A39" w:rsidR="007C0A36" w:rsidRPr="00002805" w:rsidRDefault="007C0A36" w:rsidP="00783189">
      <w:pPr>
        <w:widowControl/>
        <w:autoSpaceDE/>
        <w:autoSpaceDN/>
        <w:adjustRightInd/>
        <w:rPr>
          <w:rFonts w:cs="Calibri"/>
          <w:b/>
          <w:color w:val="0070C0"/>
        </w:rPr>
      </w:pPr>
      <w:r w:rsidRPr="001C1E47">
        <w:rPr>
          <w:rFonts w:cs="Calibri"/>
          <w:b/>
        </w:rPr>
        <w:t>Status:</w:t>
      </w:r>
      <w:r w:rsidR="00B42C8B">
        <w:rPr>
          <w:rFonts w:cs="Calibri"/>
          <w:b/>
        </w:rPr>
        <w:t xml:space="preserve"> </w:t>
      </w:r>
      <w:r w:rsidR="009B6330" w:rsidRPr="009B6330">
        <w:rPr>
          <w:rFonts w:cs="Calibri"/>
          <w:bCs/>
        </w:rPr>
        <w:t>During FY 2024,</w:t>
      </w:r>
      <w:r w:rsidR="009B6330">
        <w:rPr>
          <w:rFonts w:cs="Calibri"/>
          <w:b/>
        </w:rPr>
        <w:t xml:space="preserve"> </w:t>
      </w:r>
      <w:r w:rsidR="00D06A93" w:rsidRPr="00D06A93">
        <w:rPr>
          <w:rFonts w:cs="Calibri"/>
          <w:bCs/>
        </w:rPr>
        <w:t xml:space="preserve">Wyoming OSHA </w:t>
      </w:r>
      <w:r w:rsidR="00D06A93" w:rsidRPr="00B21F74">
        <w:rPr>
          <w:rFonts w:cs="Calibri"/>
          <w:bCs/>
        </w:rPr>
        <w:t xml:space="preserve">analyzed </w:t>
      </w:r>
      <w:r w:rsidR="00537746">
        <w:rPr>
          <w:rFonts w:cs="Calibri"/>
          <w:bCs/>
        </w:rPr>
        <w:t>its</w:t>
      </w:r>
      <w:r w:rsidR="00D06A93" w:rsidRPr="00B21F74">
        <w:rPr>
          <w:rFonts w:cs="Calibri"/>
          <w:bCs/>
        </w:rPr>
        <w:t xml:space="preserve"> health inspection data and could not identify a </w:t>
      </w:r>
      <w:r w:rsidR="005A2F8D">
        <w:rPr>
          <w:rFonts w:cs="Calibri"/>
          <w:bCs/>
        </w:rPr>
        <w:t>root cause</w:t>
      </w:r>
      <w:r w:rsidR="00D06A93" w:rsidRPr="00B21F74">
        <w:rPr>
          <w:rFonts w:cs="Calibri"/>
          <w:bCs/>
        </w:rPr>
        <w:t xml:space="preserve"> for the high in-compliance percentage.  </w:t>
      </w:r>
      <w:r w:rsidR="007B05FC" w:rsidRPr="00B21F74">
        <w:rPr>
          <w:rFonts w:cs="Calibri"/>
        </w:rPr>
        <w:t xml:space="preserve">The State Plan assigned management to review case files to </w:t>
      </w:r>
      <w:r w:rsidR="00D06A93" w:rsidRPr="00B21F74">
        <w:rPr>
          <w:rFonts w:cs="Calibri"/>
          <w:bCs/>
        </w:rPr>
        <w:t xml:space="preserve">identify trends </w:t>
      </w:r>
      <w:r w:rsidR="006D0CFA">
        <w:rPr>
          <w:rFonts w:cs="Calibri"/>
          <w:bCs/>
        </w:rPr>
        <w:t>for</w:t>
      </w:r>
      <w:r w:rsidR="00D06A93" w:rsidRPr="00B21F74">
        <w:rPr>
          <w:rFonts w:cs="Calibri"/>
          <w:bCs/>
        </w:rPr>
        <w:t xml:space="preserve"> in-compliance health cases and provide</w:t>
      </w:r>
      <w:r w:rsidR="00537746">
        <w:rPr>
          <w:rFonts w:cs="Calibri"/>
          <w:bCs/>
        </w:rPr>
        <w:t>d</w:t>
      </w:r>
      <w:r w:rsidR="00D06A93" w:rsidRPr="00B21F74">
        <w:rPr>
          <w:rFonts w:cs="Calibri"/>
          <w:bCs/>
        </w:rPr>
        <w:t xml:space="preserve"> additional training </w:t>
      </w:r>
      <w:r w:rsidR="009B6330">
        <w:rPr>
          <w:rFonts w:cs="Calibri"/>
          <w:bCs/>
        </w:rPr>
        <w:t xml:space="preserve">to CSHOs </w:t>
      </w:r>
      <w:r w:rsidR="00D06A93" w:rsidRPr="00B21F74">
        <w:rPr>
          <w:rFonts w:cs="Calibri"/>
          <w:bCs/>
        </w:rPr>
        <w:t xml:space="preserve">to ensure hazards </w:t>
      </w:r>
      <w:r w:rsidR="00537746">
        <w:rPr>
          <w:rFonts w:cs="Calibri"/>
          <w:bCs/>
        </w:rPr>
        <w:t>we</w:t>
      </w:r>
      <w:r w:rsidR="00D06A93" w:rsidRPr="00B21F74">
        <w:rPr>
          <w:rFonts w:cs="Calibri"/>
          <w:bCs/>
        </w:rPr>
        <w:t>re recognized and appropriately addressed during inspections.</w:t>
      </w:r>
      <w:r w:rsidR="00D06A93" w:rsidRPr="00B21F74">
        <w:rPr>
          <w:rFonts w:cs="Calibri"/>
          <w:b/>
        </w:rPr>
        <w:t xml:space="preserve"> </w:t>
      </w:r>
      <w:r w:rsidR="00B42C8B" w:rsidRPr="00B21F74">
        <w:rPr>
          <w:rFonts w:cs="Calibri"/>
          <w:b/>
        </w:rPr>
        <w:t xml:space="preserve"> </w:t>
      </w:r>
      <w:r w:rsidR="00855BE7" w:rsidRPr="00B21F74">
        <w:rPr>
          <w:rFonts w:cs="Calibri"/>
        </w:rPr>
        <w:t>However,</w:t>
      </w:r>
      <w:r w:rsidR="00855BE7" w:rsidRPr="00B21F74">
        <w:rPr>
          <w:rFonts w:cs="Calibri"/>
          <w:b/>
        </w:rPr>
        <w:t xml:space="preserve"> </w:t>
      </w:r>
      <w:r w:rsidR="00855BE7" w:rsidRPr="00B21F74">
        <w:rPr>
          <w:rFonts w:cs="Calibri"/>
        </w:rPr>
        <w:t xml:space="preserve">the State Plan’s </w:t>
      </w:r>
      <w:r w:rsidR="00B21F74" w:rsidRPr="00B21F74">
        <w:rPr>
          <w:rFonts w:cs="Calibri"/>
        </w:rPr>
        <w:t>health</w:t>
      </w:r>
      <w:r w:rsidR="00855BE7" w:rsidRPr="00B21F74">
        <w:rPr>
          <w:rFonts w:cs="Calibri"/>
        </w:rPr>
        <w:t xml:space="preserve"> inspection in-compliance percentage for FY 2024 was </w:t>
      </w:r>
      <w:r w:rsidR="00B21F74" w:rsidRPr="00B21F74">
        <w:rPr>
          <w:rFonts w:cs="Calibri"/>
        </w:rPr>
        <w:t>81.25</w:t>
      </w:r>
      <w:r w:rsidR="00855BE7" w:rsidRPr="00B21F74">
        <w:rPr>
          <w:rFonts w:cs="Calibri"/>
        </w:rPr>
        <w:t>%</w:t>
      </w:r>
      <w:r w:rsidR="00FF3156">
        <w:rPr>
          <w:rFonts w:cs="Calibri"/>
        </w:rPr>
        <w:t>,</w:t>
      </w:r>
      <w:r w:rsidR="000254CD">
        <w:rPr>
          <w:rFonts w:cs="Calibri"/>
        </w:rPr>
        <w:t xml:space="preserve"> much higher than the FRL range of</w:t>
      </w:r>
      <w:r w:rsidR="00B21F74" w:rsidRPr="00B21F74">
        <w:t xml:space="preserve"> </w:t>
      </w:r>
      <w:r w:rsidR="00855BE7" w:rsidRPr="00B21F74">
        <w:rPr>
          <w:rFonts w:asciiTheme="minorHAnsi" w:hAnsiTheme="minorHAnsi" w:cstheme="minorHAnsi"/>
        </w:rPr>
        <w:t>35.34% to 53.01%</w:t>
      </w:r>
      <w:r w:rsidR="00B21F74" w:rsidRPr="00B21F74">
        <w:rPr>
          <w:rFonts w:asciiTheme="minorHAnsi" w:hAnsiTheme="minorHAnsi" w:cstheme="minorHAnsi"/>
        </w:rPr>
        <w:t xml:space="preserve">.  </w:t>
      </w:r>
      <w:r w:rsidR="00DA7293">
        <w:rPr>
          <w:rFonts w:cs="Calibri"/>
        </w:rPr>
        <w:t xml:space="preserve">The State Plan’s in-compliance percentage for FY 2024 was approximately eight percent </w:t>
      </w:r>
      <w:r w:rsidR="00E01D12">
        <w:rPr>
          <w:rFonts w:cs="Calibri"/>
        </w:rPr>
        <w:t>higher</w:t>
      </w:r>
      <w:r w:rsidR="00DA7293">
        <w:rPr>
          <w:rFonts w:cs="Calibri"/>
        </w:rPr>
        <w:t xml:space="preserve"> than the percentage for FY 2023.  </w:t>
      </w:r>
      <w:r w:rsidR="00762787" w:rsidRPr="00C30ADE">
        <w:rPr>
          <w:rFonts w:cs="Calibri"/>
        </w:rPr>
        <w:t xml:space="preserve">This </w:t>
      </w:r>
      <w:r w:rsidR="00B42C8B">
        <w:rPr>
          <w:rFonts w:cs="Calibri"/>
        </w:rPr>
        <w:t>finding</w:t>
      </w:r>
      <w:r w:rsidR="00762787" w:rsidRPr="00C30ADE">
        <w:rPr>
          <w:rFonts w:cs="Calibri"/>
        </w:rPr>
        <w:t xml:space="preserve"> will be continued.</w:t>
      </w:r>
    </w:p>
    <w:p w14:paraId="38F251EB" w14:textId="77777777" w:rsidR="00140A6A" w:rsidRDefault="00140A6A" w:rsidP="00783189">
      <w:pPr>
        <w:widowControl/>
        <w:autoSpaceDE/>
        <w:autoSpaceDN/>
        <w:adjustRightInd/>
        <w:rPr>
          <w:rFonts w:cs="Calibri"/>
          <w:iCs/>
        </w:rPr>
      </w:pPr>
    </w:p>
    <w:p w14:paraId="42D34567" w14:textId="77777777" w:rsidR="00AA63AE" w:rsidRPr="00CF45F2" w:rsidRDefault="00AA63AE" w:rsidP="00783189">
      <w:pPr>
        <w:widowControl/>
        <w:autoSpaceDE/>
        <w:autoSpaceDN/>
        <w:adjustRightInd/>
        <w:rPr>
          <w:rFonts w:cs="Calibri"/>
          <w:iCs/>
        </w:rPr>
      </w:pPr>
    </w:p>
    <w:p w14:paraId="63292A44" w14:textId="619C3391" w:rsidR="00443054" w:rsidRPr="0061362E" w:rsidRDefault="00443054" w:rsidP="00E44D46">
      <w:pPr>
        <w:rPr>
          <w:b/>
          <w:bCs/>
        </w:rPr>
      </w:pPr>
      <w:r w:rsidRPr="0061362E">
        <w:rPr>
          <w:b/>
          <w:bCs/>
        </w:rPr>
        <w:lastRenderedPageBreak/>
        <w:t xml:space="preserve">New FY </w:t>
      </w:r>
      <w:r w:rsidR="007C0A36" w:rsidRPr="0061362E">
        <w:rPr>
          <w:b/>
          <w:bCs/>
        </w:rPr>
        <w:t>2</w:t>
      </w:r>
      <w:r w:rsidR="007C0A36" w:rsidRPr="00B95677">
        <w:rPr>
          <w:b/>
          <w:bCs/>
        </w:rPr>
        <w:t>0</w:t>
      </w:r>
      <w:r w:rsidR="00E85F3F" w:rsidRPr="00B95677">
        <w:rPr>
          <w:b/>
          <w:bCs/>
        </w:rPr>
        <w:t>24</w:t>
      </w:r>
      <w:r w:rsidR="007C0A36" w:rsidRPr="0061362E">
        <w:rPr>
          <w:b/>
          <w:bCs/>
        </w:rPr>
        <w:t xml:space="preserve"> </w:t>
      </w:r>
      <w:r w:rsidRPr="0061362E">
        <w:rPr>
          <w:b/>
          <w:bCs/>
        </w:rPr>
        <w:t>Finding</w:t>
      </w:r>
      <w:r w:rsidR="0061362E">
        <w:rPr>
          <w:b/>
          <w:bCs/>
        </w:rPr>
        <w:t>s</w:t>
      </w:r>
    </w:p>
    <w:p w14:paraId="3D476B90" w14:textId="77777777" w:rsidR="00443054" w:rsidRPr="001C1E47" w:rsidRDefault="00443054" w:rsidP="00783189">
      <w:pPr>
        <w:widowControl/>
        <w:autoSpaceDE/>
        <w:autoSpaceDN/>
        <w:adjustRightInd/>
        <w:rPr>
          <w:rFonts w:cs="Calibri"/>
          <w:u w:val="single"/>
        </w:rPr>
      </w:pPr>
    </w:p>
    <w:p w14:paraId="749E7B31" w14:textId="795B0557" w:rsidR="00B95677" w:rsidRPr="00AE3A5F" w:rsidRDefault="00B95677" w:rsidP="00B95677">
      <w:pPr>
        <w:rPr>
          <w:rFonts w:asciiTheme="minorHAnsi" w:hAnsiTheme="minorHAnsi" w:cstheme="minorHAnsi"/>
        </w:rPr>
      </w:pPr>
      <w:r w:rsidRPr="00AE3A5F">
        <w:rPr>
          <w:rFonts w:asciiTheme="minorHAnsi" w:hAnsiTheme="minorHAnsi" w:cstheme="minorHAnsi"/>
        </w:rPr>
        <w:t>There are no new findings in the FY 202</w:t>
      </w:r>
      <w:r>
        <w:rPr>
          <w:rFonts w:asciiTheme="minorHAnsi" w:hAnsiTheme="minorHAnsi" w:cstheme="minorHAnsi"/>
        </w:rPr>
        <w:t>4</w:t>
      </w:r>
      <w:r w:rsidRPr="00AE3A5F">
        <w:rPr>
          <w:rFonts w:asciiTheme="minorHAnsi" w:hAnsiTheme="minorHAnsi" w:cstheme="minorHAnsi"/>
        </w:rPr>
        <w:t xml:space="preserve"> Follow</w:t>
      </w:r>
      <w:r>
        <w:rPr>
          <w:rFonts w:asciiTheme="minorHAnsi" w:hAnsiTheme="minorHAnsi" w:cstheme="minorHAnsi"/>
        </w:rPr>
        <w:t>-</w:t>
      </w:r>
      <w:r w:rsidRPr="00AE3A5F">
        <w:rPr>
          <w:rFonts w:asciiTheme="minorHAnsi" w:hAnsiTheme="minorHAnsi" w:cstheme="minorHAnsi"/>
        </w:rPr>
        <w:t>up FAME</w:t>
      </w:r>
      <w:r>
        <w:rPr>
          <w:rFonts w:asciiTheme="minorHAnsi" w:hAnsiTheme="minorHAnsi" w:cstheme="minorHAnsi"/>
        </w:rPr>
        <w:t xml:space="preserve"> Report</w:t>
      </w:r>
      <w:r w:rsidRPr="00AE3A5F">
        <w:rPr>
          <w:rFonts w:asciiTheme="minorHAnsi" w:hAnsiTheme="minorHAnsi" w:cstheme="minorHAnsi"/>
        </w:rPr>
        <w:t>.</w:t>
      </w:r>
    </w:p>
    <w:p w14:paraId="3F5485EC" w14:textId="77777777" w:rsidR="000D1D75" w:rsidRDefault="000D1D75" w:rsidP="00783189">
      <w:pPr>
        <w:widowControl/>
        <w:autoSpaceDE/>
        <w:autoSpaceDN/>
        <w:adjustRightInd/>
        <w:rPr>
          <w:rFonts w:cs="Calibri"/>
          <w:bCs/>
          <w:highlight w:val="yellow"/>
          <w:u w:val="single"/>
        </w:rPr>
      </w:pPr>
    </w:p>
    <w:p w14:paraId="62118160" w14:textId="77777777" w:rsidR="000D1D75" w:rsidRPr="001C1E47" w:rsidRDefault="000D1D75" w:rsidP="00783189">
      <w:pPr>
        <w:widowControl/>
        <w:autoSpaceDE/>
        <w:autoSpaceDN/>
        <w:adjustRightInd/>
        <w:rPr>
          <w:rFonts w:cs="Calibri"/>
          <w:bCs/>
          <w:highlight w:val="yellow"/>
          <w:u w:val="single"/>
        </w:rPr>
      </w:pPr>
    </w:p>
    <w:p w14:paraId="49B482D8" w14:textId="77777777" w:rsidR="00443054" w:rsidRPr="001C1E47" w:rsidRDefault="00443054" w:rsidP="00765361">
      <w:pPr>
        <w:pStyle w:val="Heading4"/>
      </w:pPr>
      <w:bookmarkStart w:id="22" w:name="_Toc118900176"/>
      <w:bookmarkStart w:id="23" w:name="_Toc118905015"/>
      <w:r w:rsidRPr="001C1E47">
        <w:t>Observations</w:t>
      </w:r>
      <w:bookmarkEnd w:id="22"/>
      <w:bookmarkEnd w:id="23"/>
    </w:p>
    <w:p w14:paraId="2D0C820B" w14:textId="77777777" w:rsidR="005C1BFC" w:rsidRPr="001C1E47" w:rsidRDefault="005C1BFC" w:rsidP="00783189">
      <w:pPr>
        <w:widowControl/>
        <w:autoSpaceDE/>
        <w:autoSpaceDN/>
        <w:adjustRightInd/>
        <w:rPr>
          <w:rFonts w:cs="Calibri"/>
          <w:bCs/>
          <w:highlight w:val="yellow"/>
          <w:u w:val="single"/>
        </w:rPr>
      </w:pPr>
    </w:p>
    <w:p w14:paraId="4497C8BD" w14:textId="205046F9" w:rsidR="00954BC2" w:rsidRPr="000A1A8D" w:rsidRDefault="00D97421" w:rsidP="00783189">
      <w:pPr>
        <w:widowControl/>
        <w:autoSpaceDE/>
        <w:autoSpaceDN/>
        <w:adjustRightInd/>
        <w:rPr>
          <w:rFonts w:cs="Calibri"/>
          <w:b/>
          <w:bCs/>
        </w:rPr>
      </w:pPr>
      <w:r w:rsidRPr="0061362E">
        <w:rPr>
          <w:rFonts w:cs="Calibri"/>
          <w:b/>
          <w:bCs/>
        </w:rPr>
        <w:t xml:space="preserve">Closed </w:t>
      </w:r>
      <w:r w:rsidR="0061362E" w:rsidRPr="0061362E">
        <w:rPr>
          <w:rFonts w:cs="Calibri"/>
          <w:b/>
          <w:bCs/>
        </w:rPr>
        <w:t>FY 202</w:t>
      </w:r>
      <w:r w:rsidR="000A1A8D">
        <w:rPr>
          <w:rFonts w:cs="Calibri"/>
          <w:b/>
          <w:bCs/>
        </w:rPr>
        <w:t>3</w:t>
      </w:r>
      <w:r w:rsidR="0061362E" w:rsidRPr="0061362E">
        <w:rPr>
          <w:rFonts w:cs="Calibri"/>
          <w:b/>
          <w:bCs/>
        </w:rPr>
        <w:t xml:space="preserve"> </w:t>
      </w:r>
      <w:r w:rsidRPr="0061362E">
        <w:rPr>
          <w:rFonts w:cs="Calibri"/>
          <w:b/>
          <w:bCs/>
        </w:rPr>
        <w:t>Observation</w:t>
      </w:r>
      <w:r w:rsidR="00E7030A" w:rsidRPr="0061362E">
        <w:rPr>
          <w:rFonts w:cs="Calibri"/>
          <w:b/>
          <w:bCs/>
        </w:rPr>
        <w:t>s</w:t>
      </w:r>
    </w:p>
    <w:p w14:paraId="0DFCD1CE" w14:textId="77777777" w:rsidR="001E4F8A" w:rsidRPr="001C1E47" w:rsidRDefault="001E4F8A" w:rsidP="00783189">
      <w:pPr>
        <w:widowControl/>
        <w:autoSpaceDE/>
        <w:autoSpaceDN/>
        <w:adjustRightInd/>
        <w:rPr>
          <w:rFonts w:cs="Calibri"/>
          <w:bCs/>
          <w:u w:val="single"/>
        </w:rPr>
      </w:pPr>
    </w:p>
    <w:p w14:paraId="3D1946E0" w14:textId="786D7FF1" w:rsidR="0090108A" w:rsidRPr="00797DBA" w:rsidRDefault="00797DBA" w:rsidP="00783189">
      <w:pPr>
        <w:widowControl/>
        <w:autoSpaceDE/>
        <w:autoSpaceDN/>
        <w:adjustRightInd/>
        <w:rPr>
          <w:rFonts w:cs="Calibri"/>
          <w:bCs/>
        </w:rPr>
      </w:pPr>
      <w:r w:rsidRPr="00797DBA">
        <w:rPr>
          <w:rFonts w:cs="Calibri"/>
          <w:bCs/>
          <w:iCs/>
        </w:rPr>
        <w:t>There are no closed observations</w:t>
      </w:r>
      <w:r w:rsidR="004568E5">
        <w:rPr>
          <w:rFonts w:cs="Calibri"/>
          <w:bCs/>
          <w:iCs/>
        </w:rPr>
        <w:t xml:space="preserve"> in the FY 2024 F</w:t>
      </w:r>
      <w:r w:rsidR="00F75C0C">
        <w:rPr>
          <w:rFonts w:cs="Calibri"/>
          <w:bCs/>
          <w:iCs/>
        </w:rPr>
        <w:t xml:space="preserve">ollow-up </w:t>
      </w:r>
      <w:r w:rsidR="00B37DCC">
        <w:rPr>
          <w:rFonts w:cs="Calibri"/>
          <w:bCs/>
          <w:iCs/>
        </w:rPr>
        <w:t xml:space="preserve">FAME </w:t>
      </w:r>
      <w:r w:rsidR="00F75C0C">
        <w:rPr>
          <w:rFonts w:cs="Calibri"/>
          <w:bCs/>
          <w:iCs/>
        </w:rPr>
        <w:t>Report</w:t>
      </w:r>
      <w:r w:rsidRPr="00797DBA">
        <w:rPr>
          <w:rFonts w:cs="Calibri"/>
          <w:bCs/>
          <w:iCs/>
        </w:rPr>
        <w:t>.</w:t>
      </w:r>
    </w:p>
    <w:p w14:paraId="0DC0C330" w14:textId="77777777" w:rsidR="00EA4B05" w:rsidRPr="001C1E47" w:rsidRDefault="00EA4B05" w:rsidP="00783189">
      <w:pPr>
        <w:widowControl/>
        <w:autoSpaceDE/>
        <w:autoSpaceDN/>
        <w:adjustRightInd/>
        <w:rPr>
          <w:rFonts w:cs="Calibri"/>
          <w:bCs/>
        </w:rPr>
      </w:pPr>
    </w:p>
    <w:p w14:paraId="370CCAAD" w14:textId="1EAA0A3F" w:rsidR="00602EF3" w:rsidRPr="0061362E" w:rsidRDefault="004E505A" w:rsidP="00783189">
      <w:pPr>
        <w:widowControl/>
        <w:autoSpaceDE/>
        <w:autoSpaceDN/>
        <w:adjustRightInd/>
        <w:rPr>
          <w:rFonts w:cs="Calibri"/>
          <w:b/>
        </w:rPr>
      </w:pPr>
      <w:r w:rsidRPr="0061362E">
        <w:rPr>
          <w:rFonts w:cs="Calibri"/>
          <w:b/>
        </w:rPr>
        <w:t xml:space="preserve">Continued </w:t>
      </w:r>
      <w:r w:rsidR="00054416" w:rsidRPr="0061362E">
        <w:rPr>
          <w:rFonts w:cs="Calibri"/>
          <w:b/>
        </w:rPr>
        <w:t xml:space="preserve">FY </w:t>
      </w:r>
      <w:r w:rsidR="007C0A36" w:rsidRPr="0061362E">
        <w:rPr>
          <w:rFonts w:cs="Calibri"/>
          <w:b/>
        </w:rPr>
        <w:t>20</w:t>
      </w:r>
      <w:r w:rsidR="00B42191" w:rsidRPr="00B42191">
        <w:rPr>
          <w:rFonts w:cs="Calibri"/>
          <w:b/>
        </w:rPr>
        <w:t>2</w:t>
      </w:r>
      <w:r w:rsidR="00B647B6">
        <w:rPr>
          <w:rFonts w:cs="Calibri"/>
          <w:b/>
        </w:rPr>
        <w:t>3</w:t>
      </w:r>
      <w:r w:rsidR="007C0A36" w:rsidRPr="00B42191">
        <w:rPr>
          <w:rFonts w:cs="Calibri"/>
          <w:b/>
        </w:rPr>
        <w:t xml:space="preserve"> </w:t>
      </w:r>
      <w:r w:rsidR="00443054" w:rsidRPr="0061362E">
        <w:rPr>
          <w:rFonts w:cs="Calibri"/>
          <w:b/>
        </w:rPr>
        <w:t>Observation</w:t>
      </w:r>
      <w:r w:rsidR="0061362E" w:rsidRPr="0061362E">
        <w:rPr>
          <w:rFonts w:cs="Calibri"/>
          <w:b/>
        </w:rPr>
        <w:t>s</w:t>
      </w:r>
    </w:p>
    <w:p w14:paraId="336D1BD2" w14:textId="77777777" w:rsidR="00EA4B05" w:rsidRPr="00C87783" w:rsidRDefault="00EA4B05" w:rsidP="00783189">
      <w:pPr>
        <w:widowControl/>
        <w:autoSpaceDE/>
        <w:autoSpaceDN/>
        <w:adjustRightInd/>
        <w:rPr>
          <w:rFonts w:cs="Calibri"/>
          <w:b/>
          <w:iCs/>
          <w:highlight w:val="yellow"/>
          <w:u w:val="single"/>
        </w:rPr>
      </w:pPr>
    </w:p>
    <w:p w14:paraId="7BD1095F" w14:textId="08465D0D" w:rsidR="00EA4B05" w:rsidRPr="001C1E47" w:rsidRDefault="00EA4B05" w:rsidP="00783189">
      <w:pPr>
        <w:widowControl/>
        <w:tabs>
          <w:tab w:val="left" w:pos="1890"/>
          <w:tab w:val="left" w:pos="2430"/>
        </w:tabs>
        <w:autoSpaceDE/>
        <w:autoSpaceDN/>
        <w:adjustRightInd/>
        <w:contextualSpacing/>
        <w:rPr>
          <w:rFonts w:cs="Calibri"/>
          <w:b/>
        </w:rPr>
      </w:pPr>
      <w:bookmarkStart w:id="24" w:name="_Hlk188016905"/>
      <w:r w:rsidRPr="001C1E47">
        <w:rPr>
          <w:rFonts w:cs="Calibri"/>
          <w:b/>
        </w:rPr>
        <w:t xml:space="preserve">Observation FY </w:t>
      </w:r>
      <w:r w:rsidRPr="00A21829">
        <w:rPr>
          <w:rFonts w:cs="Calibri"/>
          <w:b/>
        </w:rPr>
        <w:t>20</w:t>
      </w:r>
      <w:r w:rsidR="00A21829" w:rsidRPr="00A21829">
        <w:rPr>
          <w:rFonts w:cs="Calibri"/>
          <w:b/>
        </w:rPr>
        <w:t>24</w:t>
      </w:r>
      <w:r w:rsidRPr="00A21829">
        <w:rPr>
          <w:rFonts w:cs="Calibri"/>
          <w:b/>
        </w:rPr>
        <w:t>-</w:t>
      </w:r>
      <w:r w:rsidR="00972588">
        <w:rPr>
          <w:rFonts w:cs="Calibri"/>
          <w:b/>
        </w:rPr>
        <w:t>OB-</w:t>
      </w:r>
      <w:r w:rsidRPr="002F478E">
        <w:rPr>
          <w:rFonts w:cs="Calibri"/>
          <w:b/>
        </w:rPr>
        <w:t>01</w:t>
      </w:r>
      <w:r w:rsidR="00FD60FB">
        <w:rPr>
          <w:rFonts w:cs="Calibri"/>
          <w:b/>
        </w:rPr>
        <w:t xml:space="preserve"> (previously </w:t>
      </w:r>
      <w:r w:rsidR="00D306E0">
        <w:rPr>
          <w:rFonts w:cs="Calibri"/>
          <w:b/>
        </w:rPr>
        <w:t>FY 2023-OB-01)</w:t>
      </w:r>
      <w:r w:rsidRPr="002F478E">
        <w:rPr>
          <w:rFonts w:cs="Calibri"/>
          <w:b/>
        </w:rPr>
        <w:t>:</w:t>
      </w:r>
      <w:r w:rsidR="002F478E" w:rsidRPr="002F478E">
        <w:rPr>
          <w:rFonts w:cs="Calibri"/>
          <w:b/>
        </w:rPr>
        <w:t xml:space="preserve"> </w:t>
      </w:r>
      <w:r w:rsidR="002F478E" w:rsidRPr="002F478E">
        <w:rPr>
          <w:rFonts w:cs="Calibri"/>
        </w:rPr>
        <w:t xml:space="preserve">In FY 2023, three of nine (33.33%) case files reviewed did not contain documentation that all complaint or referral allegations were addressed.  Wyoming OSHA did not follow the guidance in its modified Chapter 9, Section I.H.5 of the </w:t>
      </w:r>
      <w:r w:rsidR="000E1336">
        <w:rPr>
          <w:rFonts w:cs="Calibri"/>
        </w:rPr>
        <w:t>Field Operations</w:t>
      </w:r>
      <w:r w:rsidR="00973554">
        <w:rPr>
          <w:rFonts w:cs="Calibri"/>
        </w:rPr>
        <w:t xml:space="preserve"> Manual (</w:t>
      </w:r>
      <w:r w:rsidR="002F478E" w:rsidRPr="002F478E">
        <w:rPr>
          <w:rFonts w:cs="Calibri"/>
        </w:rPr>
        <w:t>FOM</w:t>
      </w:r>
      <w:r w:rsidR="00973554">
        <w:rPr>
          <w:rFonts w:cs="Calibri"/>
        </w:rPr>
        <w:t>)</w:t>
      </w:r>
      <w:r w:rsidR="002F478E" w:rsidRPr="002F478E">
        <w:rPr>
          <w:rFonts w:cs="Calibri"/>
        </w:rPr>
        <w:t>.</w:t>
      </w:r>
    </w:p>
    <w:p w14:paraId="1D6189A9" w14:textId="77777777" w:rsidR="00EA4B05" w:rsidRPr="001C1E47" w:rsidRDefault="00EA4B05" w:rsidP="00783189">
      <w:pPr>
        <w:widowControl/>
        <w:tabs>
          <w:tab w:val="left" w:pos="1890"/>
          <w:tab w:val="left" w:pos="2430"/>
        </w:tabs>
        <w:autoSpaceDE/>
        <w:autoSpaceDN/>
        <w:adjustRightInd/>
        <w:contextualSpacing/>
        <w:rPr>
          <w:rFonts w:cs="Calibri"/>
          <w:b/>
          <w:highlight w:val="yellow"/>
          <w:u w:val="single"/>
        </w:rPr>
      </w:pPr>
    </w:p>
    <w:p w14:paraId="41EACD85" w14:textId="4CC07165" w:rsidR="00EA4B05" w:rsidRPr="001C1E47" w:rsidRDefault="00EA4B05" w:rsidP="00783189">
      <w:pPr>
        <w:widowControl/>
        <w:autoSpaceDE/>
        <w:autoSpaceDN/>
        <w:adjustRightInd/>
        <w:rPr>
          <w:rFonts w:cs="Calibri"/>
          <w:b/>
        </w:rPr>
      </w:pPr>
      <w:r w:rsidRPr="001C1E47">
        <w:rPr>
          <w:rFonts w:cs="Calibri"/>
          <w:b/>
        </w:rPr>
        <w:t>Status:</w:t>
      </w:r>
      <w:r w:rsidR="00824AAA">
        <w:rPr>
          <w:rFonts w:cs="Calibri"/>
          <w:b/>
        </w:rPr>
        <w:t xml:space="preserve"> </w:t>
      </w:r>
      <w:r w:rsidR="004B2B88">
        <w:rPr>
          <w:rFonts w:cs="Calibri"/>
          <w:bCs/>
        </w:rPr>
        <w:t xml:space="preserve">During FY 2024, </w:t>
      </w:r>
      <w:r w:rsidR="00E820C2">
        <w:rPr>
          <w:rFonts w:cs="Calibri"/>
          <w:bCs/>
        </w:rPr>
        <w:t>Wyoming OSHA</w:t>
      </w:r>
      <w:r w:rsidR="00824AAA" w:rsidRPr="00475059">
        <w:rPr>
          <w:rFonts w:cs="Calibri"/>
          <w:bCs/>
        </w:rPr>
        <w:t xml:space="preserve"> </w:t>
      </w:r>
      <w:r w:rsidR="00A652D9">
        <w:rPr>
          <w:rFonts w:cs="Calibri"/>
          <w:bCs/>
        </w:rPr>
        <w:t xml:space="preserve">developed a </w:t>
      </w:r>
      <w:r w:rsidR="0016655A">
        <w:rPr>
          <w:rFonts w:cs="Calibri"/>
          <w:bCs/>
        </w:rPr>
        <w:t>written procedure</w:t>
      </w:r>
      <w:r w:rsidR="00A652D9">
        <w:rPr>
          <w:rFonts w:cs="Calibri"/>
          <w:bCs/>
        </w:rPr>
        <w:t xml:space="preserve"> to ensure </w:t>
      </w:r>
      <w:r w:rsidR="008A3BD5">
        <w:rPr>
          <w:rFonts w:cs="Calibri"/>
          <w:bCs/>
        </w:rPr>
        <w:t>that all complain</w:t>
      </w:r>
      <w:r w:rsidR="00E30428">
        <w:rPr>
          <w:rFonts w:cs="Calibri"/>
          <w:bCs/>
        </w:rPr>
        <w:t>ant</w:t>
      </w:r>
      <w:r w:rsidR="008A3BD5">
        <w:rPr>
          <w:rFonts w:cs="Calibri"/>
          <w:bCs/>
        </w:rPr>
        <w:t xml:space="preserve"> allegations </w:t>
      </w:r>
      <w:r w:rsidR="0053432C">
        <w:rPr>
          <w:rFonts w:cs="Calibri"/>
          <w:bCs/>
        </w:rPr>
        <w:t>were</w:t>
      </w:r>
      <w:r w:rsidR="008A3BD5">
        <w:rPr>
          <w:rFonts w:cs="Calibri"/>
          <w:bCs/>
        </w:rPr>
        <w:t xml:space="preserve"> </w:t>
      </w:r>
      <w:r w:rsidR="002D4569">
        <w:rPr>
          <w:rFonts w:cs="Calibri"/>
          <w:bCs/>
        </w:rPr>
        <w:t>included in</w:t>
      </w:r>
      <w:r w:rsidR="008A3BD5">
        <w:rPr>
          <w:rFonts w:cs="Calibri"/>
          <w:bCs/>
        </w:rPr>
        <w:t xml:space="preserve"> </w:t>
      </w:r>
      <w:r w:rsidR="00E30428">
        <w:rPr>
          <w:rFonts w:cs="Calibri"/>
          <w:bCs/>
        </w:rPr>
        <w:t xml:space="preserve">the </w:t>
      </w:r>
      <w:r w:rsidR="009D7398">
        <w:rPr>
          <w:rFonts w:cs="Calibri"/>
          <w:bCs/>
        </w:rPr>
        <w:t>processed complain</w:t>
      </w:r>
      <w:r w:rsidR="00D97D29">
        <w:rPr>
          <w:rFonts w:cs="Calibri"/>
          <w:bCs/>
        </w:rPr>
        <w:t>t</w:t>
      </w:r>
      <w:r w:rsidR="0016655A">
        <w:rPr>
          <w:rFonts w:cs="Calibri"/>
          <w:bCs/>
        </w:rPr>
        <w:t xml:space="preserve"> and addressed during the </w:t>
      </w:r>
      <w:r w:rsidR="00AC71CB">
        <w:rPr>
          <w:rFonts w:cs="Calibri"/>
          <w:bCs/>
        </w:rPr>
        <w:t>inspection</w:t>
      </w:r>
      <w:r w:rsidR="00D97D29">
        <w:rPr>
          <w:rFonts w:cs="Calibri"/>
          <w:bCs/>
        </w:rPr>
        <w:t xml:space="preserve">.  </w:t>
      </w:r>
      <w:r w:rsidR="00370835">
        <w:rPr>
          <w:rFonts w:cs="Calibri"/>
          <w:bCs/>
        </w:rPr>
        <w:t xml:space="preserve">The </w:t>
      </w:r>
      <w:r w:rsidR="0016655A">
        <w:rPr>
          <w:rFonts w:cs="Calibri"/>
          <w:bCs/>
        </w:rPr>
        <w:t>p</w:t>
      </w:r>
      <w:r w:rsidR="00AC71CB">
        <w:rPr>
          <w:rFonts w:cs="Calibri"/>
          <w:bCs/>
        </w:rPr>
        <w:t>rocedure</w:t>
      </w:r>
      <w:r w:rsidR="0016655A">
        <w:rPr>
          <w:rFonts w:cs="Calibri"/>
          <w:bCs/>
        </w:rPr>
        <w:t xml:space="preserve"> include</w:t>
      </w:r>
      <w:r w:rsidR="009147D8">
        <w:rPr>
          <w:rFonts w:cs="Calibri"/>
          <w:bCs/>
        </w:rPr>
        <w:t>d</w:t>
      </w:r>
      <w:r w:rsidR="0016655A">
        <w:rPr>
          <w:rFonts w:cs="Calibri"/>
          <w:bCs/>
        </w:rPr>
        <w:t xml:space="preserve"> a</w:t>
      </w:r>
      <w:r w:rsidR="002439A6">
        <w:rPr>
          <w:rFonts w:cs="Calibri"/>
          <w:bCs/>
        </w:rPr>
        <w:t xml:space="preserve"> review of the case</w:t>
      </w:r>
      <w:r w:rsidR="005E0275">
        <w:rPr>
          <w:rFonts w:cs="Calibri"/>
          <w:bCs/>
        </w:rPr>
        <w:t xml:space="preserve"> </w:t>
      </w:r>
      <w:r w:rsidR="002439A6">
        <w:rPr>
          <w:rFonts w:cs="Calibri"/>
          <w:bCs/>
        </w:rPr>
        <w:t xml:space="preserve">file </w:t>
      </w:r>
      <w:r w:rsidR="00294037">
        <w:rPr>
          <w:rFonts w:cs="Calibri"/>
          <w:bCs/>
        </w:rPr>
        <w:t xml:space="preserve">by the </w:t>
      </w:r>
      <w:r w:rsidR="001B74DB">
        <w:rPr>
          <w:rFonts w:cs="Calibri"/>
          <w:bCs/>
        </w:rPr>
        <w:t>compliance program supervisor</w:t>
      </w:r>
      <w:r w:rsidR="00294037">
        <w:rPr>
          <w:rFonts w:cs="Calibri"/>
          <w:bCs/>
        </w:rPr>
        <w:t xml:space="preserve"> </w:t>
      </w:r>
      <w:r w:rsidR="00370835">
        <w:rPr>
          <w:rFonts w:cs="Calibri"/>
          <w:bCs/>
        </w:rPr>
        <w:t xml:space="preserve">to ensure that all complaint allegations </w:t>
      </w:r>
      <w:r w:rsidR="002F0AF4">
        <w:rPr>
          <w:rFonts w:cs="Calibri"/>
          <w:bCs/>
        </w:rPr>
        <w:t>we</w:t>
      </w:r>
      <w:r w:rsidR="00082B30">
        <w:rPr>
          <w:rFonts w:cs="Calibri"/>
          <w:bCs/>
        </w:rPr>
        <w:t>re</w:t>
      </w:r>
      <w:r w:rsidR="00370835">
        <w:rPr>
          <w:rFonts w:cs="Calibri"/>
          <w:bCs/>
        </w:rPr>
        <w:t xml:space="preserve"> addressed.</w:t>
      </w:r>
      <w:r w:rsidR="001D4EEB">
        <w:rPr>
          <w:rFonts w:cs="Calibri"/>
          <w:bCs/>
        </w:rPr>
        <w:t xml:space="preserve">  </w:t>
      </w:r>
      <w:r w:rsidR="00912E9D">
        <w:rPr>
          <w:rFonts w:cs="Calibri"/>
          <w:bCs/>
        </w:rPr>
        <w:t>Next, a</w:t>
      </w:r>
      <w:r w:rsidR="001E4BC9">
        <w:rPr>
          <w:rFonts w:cs="Calibri"/>
          <w:bCs/>
        </w:rPr>
        <w:t xml:space="preserve"> compliance assurance position was created to assist with the review of case</w:t>
      </w:r>
      <w:r w:rsidR="005E0275">
        <w:rPr>
          <w:rFonts w:cs="Calibri"/>
          <w:bCs/>
        </w:rPr>
        <w:t xml:space="preserve"> </w:t>
      </w:r>
      <w:r w:rsidR="001E4BC9">
        <w:rPr>
          <w:rFonts w:cs="Calibri"/>
          <w:bCs/>
        </w:rPr>
        <w:t xml:space="preserve">files.  </w:t>
      </w:r>
      <w:r w:rsidR="001D4EEB">
        <w:rPr>
          <w:rFonts w:cs="Calibri"/>
          <w:bCs/>
        </w:rPr>
        <w:t xml:space="preserve">Training was </w:t>
      </w:r>
      <w:r w:rsidR="002B703C">
        <w:rPr>
          <w:rFonts w:cs="Calibri"/>
          <w:bCs/>
        </w:rPr>
        <w:t xml:space="preserve">also </w:t>
      </w:r>
      <w:r w:rsidR="001D4EEB">
        <w:rPr>
          <w:rFonts w:cs="Calibri"/>
          <w:bCs/>
        </w:rPr>
        <w:t xml:space="preserve">provided to </w:t>
      </w:r>
      <w:r w:rsidR="000F4F6B">
        <w:rPr>
          <w:rFonts w:cs="Calibri"/>
          <w:bCs/>
        </w:rPr>
        <w:t>staff regarding complaint allegations and inspection</w:t>
      </w:r>
      <w:r w:rsidR="004B2B88">
        <w:rPr>
          <w:rFonts w:cs="Calibri"/>
          <w:bCs/>
        </w:rPr>
        <w:t xml:space="preserve">s.  </w:t>
      </w:r>
      <w:r w:rsidR="00BA1C19" w:rsidRPr="00B21F74">
        <w:t xml:space="preserve">A case file review is necessary to evaluate performance in relation to this </w:t>
      </w:r>
      <w:r w:rsidR="00B45467">
        <w:t>observation</w:t>
      </w:r>
      <w:r w:rsidR="00BA1C19" w:rsidRPr="00B21F74">
        <w:t xml:space="preserve">.  This </w:t>
      </w:r>
      <w:r w:rsidR="00B45467">
        <w:t>observation</w:t>
      </w:r>
      <w:r w:rsidR="00BA1C19" w:rsidRPr="00B21F74">
        <w:t xml:space="preserve"> will be a focus of next</w:t>
      </w:r>
      <w:r w:rsidR="00BA1C19" w:rsidRPr="00C30ADE">
        <w:t xml:space="preserve"> year’s case file review during the FY 2025 </w:t>
      </w:r>
      <w:r w:rsidR="009912A7">
        <w:t>c</w:t>
      </w:r>
      <w:r w:rsidR="009912A7" w:rsidRPr="00C30ADE">
        <w:t xml:space="preserve">omprehensive </w:t>
      </w:r>
      <w:r w:rsidR="00BA1C19" w:rsidRPr="00C30ADE">
        <w:t>FAME.</w:t>
      </w:r>
      <w:r w:rsidR="00BA1C19" w:rsidRPr="00C30ADE">
        <w:rPr>
          <w:b/>
        </w:rPr>
        <w:t xml:space="preserve">  </w:t>
      </w:r>
      <w:r w:rsidR="00BA1C19" w:rsidRPr="00C30ADE">
        <w:rPr>
          <w:rFonts w:cs="Calibri"/>
        </w:rPr>
        <w:t xml:space="preserve">This </w:t>
      </w:r>
      <w:r w:rsidR="00B45467">
        <w:rPr>
          <w:rFonts w:cs="Calibri"/>
        </w:rPr>
        <w:t>observation</w:t>
      </w:r>
      <w:r w:rsidR="00BA1C19" w:rsidRPr="00C30ADE">
        <w:rPr>
          <w:rFonts w:cs="Calibri"/>
        </w:rPr>
        <w:t xml:space="preserve"> will be continued.</w:t>
      </w:r>
    </w:p>
    <w:bookmarkEnd w:id="24"/>
    <w:p w14:paraId="67DB38D6" w14:textId="77777777" w:rsidR="00EA4B05" w:rsidRDefault="00EA4B05" w:rsidP="00783189">
      <w:pPr>
        <w:widowControl/>
        <w:autoSpaceDE/>
        <w:autoSpaceDN/>
        <w:adjustRightInd/>
        <w:rPr>
          <w:rFonts w:cs="Calibri"/>
          <w:b/>
          <w:highlight w:val="yellow"/>
          <w:u w:val="single"/>
        </w:rPr>
      </w:pPr>
    </w:p>
    <w:p w14:paraId="015BDCD8" w14:textId="7F5721B6" w:rsidR="002F478E" w:rsidRPr="001C1E47" w:rsidRDefault="002F478E" w:rsidP="002F478E">
      <w:pPr>
        <w:widowControl/>
        <w:tabs>
          <w:tab w:val="left" w:pos="1890"/>
          <w:tab w:val="left" w:pos="2430"/>
        </w:tabs>
        <w:autoSpaceDE/>
        <w:autoSpaceDN/>
        <w:adjustRightInd/>
        <w:contextualSpacing/>
        <w:rPr>
          <w:rFonts w:cs="Calibri"/>
          <w:b/>
        </w:rPr>
      </w:pPr>
      <w:r w:rsidRPr="001C1E47">
        <w:rPr>
          <w:rFonts w:cs="Calibri"/>
          <w:b/>
        </w:rPr>
        <w:t xml:space="preserve">Observation FY </w:t>
      </w:r>
      <w:r w:rsidRPr="00A21829">
        <w:rPr>
          <w:rFonts w:cs="Calibri"/>
          <w:b/>
        </w:rPr>
        <w:t>2024-</w:t>
      </w:r>
      <w:r w:rsidR="00972588">
        <w:rPr>
          <w:rFonts w:cs="Calibri"/>
          <w:b/>
        </w:rPr>
        <w:t>OB</w:t>
      </w:r>
      <w:r w:rsidR="00E555BF">
        <w:rPr>
          <w:rFonts w:cs="Calibri"/>
          <w:b/>
        </w:rPr>
        <w:t>-</w:t>
      </w:r>
      <w:r w:rsidRPr="002F478E">
        <w:rPr>
          <w:rFonts w:cs="Calibri"/>
          <w:b/>
        </w:rPr>
        <w:t>0</w:t>
      </w:r>
      <w:r>
        <w:rPr>
          <w:rFonts w:cs="Calibri"/>
          <w:b/>
        </w:rPr>
        <w:t>2</w:t>
      </w:r>
      <w:r w:rsidR="00D306E0">
        <w:rPr>
          <w:rFonts w:cs="Calibri"/>
          <w:b/>
        </w:rPr>
        <w:t xml:space="preserve"> (previously FY 2023-OB-02)</w:t>
      </w:r>
      <w:r w:rsidR="00D306E0" w:rsidRPr="002F478E">
        <w:rPr>
          <w:rFonts w:cs="Calibri"/>
          <w:b/>
        </w:rPr>
        <w:t>:</w:t>
      </w:r>
      <w:r w:rsidRPr="002F478E">
        <w:rPr>
          <w:rFonts w:cs="Calibri"/>
          <w:b/>
        </w:rPr>
        <w:t xml:space="preserve"> </w:t>
      </w:r>
      <w:r w:rsidRPr="002F478E">
        <w:rPr>
          <w:rFonts w:cs="Calibri"/>
        </w:rPr>
        <w:t>In FY 2023, six of 18 (33.33%) complaint investigations reviewed were closed prior to completion of abatement.  Wyoming OSHA did not follow the guidance in its modified Chapter 9, Section I.I.9 of the FOM.</w:t>
      </w:r>
    </w:p>
    <w:p w14:paraId="3C33F33B" w14:textId="77777777" w:rsidR="002F478E" w:rsidRPr="001C1E47" w:rsidRDefault="002F478E" w:rsidP="002F478E">
      <w:pPr>
        <w:widowControl/>
        <w:tabs>
          <w:tab w:val="left" w:pos="1890"/>
          <w:tab w:val="left" w:pos="2430"/>
        </w:tabs>
        <w:autoSpaceDE/>
        <w:autoSpaceDN/>
        <w:adjustRightInd/>
        <w:contextualSpacing/>
        <w:rPr>
          <w:rFonts w:cs="Calibri"/>
          <w:b/>
          <w:highlight w:val="yellow"/>
          <w:u w:val="single"/>
        </w:rPr>
      </w:pPr>
    </w:p>
    <w:p w14:paraId="3006F115" w14:textId="1B7A2AC7" w:rsidR="002F478E" w:rsidRPr="001C1E47" w:rsidRDefault="002F478E" w:rsidP="002F478E">
      <w:pPr>
        <w:widowControl/>
        <w:autoSpaceDE/>
        <w:autoSpaceDN/>
        <w:adjustRightInd/>
        <w:rPr>
          <w:rFonts w:cs="Calibri"/>
          <w:b/>
        </w:rPr>
      </w:pPr>
      <w:r w:rsidRPr="001C1E47">
        <w:rPr>
          <w:rFonts w:cs="Calibri"/>
          <w:b/>
        </w:rPr>
        <w:t xml:space="preserve">Status: </w:t>
      </w:r>
      <w:r w:rsidR="00EB3BC9">
        <w:rPr>
          <w:rFonts w:cs="Calibri"/>
          <w:bCs/>
        </w:rPr>
        <w:t xml:space="preserve">During FY 2024, </w:t>
      </w:r>
      <w:r w:rsidR="00511193">
        <w:rPr>
          <w:rFonts w:cs="Calibri"/>
          <w:bCs/>
        </w:rPr>
        <w:t>Wyoming OSHA</w:t>
      </w:r>
      <w:r w:rsidR="003D01F4">
        <w:rPr>
          <w:rFonts w:cs="Calibri"/>
          <w:bCs/>
        </w:rPr>
        <w:t xml:space="preserve"> provided </w:t>
      </w:r>
      <w:r w:rsidR="00511193">
        <w:rPr>
          <w:rFonts w:cs="Calibri"/>
          <w:bCs/>
        </w:rPr>
        <w:t xml:space="preserve">training </w:t>
      </w:r>
      <w:r w:rsidR="003D01F4">
        <w:rPr>
          <w:rFonts w:cs="Calibri"/>
          <w:bCs/>
        </w:rPr>
        <w:t xml:space="preserve">to staff regarding </w:t>
      </w:r>
      <w:r w:rsidR="007B087E">
        <w:rPr>
          <w:rFonts w:cs="Calibri"/>
          <w:bCs/>
        </w:rPr>
        <w:t xml:space="preserve">abatement review and closure of complaint investigations.  </w:t>
      </w:r>
      <w:r w:rsidR="00272E0D">
        <w:rPr>
          <w:rFonts w:cs="Calibri"/>
          <w:bCs/>
        </w:rPr>
        <w:t xml:space="preserve">A compliance assurance position was created to assist with the processing </w:t>
      </w:r>
      <w:r w:rsidR="0068423A">
        <w:rPr>
          <w:rFonts w:cs="Calibri"/>
          <w:bCs/>
        </w:rPr>
        <w:t xml:space="preserve">of complaints </w:t>
      </w:r>
      <w:r w:rsidR="00272E0D">
        <w:rPr>
          <w:rFonts w:cs="Calibri"/>
          <w:bCs/>
        </w:rPr>
        <w:t xml:space="preserve">and </w:t>
      </w:r>
      <w:r w:rsidR="0068423A">
        <w:rPr>
          <w:rFonts w:cs="Calibri"/>
          <w:bCs/>
        </w:rPr>
        <w:t>closure</w:t>
      </w:r>
      <w:r w:rsidR="00272E0D">
        <w:rPr>
          <w:rFonts w:cs="Calibri"/>
          <w:bCs/>
        </w:rPr>
        <w:t xml:space="preserve"> of complaint</w:t>
      </w:r>
      <w:r w:rsidR="0068423A">
        <w:rPr>
          <w:rFonts w:cs="Calibri"/>
          <w:bCs/>
        </w:rPr>
        <w:t xml:space="preserve"> investigation</w:t>
      </w:r>
      <w:r w:rsidR="00272E0D">
        <w:rPr>
          <w:rFonts w:cs="Calibri"/>
          <w:bCs/>
        </w:rPr>
        <w:t xml:space="preserve">s.  </w:t>
      </w:r>
      <w:r w:rsidR="003E2979">
        <w:rPr>
          <w:rFonts w:cs="Calibri"/>
          <w:bCs/>
        </w:rPr>
        <w:t>T</w:t>
      </w:r>
      <w:r w:rsidR="00294037">
        <w:rPr>
          <w:rFonts w:cs="Calibri"/>
          <w:bCs/>
        </w:rPr>
        <w:t xml:space="preserve">he </w:t>
      </w:r>
      <w:r w:rsidR="001B74DB">
        <w:rPr>
          <w:rFonts w:cs="Calibri"/>
          <w:bCs/>
        </w:rPr>
        <w:t xml:space="preserve">compliance program supervisor </w:t>
      </w:r>
      <w:r w:rsidR="003E2979">
        <w:rPr>
          <w:rFonts w:cs="Calibri"/>
          <w:bCs/>
        </w:rPr>
        <w:t xml:space="preserve">reviewed </w:t>
      </w:r>
      <w:r w:rsidR="001B3863">
        <w:rPr>
          <w:rFonts w:cs="Calibri"/>
          <w:bCs/>
        </w:rPr>
        <w:t xml:space="preserve">case files </w:t>
      </w:r>
      <w:r w:rsidR="00272E0D">
        <w:rPr>
          <w:rFonts w:cs="Calibri"/>
          <w:bCs/>
        </w:rPr>
        <w:t xml:space="preserve">to ensure that all complaint allegations </w:t>
      </w:r>
      <w:r w:rsidR="002F0AF4">
        <w:rPr>
          <w:rFonts w:cs="Calibri"/>
          <w:bCs/>
        </w:rPr>
        <w:t>we</w:t>
      </w:r>
      <w:r w:rsidR="002B616F">
        <w:rPr>
          <w:rFonts w:cs="Calibri"/>
          <w:bCs/>
        </w:rPr>
        <w:t>re</w:t>
      </w:r>
      <w:r w:rsidR="00272E0D">
        <w:rPr>
          <w:rFonts w:cs="Calibri"/>
          <w:bCs/>
        </w:rPr>
        <w:t xml:space="preserve"> addressed.  </w:t>
      </w:r>
      <w:r w:rsidR="001A3CA1">
        <w:rPr>
          <w:rFonts w:cs="Calibri"/>
          <w:bCs/>
        </w:rPr>
        <w:t xml:space="preserve">Upon verification </w:t>
      </w:r>
      <w:r w:rsidR="00263479">
        <w:rPr>
          <w:rFonts w:cs="Calibri"/>
          <w:bCs/>
        </w:rPr>
        <w:t xml:space="preserve">that abatement </w:t>
      </w:r>
      <w:r w:rsidR="002F0AF4">
        <w:rPr>
          <w:rFonts w:cs="Calibri"/>
          <w:bCs/>
        </w:rPr>
        <w:t>was</w:t>
      </w:r>
      <w:r w:rsidR="00263479">
        <w:rPr>
          <w:rFonts w:cs="Calibri"/>
          <w:bCs/>
        </w:rPr>
        <w:t xml:space="preserve"> complete, operations staff </w:t>
      </w:r>
      <w:r w:rsidR="00F50E73">
        <w:rPr>
          <w:rFonts w:cs="Calibri"/>
          <w:bCs/>
        </w:rPr>
        <w:t>we</w:t>
      </w:r>
      <w:r w:rsidR="00E52AC8">
        <w:rPr>
          <w:rFonts w:cs="Calibri"/>
          <w:bCs/>
        </w:rPr>
        <w:t>re</w:t>
      </w:r>
      <w:r w:rsidR="00EB3BC9">
        <w:rPr>
          <w:rFonts w:cs="Calibri"/>
          <w:bCs/>
        </w:rPr>
        <w:t xml:space="preserve"> to </w:t>
      </w:r>
      <w:r w:rsidR="00263479">
        <w:rPr>
          <w:rFonts w:cs="Calibri"/>
          <w:bCs/>
        </w:rPr>
        <w:t xml:space="preserve">close the complaint investigation.  </w:t>
      </w:r>
      <w:r w:rsidR="00BA1C19" w:rsidRPr="00B21F74">
        <w:t xml:space="preserve">A case file review is necessary to evaluate performance in relation to this </w:t>
      </w:r>
      <w:r w:rsidR="00B45467">
        <w:t>observation</w:t>
      </w:r>
      <w:r w:rsidR="00BA1C19" w:rsidRPr="00B21F74">
        <w:t xml:space="preserve">.  This </w:t>
      </w:r>
      <w:r w:rsidR="00B45467">
        <w:t>observation</w:t>
      </w:r>
      <w:r w:rsidR="00BA1C19" w:rsidRPr="00B21F74">
        <w:t xml:space="preserve"> will be a focus of next</w:t>
      </w:r>
      <w:r w:rsidR="00BA1C19" w:rsidRPr="00C30ADE">
        <w:t xml:space="preserve"> year’s case file review during the FY 2025 </w:t>
      </w:r>
      <w:r w:rsidR="001B608E">
        <w:t>c</w:t>
      </w:r>
      <w:r w:rsidR="001B608E" w:rsidRPr="00C30ADE">
        <w:t xml:space="preserve">omprehensive </w:t>
      </w:r>
      <w:r w:rsidR="00BA1C19" w:rsidRPr="00C30ADE">
        <w:t>FAME.</w:t>
      </w:r>
      <w:r w:rsidR="00BA1C19" w:rsidRPr="00C30ADE">
        <w:rPr>
          <w:b/>
        </w:rPr>
        <w:t xml:space="preserve">  </w:t>
      </w:r>
      <w:r w:rsidR="00BA1C19" w:rsidRPr="00C30ADE">
        <w:rPr>
          <w:rFonts w:cs="Calibri"/>
        </w:rPr>
        <w:t xml:space="preserve">This </w:t>
      </w:r>
      <w:r w:rsidR="00B45467">
        <w:rPr>
          <w:rFonts w:cs="Calibri"/>
        </w:rPr>
        <w:t>observation</w:t>
      </w:r>
      <w:r w:rsidR="00BA1C19" w:rsidRPr="00C30ADE">
        <w:rPr>
          <w:rFonts w:cs="Calibri"/>
        </w:rPr>
        <w:t xml:space="preserve"> will be continued.</w:t>
      </w:r>
    </w:p>
    <w:p w14:paraId="5E9D34D4" w14:textId="77777777" w:rsidR="002F478E" w:rsidRDefault="002F478E" w:rsidP="00783189">
      <w:pPr>
        <w:widowControl/>
        <w:autoSpaceDE/>
        <w:autoSpaceDN/>
        <w:adjustRightInd/>
        <w:rPr>
          <w:rFonts w:cs="Calibri"/>
          <w:b/>
          <w:highlight w:val="yellow"/>
          <w:u w:val="single"/>
        </w:rPr>
      </w:pPr>
    </w:p>
    <w:p w14:paraId="0B2E7A7F" w14:textId="02B568A0" w:rsidR="002F478E" w:rsidRPr="00294037" w:rsidRDefault="002F478E" w:rsidP="002F478E">
      <w:pPr>
        <w:widowControl/>
        <w:tabs>
          <w:tab w:val="left" w:pos="1890"/>
          <w:tab w:val="left" w:pos="2430"/>
        </w:tabs>
        <w:autoSpaceDE/>
        <w:autoSpaceDN/>
        <w:adjustRightInd/>
        <w:contextualSpacing/>
        <w:rPr>
          <w:rFonts w:cs="Calibri"/>
          <w:b/>
        </w:rPr>
      </w:pPr>
      <w:r w:rsidRPr="001C1E47">
        <w:rPr>
          <w:rFonts w:cs="Calibri"/>
          <w:b/>
        </w:rPr>
        <w:t xml:space="preserve">Observation FY </w:t>
      </w:r>
      <w:r w:rsidRPr="00A21829">
        <w:rPr>
          <w:rFonts w:cs="Calibri"/>
          <w:b/>
        </w:rPr>
        <w:t>2024-</w:t>
      </w:r>
      <w:r w:rsidR="00E555BF">
        <w:rPr>
          <w:rFonts w:cs="Calibri"/>
          <w:b/>
        </w:rPr>
        <w:t>OB-</w:t>
      </w:r>
      <w:r w:rsidRPr="002F478E">
        <w:rPr>
          <w:rFonts w:cs="Calibri"/>
          <w:b/>
        </w:rPr>
        <w:t>0</w:t>
      </w:r>
      <w:r>
        <w:rPr>
          <w:rFonts w:cs="Calibri"/>
          <w:b/>
        </w:rPr>
        <w:t>3</w:t>
      </w:r>
      <w:r w:rsidR="00D306E0">
        <w:rPr>
          <w:rFonts w:cs="Calibri"/>
          <w:b/>
        </w:rPr>
        <w:t xml:space="preserve"> (previously FY 2023-OB-03)</w:t>
      </w:r>
      <w:r w:rsidR="00D306E0" w:rsidRPr="002F478E">
        <w:rPr>
          <w:rFonts w:cs="Calibri"/>
          <w:b/>
        </w:rPr>
        <w:t>:</w:t>
      </w:r>
      <w:r>
        <w:rPr>
          <w:rFonts w:cs="Calibri"/>
          <w:b/>
        </w:rPr>
        <w:t xml:space="preserve"> </w:t>
      </w:r>
      <w:r w:rsidR="001F0B2D" w:rsidRPr="001F0B2D">
        <w:rPr>
          <w:rFonts w:cs="Calibri"/>
          <w:bCs/>
        </w:rPr>
        <w:t xml:space="preserve">In FY 2023, of the six case files reviewed that resulted in violations, two (33.33%) did not contain documentation of worker interviews or </w:t>
      </w:r>
      <w:r w:rsidR="001F0B2D" w:rsidRPr="001F0B2D">
        <w:rPr>
          <w:rFonts w:cs="Calibri"/>
          <w:bCs/>
        </w:rPr>
        <w:lastRenderedPageBreak/>
        <w:t xml:space="preserve">statements regarding facts pertinent to a violation.  Wyoming OSHA did not follow the guidance in Chapter 5, Section VII.A; Chapter 3, Section VII.C; and Chapter 3, </w:t>
      </w:r>
      <w:r w:rsidR="001F0B2D" w:rsidRPr="00294037">
        <w:rPr>
          <w:rFonts w:cs="Calibri"/>
          <w:bCs/>
        </w:rPr>
        <w:t>Section VII.I.5.b of the FOM.</w:t>
      </w:r>
      <w:r w:rsidRPr="00294037">
        <w:rPr>
          <w:rFonts w:cs="Calibri"/>
          <w:b/>
        </w:rPr>
        <w:t xml:space="preserve"> </w:t>
      </w:r>
    </w:p>
    <w:p w14:paraId="111E17A8" w14:textId="77777777" w:rsidR="002F478E" w:rsidRPr="00294037" w:rsidRDefault="002F478E" w:rsidP="002F478E">
      <w:pPr>
        <w:widowControl/>
        <w:tabs>
          <w:tab w:val="left" w:pos="1890"/>
          <w:tab w:val="left" w:pos="2430"/>
        </w:tabs>
        <w:autoSpaceDE/>
        <w:autoSpaceDN/>
        <w:adjustRightInd/>
        <w:contextualSpacing/>
        <w:rPr>
          <w:rFonts w:cs="Calibri"/>
          <w:b/>
          <w:highlight w:val="yellow"/>
          <w:u w:val="single"/>
        </w:rPr>
      </w:pPr>
    </w:p>
    <w:p w14:paraId="4A7E4061" w14:textId="627746C0" w:rsidR="002F478E" w:rsidRDefault="002F478E" w:rsidP="002F478E">
      <w:pPr>
        <w:widowControl/>
        <w:autoSpaceDE/>
        <w:autoSpaceDN/>
        <w:adjustRightInd/>
        <w:rPr>
          <w:rFonts w:cs="Calibri"/>
          <w:color w:val="0070C0"/>
        </w:rPr>
      </w:pPr>
      <w:r w:rsidRPr="00294037">
        <w:rPr>
          <w:rFonts w:cs="Calibri"/>
          <w:b/>
        </w:rPr>
        <w:t xml:space="preserve">Status: </w:t>
      </w:r>
      <w:r w:rsidR="003F7EB9">
        <w:rPr>
          <w:rFonts w:cs="Calibri"/>
        </w:rPr>
        <w:t xml:space="preserve">For FY 2024, </w:t>
      </w:r>
      <w:r w:rsidR="00684E91">
        <w:rPr>
          <w:rFonts w:cs="Calibri"/>
        </w:rPr>
        <w:t>Wyoming OSHA’s</w:t>
      </w:r>
      <w:r w:rsidR="009D7AC9" w:rsidRPr="00294037">
        <w:rPr>
          <w:rFonts w:cs="Calibri"/>
        </w:rPr>
        <w:t xml:space="preserve"> procedure</w:t>
      </w:r>
      <w:r w:rsidR="00F84542" w:rsidRPr="00294037">
        <w:rPr>
          <w:rFonts w:cs="Calibri"/>
        </w:rPr>
        <w:t xml:space="preserve"> </w:t>
      </w:r>
      <w:r w:rsidR="007211E7">
        <w:rPr>
          <w:rFonts w:cs="Calibri"/>
        </w:rPr>
        <w:t>for case</w:t>
      </w:r>
      <w:r w:rsidR="005E0275">
        <w:rPr>
          <w:rFonts w:cs="Calibri"/>
        </w:rPr>
        <w:t xml:space="preserve"> </w:t>
      </w:r>
      <w:r w:rsidR="007211E7">
        <w:rPr>
          <w:rFonts w:cs="Calibri"/>
        </w:rPr>
        <w:t xml:space="preserve">file review </w:t>
      </w:r>
      <w:r w:rsidR="00F84542" w:rsidRPr="00294037">
        <w:rPr>
          <w:rFonts w:cs="Calibri"/>
        </w:rPr>
        <w:t>include</w:t>
      </w:r>
      <w:r w:rsidR="007211E7">
        <w:rPr>
          <w:rFonts w:cs="Calibri"/>
        </w:rPr>
        <w:t>d</w:t>
      </w:r>
      <w:r w:rsidR="00F84542" w:rsidRPr="00294037">
        <w:rPr>
          <w:rFonts w:cs="Calibri"/>
        </w:rPr>
        <w:t xml:space="preserve"> a checklist to ensure that the case</w:t>
      </w:r>
      <w:r w:rsidR="005E0275">
        <w:rPr>
          <w:rFonts w:cs="Calibri"/>
        </w:rPr>
        <w:t xml:space="preserve"> </w:t>
      </w:r>
      <w:r w:rsidR="00F84542" w:rsidRPr="00294037">
        <w:rPr>
          <w:rFonts w:cs="Calibri"/>
        </w:rPr>
        <w:t xml:space="preserve">file </w:t>
      </w:r>
      <w:r w:rsidR="007211E7">
        <w:rPr>
          <w:rFonts w:cs="Calibri"/>
        </w:rPr>
        <w:t>was</w:t>
      </w:r>
      <w:r w:rsidR="00F84542" w:rsidRPr="00294037">
        <w:rPr>
          <w:rFonts w:cs="Calibri"/>
        </w:rPr>
        <w:t xml:space="preserve"> complete. </w:t>
      </w:r>
      <w:r w:rsidR="00EB634A" w:rsidRPr="00294037">
        <w:rPr>
          <w:rFonts w:cs="Calibri"/>
        </w:rPr>
        <w:t xml:space="preserve"> The </w:t>
      </w:r>
      <w:r w:rsidR="00F50E73">
        <w:rPr>
          <w:rFonts w:cs="Calibri"/>
        </w:rPr>
        <w:t>case</w:t>
      </w:r>
      <w:r w:rsidR="005E0275">
        <w:rPr>
          <w:rFonts w:cs="Calibri"/>
        </w:rPr>
        <w:t xml:space="preserve"> </w:t>
      </w:r>
      <w:r w:rsidR="00F50E73">
        <w:rPr>
          <w:rFonts w:cs="Calibri"/>
        </w:rPr>
        <w:t xml:space="preserve">file </w:t>
      </w:r>
      <w:r w:rsidR="00EB634A" w:rsidRPr="00294037">
        <w:rPr>
          <w:rFonts w:cs="Calibri"/>
        </w:rPr>
        <w:t xml:space="preserve">review </w:t>
      </w:r>
      <w:r w:rsidR="00F50E73">
        <w:rPr>
          <w:rFonts w:cs="Calibri"/>
        </w:rPr>
        <w:t xml:space="preserve">was </w:t>
      </w:r>
      <w:r w:rsidR="00EB634A" w:rsidRPr="00294037">
        <w:rPr>
          <w:rFonts w:cs="Calibri"/>
        </w:rPr>
        <w:t xml:space="preserve">conducted by the </w:t>
      </w:r>
      <w:r w:rsidR="001B74DB">
        <w:rPr>
          <w:rFonts w:cs="Calibri"/>
        </w:rPr>
        <w:t>compliance program supervisor</w:t>
      </w:r>
      <w:r w:rsidR="00294037" w:rsidRPr="00294037">
        <w:rPr>
          <w:rFonts w:cs="Calibri"/>
        </w:rPr>
        <w:t>.</w:t>
      </w:r>
      <w:r w:rsidR="00294037">
        <w:rPr>
          <w:rFonts w:cs="Calibri"/>
        </w:rPr>
        <w:t xml:space="preserve">  </w:t>
      </w:r>
      <w:r w:rsidR="00F84542" w:rsidRPr="00294037">
        <w:rPr>
          <w:rFonts w:cs="Calibri"/>
        </w:rPr>
        <w:t>The review include</w:t>
      </w:r>
      <w:r w:rsidR="00F50E73">
        <w:rPr>
          <w:rFonts w:cs="Calibri"/>
        </w:rPr>
        <w:t>d</w:t>
      </w:r>
      <w:r w:rsidR="00F84542" w:rsidRPr="00294037">
        <w:rPr>
          <w:rFonts w:cs="Calibri"/>
        </w:rPr>
        <w:t xml:space="preserve"> verifying tha</w:t>
      </w:r>
      <w:r w:rsidR="006657E2" w:rsidRPr="00294037">
        <w:rPr>
          <w:rFonts w:cs="Calibri"/>
        </w:rPr>
        <w:t xml:space="preserve">t documentation of </w:t>
      </w:r>
      <w:r w:rsidR="00F82492">
        <w:rPr>
          <w:rFonts w:cs="Calibri"/>
        </w:rPr>
        <w:t>worker</w:t>
      </w:r>
      <w:r w:rsidR="006657E2" w:rsidRPr="00294037">
        <w:rPr>
          <w:rFonts w:cs="Calibri"/>
        </w:rPr>
        <w:t xml:space="preserve"> interviews </w:t>
      </w:r>
      <w:r w:rsidR="00F50E73">
        <w:rPr>
          <w:rFonts w:cs="Calibri"/>
        </w:rPr>
        <w:t>wa</w:t>
      </w:r>
      <w:r w:rsidR="007211E7">
        <w:rPr>
          <w:rFonts w:cs="Calibri"/>
        </w:rPr>
        <w:t>s</w:t>
      </w:r>
      <w:r w:rsidR="006657E2" w:rsidRPr="00294037">
        <w:rPr>
          <w:rFonts w:cs="Calibri"/>
        </w:rPr>
        <w:t xml:space="preserve"> in the case</w:t>
      </w:r>
      <w:r w:rsidR="005E0275">
        <w:rPr>
          <w:rFonts w:cs="Calibri"/>
        </w:rPr>
        <w:t xml:space="preserve"> </w:t>
      </w:r>
      <w:r w:rsidR="006657E2" w:rsidRPr="00294037">
        <w:rPr>
          <w:rFonts w:cs="Calibri"/>
        </w:rPr>
        <w:t>file</w:t>
      </w:r>
      <w:r w:rsidR="00EB0F95">
        <w:rPr>
          <w:rFonts w:cs="Calibri"/>
        </w:rPr>
        <w:t>, as well as</w:t>
      </w:r>
      <w:r w:rsidR="006657E2" w:rsidRPr="00294037">
        <w:rPr>
          <w:rFonts w:cs="Calibri"/>
        </w:rPr>
        <w:t xml:space="preserve"> ensuring that </w:t>
      </w:r>
      <w:r w:rsidR="00F82492">
        <w:rPr>
          <w:rFonts w:cs="Calibri"/>
        </w:rPr>
        <w:t>worker</w:t>
      </w:r>
      <w:r w:rsidR="00F82492" w:rsidRPr="00294037">
        <w:rPr>
          <w:rFonts w:cs="Calibri"/>
        </w:rPr>
        <w:t xml:space="preserve"> </w:t>
      </w:r>
      <w:r w:rsidR="006657E2" w:rsidRPr="00294037">
        <w:rPr>
          <w:rFonts w:cs="Calibri"/>
        </w:rPr>
        <w:t xml:space="preserve">interviews </w:t>
      </w:r>
      <w:r w:rsidR="00F50E73">
        <w:rPr>
          <w:rFonts w:cs="Calibri"/>
        </w:rPr>
        <w:t>we</w:t>
      </w:r>
      <w:r w:rsidR="003F7EB9">
        <w:rPr>
          <w:rFonts w:cs="Calibri"/>
        </w:rPr>
        <w:t>re</w:t>
      </w:r>
      <w:r w:rsidR="006657E2" w:rsidRPr="00294037">
        <w:rPr>
          <w:rFonts w:cs="Calibri"/>
        </w:rPr>
        <w:t xml:space="preserve"> entered on an interview form.  </w:t>
      </w:r>
      <w:r w:rsidR="00BA1C19" w:rsidRPr="00294037">
        <w:t xml:space="preserve">A case file review is necessary to evaluate performance in relation to this </w:t>
      </w:r>
      <w:r w:rsidR="00B45467">
        <w:t>observation</w:t>
      </w:r>
      <w:r w:rsidR="00BA1C19" w:rsidRPr="00294037">
        <w:t xml:space="preserve">.  This </w:t>
      </w:r>
      <w:r w:rsidR="00B45467">
        <w:t>observation</w:t>
      </w:r>
      <w:r w:rsidR="00BA1C19" w:rsidRPr="00294037">
        <w:t xml:space="preserve"> </w:t>
      </w:r>
      <w:r w:rsidR="00BA1C19" w:rsidRPr="00B21F74">
        <w:t>will be a focus of next</w:t>
      </w:r>
      <w:r w:rsidR="00BA1C19" w:rsidRPr="00C30ADE">
        <w:t xml:space="preserve"> year’s case file review during the FY 2025 </w:t>
      </w:r>
      <w:r w:rsidR="001B608E">
        <w:t>c</w:t>
      </w:r>
      <w:r w:rsidR="001B608E" w:rsidRPr="00C30ADE">
        <w:t xml:space="preserve">omprehensive </w:t>
      </w:r>
      <w:r w:rsidR="00BA1C19" w:rsidRPr="00C30ADE">
        <w:t>FAME.</w:t>
      </w:r>
      <w:r w:rsidR="00BA1C19" w:rsidRPr="00C30ADE">
        <w:rPr>
          <w:b/>
        </w:rPr>
        <w:t xml:space="preserve">  </w:t>
      </w:r>
      <w:r w:rsidR="00BA1C19" w:rsidRPr="00C30ADE">
        <w:rPr>
          <w:rFonts w:cs="Calibri"/>
        </w:rPr>
        <w:t xml:space="preserve">This </w:t>
      </w:r>
      <w:r w:rsidR="00B45467">
        <w:rPr>
          <w:rFonts w:cs="Calibri"/>
        </w:rPr>
        <w:t>observation</w:t>
      </w:r>
      <w:r w:rsidR="00BA1C19" w:rsidRPr="00C30ADE">
        <w:rPr>
          <w:rFonts w:cs="Calibri"/>
        </w:rPr>
        <w:t xml:space="preserve"> will be continued.</w:t>
      </w:r>
    </w:p>
    <w:p w14:paraId="7A38BE07" w14:textId="77777777" w:rsidR="001F0B2D" w:rsidRDefault="001F0B2D" w:rsidP="002F478E">
      <w:pPr>
        <w:widowControl/>
        <w:autoSpaceDE/>
        <w:autoSpaceDN/>
        <w:adjustRightInd/>
        <w:rPr>
          <w:rFonts w:cs="Calibri"/>
          <w:color w:val="0070C0"/>
        </w:rPr>
      </w:pPr>
    </w:p>
    <w:p w14:paraId="62EDFDE8" w14:textId="3DFBC9D6" w:rsidR="001F0B2D" w:rsidRPr="001C1E47" w:rsidRDefault="001F0B2D" w:rsidP="001F0B2D">
      <w:pPr>
        <w:widowControl/>
        <w:tabs>
          <w:tab w:val="left" w:pos="1890"/>
          <w:tab w:val="left" w:pos="2430"/>
        </w:tabs>
        <w:autoSpaceDE/>
        <w:autoSpaceDN/>
        <w:adjustRightInd/>
        <w:contextualSpacing/>
        <w:rPr>
          <w:rFonts w:cs="Calibri"/>
          <w:b/>
        </w:rPr>
      </w:pPr>
      <w:r w:rsidRPr="001C1E47">
        <w:rPr>
          <w:rFonts w:cs="Calibri"/>
          <w:b/>
        </w:rPr>
        <w:t xml:space="preserve">Observation FY </w:t>
      </w:r>
      <w:r w:rsidRPr="00A21829">
        <w:rPr>
          <w:rFonts w:cs="Calibri"/>
          <w:b/>
        </w:rPr>
        <w:t>2024-</w:t>
      </w:r>
      <w:r w:rsidR="00E555BF">
        <w:rPr>
          <w:rFonts w:cs="Calibri"/>
          <w:b/>
        </w:rPr>
        <w:t>OB-</w:t>
      </w:r>
      <w:r w:rsidRPr="002F478E">
        <w:rPr>
          <w:rFonts w:cs="Calibri"/>
          <w:b/>
        </w:rPr>
        <w:t>0</w:t>
      </w:r>
      <w:r>
        <w:rPr>
          <w:rFonts w:cs="Calibri"/>
          <w:b/>
        </w:rPr>
        <w:t>4</w:t>
      </w:r>
      <w:r w:rsidR="00D306E0">
        <w:rPr>
          <w:rFonts w:cs="Calibri"/>
          <w:b/>
        </w:rPr>
        <w:t xml:space="preserve"> (previously FY 2023-OB-04)</w:t>
      </w:r>
      <w:r w:rsidR="00D306E0" w:rsidRPr="002F478E">
        <w:rPr>
          <w:rFonts w:cs="Calibri"/>
          <w:b/>
        </w:rPr>
        <w:t>:</w:t>
      </w:r>
      <w:r>
        <w:rPr>
          <w:rFonts w:cs="Calibri"/>
          <w:b/>
        </w:rPr>
        <w:t xml:space="preserve"> </w:t>
      </w:r>
      <w:r w:rsidRPr="001F0B2D">
        <w:rPr>
          <w:rFonts w:cs="Calibri"/>
          <w:bCs/>
        </w:rPr>
        <w:t>In FY 2023, two of nine (22.22%) administratively closed</w:t>
      </w:r>
      <w:r w:rsidR="00631DBB">
        <w:rPr>
          <w:rFonts w:cs="Calibri"/>
          <w:bCs/>
        </w:rPr>
        <w:t xml:space="preserve"> </w:t>
      </w:r>
      <w:r w:rsidR="00A27E54">
        <w:rPr>
          <w:rFonts w:cs="Calibri"/>
          <w:bCs/>
        </w:rPr>
        <w:t>w</w:t>
      </w:r>
      <w:r w:rsidR="00631DBB">
        <w:rPr>
          <w:rFonts w:cs="Calibri"/>
          <w:bCs/>
        </w:rPr>
        <w:t>histleblower</w:t>
      </w:r>
      <w:r w:rsidRPr="001F0B2D">
        <w:rPr>
          <w:rFonts w:cs="Calibri"/>
          <w:bCs/>
        </w:rPr>
        <w:t xml:space="preserve"> cases contained sufficient information of prima facie cases, and Wyoming OSHA did not docket and investigate the cases.</w:t>
      </w:r>
    </w:p>
    <w:p w14:paraId="5F328FBC" w14:textId="77777777" w:rsidR="001F0B2D" w:rsidRPr="001C1E47" w:rsidRDefault="001F0B2D" w:rsidP="001F0B2D">
      <w:pPr>
        <w:widowControl/>
        <w:tabs>
          <w:tab w:val="left" w:pos="1890"/>
          <w:tab w:val="left" w:pos="2430"/>
        </w:tabs>
        <w:autoSpaceDE/>
        <w:autoSpaceDN/>
        <w:adjustRightInd/>
        <w:contextualSpacing/>
        <w:rPr>
          <w:rFonts w:cs="Calibri"/>
          <w:b/>
          <w:highlight w:val="yellow"/>
          <w:u w:val="single"/>
        </w:rPr>
      </w:pPr>
    </w:p>
    <w:p w14:paraId="31C11310" w14:textId="0FED281D" w:rsidR="001F0B2D" w:rsidRPr="00443119" w:rsidRDefault="001F0B2D" w:rsidP="001F0B2D">
      <w:pPr>
        <w:widowControl/>
        <w:autoSpaceDE/>
        <w:autoSpaceDN/>
        <w:adjustRightInd/>
        <w:rPr>
          <w:rFonts w:cs="Calibri"/>
          <w:bCs/>
          <w:color w:val="FF0000"/>
        </w:rPr>
      </w:pPr>
      <w:r w:rsidRPr="001C1E47">
        <w:rPr>
          <w:rFonts w:cs="Calibri"/>
          <w:b/>
        </w:rPr>
        <w:t>Status:</w:t>
      </w:r>
      <w:r w:rsidR="00774FA5">
        <w:rPr>
          <w:rFonts w:cs="Calibri"/>
          <w:bCs/>
        </w:rPr>
        <w:t xml:space="preserve"> </w:t>
      </w:r>
      <w:r w:rsidR="00C24126">
        <w:rPr>
          <w:rFonts w:cs="Calibri"/>
          <w:bCs/>
        </w:rPr>
        <w:t xml:space="preserve">The process </w:t>
      </w:r>
      <w:r w:rsidR="006F17C5">
        <w:rPr>
          <w:rFonts w:cs="Calibri"/>
          <w:bCs/>
        </w:rPr>
        <w:t>for</w:t>
      </w:r>
      <w:r w:rsidR="00C24126">
        <w:rPr>
          <w:rFonts w:cs="Calibri"/>
          <w:bCs/>
        </w:rPr>
        <w:t xml:space="preserve"> screen</w:t>
      </w:r>
      <w:r w:rsidR="006F17C5">
        <w:rPr>
          <w:rFonts w:cs="Calibri"/>
          <w:bCs/>
        </w:rPr>
        <w:t>ing</w:t>
      </w:r>
      <w:r w:rsidR="00C24126">
        <w:rPr>
          <w:rFonts w:cs="Calibri"/>
          <w:bCs/>
        </w:rPr>
        <w:t xml:space="preserve"> whistleblower </w:t>
      </w:r>
      <w:r w:rsidR="00C24126" w:rsidRPr="00E62E53">
        <w:rPr>
          <w:rFonts w:cs="Calibri"/>
          <w:bCs/>
        </w:rPr>
        <w:t xml:space="preserve">complaints did not change.  </w:t>
      </w:r>
      <w:r w:rsidR="008F2F43" w:rsidRPr="00E62E53">
        <w:rPr>
          <w:rFonts w:cs="Calibri"/>
          <w:bCs/>
        </w:rPr>
        <w:t xml:space="preserve">Complaints continued to be screened by the whistleblower investigator.  </w:t>
      </w:r>
      <w:r w:rsidR="00C24126" w:rsidRPr="00E62E53">
        <w:rPr>
          <w:rFonts w:cs="Calibri"/>
          <w:bCs/>
        </w:rPr>
        <w:t xml:space="preserve">Following screening, the whistleblower investigator </w:t>
      </w:r>
      <w:r w:rsidR="00A45325">
        <w:rPr>
          <w:rFonts w:cs="Calibri"/>
          <w:bCs/>
        </w:rPr>
        <w:t>was to send</w:t>
      </w:r>
      <w:r w:rsidR="002E1197" w:rsidRPr="00E62E53">
        <w:rPr>
          <w:rFonts w:cs="Calibri"/>
          <w:bCs/>
        </w:rPr>
        <w:t xml:space="preserve"> the deputy administrator an email</w:t>
      </w:r>
      <w:r w:rsidR="007E5145" w:rsidRPr="00E62E53">
        <w:rPr>
          <w:rFonts w:cs="Calibri"/>
          <w:bCs/>
        </w:rPr>
        <w:t xml:space="preserve"> outlining the complaint and the recommendation to either docket or administratively close the case.</w:t>
      </w:r>
      <w:r w:rsidR="000A023E" w:rsidRPr="00E62E53">
        <w:rPr>
          <w:rFonts w:cs="Calibri"/>
          <w:bCs/>
        </w:rPr>
        <w:t xml:space="preserve">  </w:t>
      </w:r>
      <w:r w:rsidR="00443119" w:rsidRPr="00E62E53">
        <w:rPr>
          <w:rFonts w:cs="Calibri"/>
          <w:bCs/>
        </w:rPr>
        <w:t>Written</w:t>
      </w:r>
      <w:r w:rsidR="000A023E" w:rsidRPr="00E62E53">
        <w:rPr>
          <w:rFonts w:cs="Calibri"/>
          <w:bCs/>
        </w:rPr>
        <w:t xml:space="preserve"> approval from the deputy administrator </w:t>
      </w:r>
      <w:r w:rsidR="000331EB">
        <w:rPr>
          <w:rFonts w:cs="Calibri"/>
          <w:bCs/>
        </w:rPr>
        <w:t>wa</w:t>
      </w:r>
      <w:r w:rsidR="000A023E" w:rsidRPr="00E62E53">
        <w:rPr>
          <w:rFonts w:cs="Calibri"/>
          <w:bCs/>
        </w:rPr>
        <w:t>s required for</w:t>
      </w:r>
      <w:r w:rsidR="00443119" w:rsidRPr="00E62E53">
        <w:rPr>
          <w:rFonts w:cs="Calibri"/>
          <w:bCs/>
        </w:rPr>
        <w:t xml:space="preserve"> docketing or closure.  </w:t>
      </w:r>
      <w:r w:rsidR="00774FA5" w:rsidRPr="00E62E53">
        <w:rPr>
          <w:rFonts w:cs="Calibri"/>
          <w:bCs/>
        </w:rPr>
        <w:t xml:space="preserve"> </w:t>
      </w:r>
      <w:r w:rsidR="00BA1C19" w:rsidRPr="00B21F74">
        <w:t xml:space="preserve">A case file review is necessary to evaluate performance in relation to this </w:t>
      </w:r>
      <w:r w:rsidR="00B45467">
        <w:t>observation</w:t>
      </w:r>
      <w:r w:rsidR="00BA1C19" w:rsidRPr="00B21F74">
        <w:t xml:space="preserve">.  This </w:t>
      </w:r>
      <w:r w:rsidR="00B45467">
        <w:t>observation</w:t>
      </w:r>
      <w:r w:rsidR="00BA1C19" w:rsidRPr="00B21F74">
        <w:t xml:space="preserve"> will be a focus of next</w:t>
      </w:r>
      <w:r w:rsidR="00BA1C19" w:rsidRPr="00C30ADE">
        <w:t xml:space="preserve"> year’s case file review during the FY 2025 </w:t>
      </w:r>
      <w:r w:rsidR="001B608E">
        <w:t>c</w:t>
      </w:r>
      <w:r w:rsidR="001B608E" w:rsidRPr="00C30ADE">
        <w:t xml:space="preserve">omprehensive </w:t>
      </w:r>
      <w:r w:rsidR="00BA1C19" w:rsidRPr="00C30ADE">
        <w:t>FAME.</w:t>
      </w:r>
      <w:r w:rsidR="00BA1C19" w:rsidRPr="00C30ADE">
        <w:rPr>
          <w:b/>
        </w:rPr>
        <w:t xml:space="preserve">  </w:t>
      </w:r>
      <w:r w:rsidR="00BA1C19" w:rsidRPr="00C30ADE">
        <w:rPr>
          <w:rFonts w:cs="Calibri"/>
        </w:rPr>
        <w:t xml:space="preserve">This </w:t>
      </w:r>
      <w:r w:rsidR="00B45467">
        <w:rPr>
          <w:rFonts w:cs="Calibri"/>
        </w:rPr>
        <w:t>observation</w:t>
      </w:r>
      <w:r w:rsidR="00BA1C19" w:rsidRPr="00C30ADE">
        <w:rPr>
          <w:rFonts w:cs="Calibri"/>
        </w:rPr>
        <w:t xml:space="preserve"> will be continued.</w:t>
      </w:r>
    </w:p>
    <w:p w14:paraId="213E0261" w14:textId="77777777" w:rsidR="001F0B2D" w:rsidRPr="001C1E47" w:rsidRDefault="001F0B2D" w:rsidP="002F478E">
      <w:pPr>
        <w:widowControl/>
        <w:autoSpaceDE/>
        <w:autoSpaceDN/>
        <w:adjustRightInd/>
        <w:rPr>
          <w:rFonts w:cs="Calibri"/>
          <w:b/>
        </w:rPr>
      </w:pPr>
    </w:p>
    <w:p w14:paraId="1FB38EEA" w14:textId="1E90A486" w:rsidR="001F0B2D" w:rsidRPr="001C1E47" w:rsidRDefault="001F0B2D" w:rsidP="001F0B2D">
      <w:pPr>
        <w:widowControl/>
        <w:tabs>
          <w:tab w:val="left" w:pos="1890"/>
          <w:tab w:val="left" w:pos="2430"/>
        </w:tabs>
        <w:autoSpaceDE/>
        <w:autoSpaceDN/>
        <w:adjustRightInd/>
        <w:contextualSpacing/>
        <w:rPr>
          <w:rFonts w:cs="Calibri"/>
          <w:b/>
        </w:rPr>
      </w:pPr>
      <w:r w:rsidRPr="001C1E47">
        <w:rPr>
          <w:rFonts w:cs="Calibri"/>
          <w:b/>
        </w:rPr>
        <w:t xml:space="preserve">Observation FY </w:t>
      </w:r>
      <w:r w:rsidRPr="00A21829">
        <w:rPr>
          <w:rFonts w:cs="Calibri"/>
          <w:b/>
        </w:rPr>
        <w:t>2024-</w:t>
      </w:r>
      <w:r w:rsidR="00E555BF">
        <w:rPr>
          <w:rFonts w:cs="Calibri"/>
          <w:b/>
        </w:rPr>
        <w:t>OB-</w:t>
      </w:r>
      <w:r w:rsidRPr="002F478E">
        <w:rPr>
          <w:rFonts w:cs="Calibri"/>
          <w:b/>
        </w:rPr>
        <w:t>0</w:t>
      </w:r>
      <w:r>
        <w:rPr>
          <w:rFonts w:cs="Calibri"/>
          <w:b/>
        </w:rPr>
        <w:t>5</w:t>
      </w:r>
      <w:r w:rsidR="00D306E0">
        <w:rPr>
          <w:rFonts w:cs="Calibri"/>
          <w:b/>
        </w:rPr>
        <w:t xml:space="preserve"> (previously FY 2023-OB-05)</w:t>
      </w:r>
      <w:r w:rsidRPr="002F478E">
        <w:rPr>
          <w:rFonts w:cs="Calibri"/>
          <w:b/>
        </w:rPr>
        <w:t>:</w:t>
      </w:r>
      <w:r w:rsidRPr="001F0B2D">
        <w:rPr>
          <w:rFonts w:cs="Calibri"/>
          <w:bCs/>
        </w:rPr>
        <w:t xml:space="preserve"> </w:t>
      </w:r>
      <w:bookmarkStart w:id="25" w:name="OLE_LINK6"/>
      <w:r w:rsidRPr="001F0B2D">
        <w:rPr>
          <w:rFonts w:cs="Calibri"/>
          <w:bCs/>
        </w:rPr>
        <w:t xml:space="preserve">In FY 2023, abatement of hazards was closed in five of twenty (25%) state and local government consultation </w:t>
      </w:r>
      <w:r w:rsidR="00904EE1">
        <w:rPr>
          <w:rFonts w:cs="Calibri"/>
          <w:bCs/>
        </w:rPr>
        <w:t xml:space="preserve">visit </w:t>
      </w:r>
      <w:r w:rsidRPr="001F0B2D">
        <w:rPr>
          <w:rFonts w:cs="Calibri"/>
          <w:bCs/>
        </w:rPr>
        <w:t>files when abatement was not completed.  Wyoming OSHA did not follow the guidance in Chapter 4, Section IV.A.</w:t>
      </w:r>
      <w:proofErr w:type="gramStart"/>
      <w:r w:rsidRPr="001F0B2D">
        <w:rPr>
          <w:rFonts w:cs="Calibri"/>
          <w:bCs/>
        </w:rPr>
        <w:t>2.b</w:t>
      </w:r>
      <w:proofErr w:type="gramEnd"/>
      <w:r w:rsidRPr="001F0B2D">
        <w:rPr>
          <w:rFonts w:cs="Calibri"/>
          <w:bCs/>
        </w:rPr>
        <w:t xml:space="preserve"> and Chapter 4, Section IV.A.2.b.ii of the </w:t>
      </w:r>
      <w:r w:rsidR="00C91091">
        <w:rPr>
          <w:rFonts w:cs="Calibri"/>
          <w:bCs/>
        </w:rPr>
        <w:t>Consultation Policies and Procedures Manual (</w:t>
      </w:r>
      <w:r w:rsidRPr="001F0B2D">
        <w:rPr>
          <w:rFonts w:cs="Calibri"/>
          <w:bCs/>
        </w:rPr>
        <w:t>CPPM</w:t>
      </w:r>
      <w:r w:rsidR="00C91091">
        <w:rPr>
          <w:rFonts w:cs="Calibri"/>
          <w:bCs/>
        </w:rPr>
        <w:t>)</w:t>
      </w:r>
      <w:r w:rsidRPr="001F0B2D">
        <w:rPr>
          <w:rFonts w:cs="Calibri"/>
          <w:bCs/>
        </w:rPr>
        <w:t>.</w:t>
      </w:r>
      <w:bookmarkEnd w:id="25"/>
    </w:p>
    <w:p w14:paraId="467E5769" w14:textId="77777777" w:rsidR="001F0B2D" w:rsidRPr="001C1E47" w:rsidRDefault="001F0B2D" w:rsidP="001F0B2D">
      <w:pPr>
        <w:widowControl/>
        <w:tabs>
          <w:tab w:val="left" w:pos="1890"/>
          <w:tab w:val="left" w:pos="2430"/>
        </w:tabs>
        <w:autoSpaceDE/>
        <w:autoSpaceDN/>
        <w:adjustRightInd/>
        <w:contextualSpacing/>
        <w:rPr>
          <w:rFonts w:cs="Calibri"/>
          <w:b/>
          <w:highlight w:val="yellow"/>
          <w:u w:val="single"/>
        </w:rPr>
      </w:pPr>
    </w:p>
    <w:p w14:paraId="77EC3E05" w14:textId="0D72A504" w:rsidR="001F0B2D" w:rsidRPr="001C1E47" w:rsidRDefault="001F0B2D" w:rsidP="001F0B2D">
      <w:pPr>
        <w:widowControl/>
        <w:autoSpaceDE/>
        <w:autoSpaceDN/>
        <w:adjustRightInd/>
        <w:rPr>
          <w:rFonts w:cs="Calibri"/>
          <w:b/>
        </w:rPr>
      </w:pPr>
      <w:r w:rsidRPr="001C1E47">
        <w:rPr>
          <w:rFonts w:cs="Calibri"/>
          <w:b/>
        </w:rPr>
        <w:t>Status:</w:t>
      </w:r>
      <w:r w:rsidR="00B371C5">
        <w:rPr>
          <w:rFonts w:cs="Calibri"/>
          <w:b/>
        </w:rPr>
        <w:t xml:space="preserve"> </w:t>
      </w:r>
      <w:r w:rsidR="00684E91">
        <w:rPr>
          <w:rFonts w:cs="Calibri"/>
          <w:bCs/>
        </w:rPr>
        <w:t>Wyoming OSHA</w:t>
      </w:r>
      <w:r w:rsidR="00462839" w:rsidRPr="00462839">
        <w:rPr>
          <w:rFonts w:cs="Calibri"/>
          <w:bCs/>
        </w:rPr>
        <w:t xml:space="preserve"> addressed verification of abatement </w:t>
      </w:r>
      <w:r w:rsidR="007B0E7C">
        <w:rPr>
          <w:rFonts w:cs="Calibri"/>
          <w:bCs/>
        </w:rPr>
        <w:t xml:space="preserve">for </w:t>
      </w:r>
      <w:r w:rsidR="00966C9B">
        <w:rPr>
          <w:rFonts w:cs="Calibri"/>
          <w:bCs/>
        </w:rPr>
        <w:t>state and local government</w:t>
      </w:r>
      <w:r w:rsidR="007B0E7C">
        <w:rPr>
          <w:rFonts w:cs="Calibri"/>
          <w:bCs/>
        </w:rPr>
        <w:t xml:space="preserve"> consultation </w:t>
      </w:r>
      <w:r w:rsidR="00462839" w:rsidRPr="00462839">
        <w:rPr>
          <w:rFonts w:cs="Calibri"/>
          <w:bCs/>
        </w:rPr>
        <w:t>during FY 2024</w:t>
      </w:r>
      <w:r w:rsidR="0003568A">
        <w:rPr>
          <w:rFonts w:cs="Calibri"/>
          <w:bCs/>
        </w:rPr>
        <w:t xml:space="preserve"> </w:t>
      </w:r>
      <w:r w:rsidR="00631DBB">
        <w:rPr>
          <w:rFonts w:cs="Calibri"/>
          <w:bCs/>
        </w:rPr>
        <w:t xml:space="preserve">by </w:t>
      </w:r>
      <w:r w:rsidR="00AA0CC6">
        <w:rPr>
          <w:rFonts w:cs="Calibri"/>
          <w:bCs/>
        </w:rPr>
        <w:t>requir</w:t>
      </w:r>
      <w:r w:rsidR="00631DBB">
        <w:rPr>
          <w:rFonts w:cs="Calibri"/>
          <w:bCs/>
        </w:rPr>
        <w:t>ing</w:t>
      </w:r>
      <w:r w:rsidR="007B0E7C">
        <w:rPr>
          <w:rFonts w:cs="Calibri"/>
          <w:bCs/>
        </w:rPr>
        <w:t xml:space="preserve"> </w:t>
      </w:r>
      <w:r w:rsidR="00631DBB">
        <w:rPr>
          <w:rFonts w:cs="Calibri"/>
          <w:bCs/>
        </w:rPr>
        <w:t>the consultants</w:t>
      </w:r>
      <w:r w:rsidR="00AA0CC6">
        <w:rPr>
          <w:rFonts w:cs="Calibri"/>
          <w:bCs/>
        </w:rPr>
        <w:t xml:space="preserve"> to verify </w:t>
      </w:r>
      <w:r w:rsidR="00DD1BB7">
        <w:rPr>
          <w:rFonts w:cs="Calibri"/>
          <w:bCs/>
        </w:rPr>
        <w:t xml:space="preserve">that each hazard noted in the </w:t>
      </w:r>
      <w:r w:rsidR="005C0531">
        <w:rPr>
          <w:rFonts w:cs="Calibri"/>
          <w:bCs/>
        </w:rPr>
        <w:t xml:space="preserve">consultation </w:t>
      </w:r>
      <w:r w:rsidR="00904EE1">
        <w:rPr>
          <w:rFonts w:cs="Calibri"/>
          <w:bCs/>
        </w:rPr>
        <w:t xml:space="preserve">visit </w:t>
      </w:r>
      <w:r w:rsidR="00DD1BB7">
        <w:rPr>
          <w:rFonts w:cs="Calibri"/>
          <w:bCs/>
        </w:rPr>
        <w:t xml:space="preserve">file </w:t>
      </w:r>
      <w:r w:rsidR="00FA3005">
        <w:rPr>
          <w:rFonts w:cs="Calibri"/>
          <w:bCs/>
        </w:rPr>
        <w:t>ha</w:t>
      </w:r>
      <w:r w:rsidR="00AA0CC6">
        <w:rPr>
          <w:rFonts w:cs="Calibri"/>
          <w:bCs/>
        </w:rPr>
        <w:t>d</w:t>
      </w:r>
      <w:r w:rsidR="00FA3005">
        <w:rPr>
          <w:rFonts w:cs="Calibri"/>
          <w:bCs/>
        </w:rPr>
        <w:t xml:space="preserve"> complete</w:t>
      </w:r>
      <w:r w:rsidR="007B0E7C">
        <w:rPr>
          <w:rFonts w:cs="Calibri"/>
          <w:bCs/>
        </w:rPr>
        <w:t xml:space="preserve"> abatement</w:t>
      </w:r>
      <w:r w:rsidR="00631DBB" w:rsidRPr="00631DBB">
        <w:rPr>
          <w:rFonts w:cs="Calibri"/>
          <w:bCs/>
        </w:rPr>
        <w:t xml:space="preserve"> </w:t>
      </w:r>
      <w:r w:rsidR="00631DBB">
        <w:rPr>
          <w:rFonts w:cs="Calibri"/>
          <w:bCs/>
        </w:rPr>
        <w:t>p</w:t>
      </w:r>
      <w:r w:rsidR="00631DBB" w:rsidRPr="00462839">
        <w:rPr>
          <w:rFonts w:cs="Calibri"/>
          <w:bCs/>
        </w:rPr>
        <w:t xml:space="preserve">rior to submitting </w:t>
      </w:r>
      <w:r w:rsidR="00631DBB">
        <w:rPr>
          <w:rFonts w:cs="Calibri"/>
          <w:bCs/>
        </w:rPr>
        <w:t xml:space="preserve">the </w:t>
      </w:r>
      <w:r w:rsidR="00631DBB" w:rsidRPr="00462839">
        <w:rPr>
          <w:rFonts w:cs="Calibri"/>
          <w:bCs/>
        </w:rPr>
        <w:t>file to the deputy administrator for review</w:t>
      </w:r>
      <w:r w:rsidR="00631DBB">
        <w:rPr>
          <w:rFonts w:cs="Calibri"/>
          <w:bCs/>
        </w:rPr>
        <w:t>.</w:t>
      </w:r>
      <w:r w:rsidR="00631DBB" w:rsidRPr="00462839">
        <w:rPr>
          <w:rFonts w:cs="Calibri"/>
          <w:bCs/>
        </w:rPr>
        <w:t xml:space="preserve"> </w:t>
      </w:r>
      <w:r w:rsidR="00FA3005">
        <w:rPr>
          <w:rFonts w:cs="Calibri"/>
          <w:bCs/>
        </w:rPr>
        <w:t xml:space="preserve"> </w:t>
      </w:r>
      <w:r w:rsidR="007B0E7C">
        <w:rPr>
          <w:rFonts w:cs="Calibri"/>
          <w:bCs/>
        </w:rPr>
        <w:t>The d</w:t>
      </w:r>
      <w:r w:rsidR="000B6CF2">
        <w:rPr>
          <w:rFonts w:cs="Calibri"/>
          <w:bCs/>
        </w:rPr>
        <w:t>eputy administrator approv</w:t>
      </w:r>
      <w:r w:rsidR="007B0E7C">
        <w:rPr>
          <w:rFonts w:cs="Calibri"/>
          <w:bCs/>
        </w:rPr>
        <w:t xml:space="preserve">ed the closure of each </w:t>
      </w:r>
      <w:r w:rsidR="005C0531">
        <w:rPr>
          <w:rFonts w:cs="Calibri"/>
          <w:bCs/>
        </w:rPr>
        <w:t xml:space="preserve">consultation </w:t>
      </w:r>
      <w:r w:rsidR="007B0E7C">
        <w:rPr>
          <w:rFonts w:cs="Calibri"/>
          <w:bCs/>
        </w:rPr>
        <w:t xml:space="preserve">visit after verifying completed abatement. </w:t>
      </w:r>
      <w:r w:rsidR="00C156A2">
        <w:rPr>
          <w:rFonts w:cs="Calibri"/>
          <w:bCs/>
        </w:rPr>
        <w:t xml:space="preserve"> </w:t>
      </w:r>
      <w:r w:rsidR="00BA1C19" w:rsidRPr="00B21F74">
        <w:t xml:space="preserve">A </w:t>
      </w:r>
      <w:r w:rsidR="005C0531">
        <w:t xml:space="preserve">consultation </w:t>
      </w:r>
      <w:r w:rsidR="00D1187B">
        <w:t>visit</w:t>
      </w:r>
      <w:r w:rsidR="00BA1C19" w:rsidRPr="00B21F74">
        <w:t xml:space="preserve"> file review is necessary to evaluate performance in relation to this </w:t>
      </w:r>
      <w:r w:rsidR="00E555BF">
        <w:t>observation</w:t>
      </w:r>
      <w:r w:rsidR="00BA1C19" w:rsidRPr="00B21F74">
        <w:t xml:space="preserve">.  This </w:t>
      </w:r>
      <w:r w:rsidR="00B45467">
        <w:t>observation</w:t>
      </w:r>
      <w:r w:rsidR="00BA1C19" w:rsidRPr="00B21F74">
        <w:t xml:space="preserve"> will be a focus of next</w:t>
      </w:r>
      <w:r w:rsidR="00BA1C19" w:rsidRPr="00C30ADE">
        <w:t xml:space="preserve"> year’s </w:t>
      </w:r>
      <w:r w:rsidR="00D1187B">
        <w:t>visit</w:t>
      </w:r>
      <w:r w:rsidR="00D1187B" w:rsidRPr="00C30ADE">
        <w:t xml:space="preserve"> </w:t>
      </w:r>
      <w:r w:rsidR="00BA1C19" w:rsidRPr="00C30ADE">
        <w:t xml:space="preserve">file review during the FY 2025 </w:t>
      </w:r>
      <w:r w:rsidR="001B608E">
        <w:t>c</w:t>
      </w:r>
      <w:r w:rsidR="001B608E" w:rsidRPr="00C30ADE">
        <w:t xml:space="preserve">omprehensive </w:t>
      </w:r>
      <w:r w:rsidR="00BA1C19" w:rsidRPr="00C30ADE">
        <w:t>FAME.</w:t>
      </w:r>
      <w:r w:rsidR="00BA1C19" w:rsidRPr="00C30ADE">
        <w:rPr>
          <w:b/>
        </w:rPr>
        <w:t xml:space="preserve">  </w:t>
      </w:r>
      <w:r w:rsidR="00BA1C19" w:rsidRPr="00C30ADE">
        <w:rPr>
          <w:rFonts w:cs="Calibri"/>
        </w:rPr>
        <w:t xml:space="preserve">This </w:t>
      </w:r>
      <w:r w:rsidR="00B45467">
        <w:rPr>
          <w:rFonts w:cs="Calibri"/>
        </w:rPr>
        <w:t>observation</w:t>
      </w:r>
      <w:r w:rsidR="00BA1C19" w:rsidRPr="00C30ADE">
        <w:rPr>
          <w:rFonts w:cs="Calibri"/>
        </w:rPr>
        <w:t xml:space="preserve"> will be continued.</w:t>
      </w:r>
    </w:p>
    <w:p w14:paraId="10759DAC" w14:textId="77777777" w:rsidR="002F478E" w:rsidRDefault="002F478E" w:rsidP="00783189">
      <w:pPr>
        <w:widowControl/>
        <w:autoSpaceDE/>
        <w:autoSpaceDN/>
        <w:adjustRightInd/>
        <w:rPr>
          <w:rFonts w:cs="Calibri"/>
          <w:b/>
          <w:highlight w:val="yellow"/>
          <w:u w:val="single"/>
        </w:rPr>
      </w:pPr>
    </w:p>
    <w:p w14:paraId="60205B8E" w14:textId="46BA3B2B" w:rsidR="006672E3" w:rsidRPr="0061362E" w:rsidRDefault="00443054" w:rsidP="00783189">
      <w:pPr>
        <w:widowControl/>
        <w:autoSpaceDE/>
        <w:autoSpaceDN/>
        <w:adjustRightInd/>
        <w:rPr>
          <w:rFonts w:cs="Calibri"/>
          <w:b/>
          <w:bCs/>
        </w:rPr>
      </w:pPr>
      <w:r w:rsidRPr="0061362E">
        <w:rPr>
          <w:rFonts w:cs="Calibri"/>
          <w:b/>
          <w:bCs/>
        </w:rPr>
        <w:t>New FY 2</w:t>
      </w:r>
      <w:r w:rsidRPr="00B42191">
        <w:rPr>
          <w:rFonts w:cs="Calibri"/>
          <w:b/>
          <w:bCs/>
        </w:rPr>
        <w:t>0</w:t>
      </w:r>
      <w:r w:rsidR="00B42191" w:rsidRPr="00B42191">
        <w:rPr>
          <w:rFonts w:cs="Calibri"/>
          <w:b/>
          <w:bCs/>
        </w:rPr>
        <w:t>24</w:t>
      </w:r>
      <w:r w:rsidRPr="0061362E">
        <w:rPr>
          <w:rFonts w:cs="Calibri"/>
          <w:b/>
          <w:bCs/>
        </w:rPr>
        <w:t xml:space="preserve"> </w:t>
      </w:r>
      <w:r w:rsidR="006672E3" w:rsidRPr="0061362E">
        <w:rPr>
          <w:rFonts w:cs="Calibri"/>
          <w:b/>
          <w:bCs/>
        </w:rPr>
        <w:t>Observation</w:t>
      </w:r>
    </w:p>
    <w:p w14:paraId="79BCF7D5" w14:textId="77777777" w:rsidR="00EF5378" w:rsidRPr="001C1E47" w:rsidRDefault="00EF5378" w:rsidP="00783189">
      <w:pPr>
        <w:widowControl/>
        <w:autoSpaceDE/>
        <w:autoSpaceDN/>
        <w:adjustRightInd/>
        <w:rPr>
          <w:rFonts w:cs="Calibri"/>
          <w:bCs/>
          <w:i/>
        </w:rPr>
      </w:pPr>
    </w:p>
    <w:p w14:paraId="617CA96D" w14:textId="06145351" w:rsidR="00CE51EE" w:rsidRPr="007324F0" w:rsidRDefault="00EF5378" w:rsidP="00783189">
      <w:pPr>
        <w:widowControl/>
        <w:autoSpaceDE/>
        <w:autoSpaceDN/>
        <w:adjustRightInd/>
        <w:rPr>
          <w:rFonts w:cs="Calibri"/>
          <w:bCs/>
        </w:rPr>
      </w:pPr>
      <w:r w:rsidRPr="001C1E47">
        <w:rPr>
          <w:rFonts w:cs="Calibri"/>
          <w:b/>
          <w:bCs/>
        </w:rPr>
        <w:t>Observation FY 20</w:t>
      </w:r>
      <w:r w:rsidR="00990FF8" w:rsidRPr="00990FF8">
        <w:rPr>
          <w:rFonts w:cs="Calibri"/>
          <w:b/>
          <w:bCs/>
        </w:rPr>
        <w:t>24</w:t>
      </w:r>
      <w:r w:rsidRPr="00A21829">
        <w:rPr>
          <w:rFonts w:cs="Calibri"/>
          <w:b/>
          <w:bCs/>
        </w:rPr>
        <w:t>-</w:t>
      </w:r>
      <w:r w:rsidR="00E555BF">
        <w:rPr>
          <w:rFonts w:cs="Calibri"/>
          <w:b/>
          <w:bCs/>
        </w:rPr>
        <w:t>OB-</w:t>
      </w:r>
      <w:r w:rsidRPr="00A21829">
        <w:rPr>
          <w:rFonts w:cs="Calibri"/>
          <w:b/>
          <w:bCs/>
        </w:rPr>
        <w:t>0</w:t>
      </w:r>
      <w:r w:rsidR="00A21829" w:rsidRPr="00A21829">
        <w:rPr>
          <w:rFonts w:cs="Calibri"/>
          <w:b/>
          <w:bCs/>
        </w:rPr>
        <w:t>6</w:t>
      </w:r>
      <w:r w:rsidRPr="00A21829">
        <w:rPr>
          <w:rFonts w:cs="Calibri"/>
          <w:b/>
          <w:bCs/>
        </w:rPr>
        <w:t>:</w:t>
      </w:r>
      <w:r w:rsidR="0015538A">
        <w:rPr>
          <w:rFonts w:cs="Calibri"/>
          <w:bCs/>
        </w:rPr>
        <w:t xml:space="preserve"> In FY </w:t>
      </w:r>
      <w:r w:rsidR="0015538A" w:rsidRPr="001379EF">
        <w:rPr>
          <w:rFonts w:cs="Calibri"/>
          <w:bCs/>
        </w:rPr>
        <w:t xml:space="preserve">2024, </w:t>
      </w:r>
      <w:r w:rsidR="00557591" w:rsidRPr="001379EF">
        <w:rPr>
          <w:rFonts w:cs="Calibri"/>
          <w:bCs/>
        </w:rPr>
        <w:t>t</w:t>
      </w:r>
      <w:r w:rsidR="00CE51EE" w:rsidRPr="001379EF">
        <w:rPr>
          <w:rFonts w:cs="Calibri"/>
          <w:bCs/>
        </w:rPr>
        <w:t xml:space="preserve">he </w:t>
      </w:r>
      <w:r w:rsidR="00203755" w:rsidRPr="001379EF">
        <w:rPr>
          <w:rFonts w:cs="Calibri"/>
          <w:bCs/>
        </w:rPr>
        <w:t xml:space="preserve">State Plan’s number of </w:t>
      </w:r>
      <w:r w:rsidR="00FE3F0F">
        <w:rPr>
          <w:rFonts w:cs="Calibri"/>
          <w:bCs/>
        </w:rPr>
        <w:t xml:space="preserve">safety </w:t>
      </w:r>
      <w:r w:rsidR="00203755" w:rsidRPr="001379EF">
        <w:rPr>
          <w:rFonts w:cs="Calibri"/>
          <w:bCs/>
        </w:rPr>
        <w:t xml:space="preserve">inspections </w:t>
      </w:r>
      <w:r w:rsidR="00BA51D6">
        <w:rPr>
          <w:rFonts w:cs="Calibri"/>
          <w:bCs/>
        </w:rPr>
        <w:t xml:space="preserve">conducted </w:t>
      </w:r>
      <w:r w:rsidR="0077148C">
        <w:rPr>
          <w:rFonts w:cs="Calibri"/>
          <w:bCs/>
        </w:rPr>
        <w:t>was</w:t>
      </w:r>
      <w:r w:rsidR="00203755" w:rsidRPr="001379EF">
        <w:rPr>
          <w:rFonts w:cs="Calibri"/>
          <w:bCs/>
        </w:rPr>
        <w:t xml:space="preserve"> </w:t>
      </w:r>
      <w:r w:rsidR="007B0E7C">
        <w:rPr>
          <w:rFonts w:cs="Calibri"/>
          <w:bCs/>
        </w:rPr>
        <w:t xml:space="preserve">significantly </w:t>
      </w:r>
      <w:r w:rsidR="00203755" w:rsidRPr="001379EF">
        <w:rPr>
          <w:rFonts w:cs="Calibri"/>
          <w:bCs/>
        </w:rPr>
        <w:t xml:space="preserve">below the </w:t>
      </w:r>
      <w:r w:rsidR="00BA51D6">
        <w:rPr>
          <w:rFonts w:cs="Calibri"/>
          <w:bCs/>
        </w:rPr>
        <w:t>FRL</w:t>
      </w:r>
      <w:r w:rsidR="00203755" w:rsidRPr="000339AB">
        <w:rPr>
          <w:rFonts w:cs="Calibri"/>
          <w:bCs/>
        </w:rPr>
        <w:t xml:space="preserve"> of </w:t>
      </w:r>
      <w:r w:rsidR="00FE4845" w:rsidRPr="000339AB">
        <w:rPr>
          <w:rFonts w:cs="Calibri"/>
          <w:bCs/>
        </w:rPr>
        <w:t>164</w:t>
      </w:r>
      <w:r w:rsidR="00203755" w:rsidRPr="000339AB">
        <w:rPr>
          <w:rFonts w:cs="Calibri"/>
          <w:bCs/>
        </w:rPr>
        <w:t xml:space="preserve"> </w:t>
      </w:r>
      <w:r w:rsidR="00BF38E4">
        <w:rPr>
          <w:rFonts w:cs="Calibri"/>
          <w:bCs/>
        </w:rPr>
        <w:t xml:space="preserve">to 182 </w:t>
      </w:r>
      <w:r w:rsidR="00203755" w:rsidRPr="000339AB">
        <w:rPr>
          <w:rFonts w:cs="Calibri"/>
          <w:bCs/>
        </w:rPr>
        <w:t xml:space="preserve">safety inspections.  </w:t>
      </w:r>
      <w:r w:rsidR="00FE3F0F">
        <w:rPr>
          <w:rFonts w:cs="Calibri"/>
          <w:bCs/>
        </w:rPr>
        <w:t>Wyoming OSHA</w:t>
      </w:r>
      <w:r w:rsidR="00203755" w:rsidRPr="000339AB">
        <w:rPr>
          <w:rFonts w:cs="Calibri"/>
          <w:bCs/>
        </w:rPr>
        <w:t xml:space="preserve"> conducted </w:t>
      </w:r>
      <w:r w:rsidR="00FE4845" w:rsidRPr="000339AB">
        <w:rPr>
          <w:rFonts w:cs="Calibri"/>
          <w:bCs/>
        </w:rPr>
        <w:t>79</w:t>
      </w:r>
      <w:r w:rsidR="00203755" w:rsidRPr="000339AB">
        <w:rPr>
          <w:rFonts w:cs="Calibri"/>
          <w:bCs/>
        </w:rPr>
        <w:t xml:space="preserve"> (</w:t>
      </w:r>
      <w:r w:rsidR="000339AB" w:rsidRPr="000339AB">
        <w:rPr>
          <w:rFonts w:cs="Calibri"/>
          <w:bCs/>
        </w:rPr>
        <w:t>45.66</w:t>
      </w:r>
      <w:r w:rsidR="00203755" w:rsidRPr="000339AB">
        <w:rPr>
          <w:rFonts w:cs="Calibri"/>
          <w:bCs/>
        </w:rPr>
        <w:t xml:space="preserve">%) of the </w:t>
      </w:r>
      <w:r w:rsidR="00FE4845" w:rsidRPr="000339AB">
        <w:rPr>
          <w:rFonts w:cs="Calibri"/>
          <w:bCs/>
        </w:rPr>
        <w:t>173</w:t>
      </w:r>
      <w:r w:rsidR="00203755" w:rsidRPr="000339AB">
        <w:rPr>
          <w:rFonts w:cs="Calibri"/>
          <w:bCs/>
        </w:rPr>
        <w:t xml:space="preserve"> planned safety inspections.</w:t>
      </w:r>
    </w:p>
    <w:p w14:paraId="067CAEF7" w14:textId="77777777" w:rsidR="00CE51EE" w:rsidRPr="007324F0" w:rsidRDefault="00CE51EE" w:rsidP="00783189">
      <w:pPr>
        <w:widowControl/>
        <w:autoSpaceDE/>
        <w:autoSpaceDN/>
        <w:adjustRightInd/>
        <w:rPr>
          <w:rFonts w:cs="Calibri"/>
          <w:bCs/>
        </w:rPr>
      </w:pPr>
    </w:p>
    <w:p w14:paraId="7850F093" w14:textId="0F506818" w:rsidR="00EF5378" w:rsidRPr="007324F0" w:rsidRDefault="00CE51EE" w:rsidP="00783189">
      <w:pPr>
        <w:widowControl/>
        <w:autoSpaceDE/>
        <w:autoSpaceDN/>
        <w:adjustRightInd/>
        <w:rPr>
          <w:rFonts w:cs="Calibri"/>
          <w:bCs/>
        </w:rPr>
      </w:pPr>
      <w:r w:rsidRPr="007324F0">
        <w:rPr>
          <w:rFonts w:cs="Calibri"/>
          <w:b/>
          <w:bCs/>
        </w:rPr>
        <w:lastRenderedPageBreak/>
        <w:t>Federal Monitoring Plan:</w:t>
      </w:r>
      <w:r w:rsidR="00D51DDD">
        <w:rPr>
          <w:rFonts w:cs="Calibri"/>
          <w:b/>
        </w:rPr>
        <w:t xml:space="preserve"> </w:t>
      </w:r>
      <w:r w:rsidR="00D51DDD" w:rsidRPr="002C22E6">
        <w:rPr>
          <w:rFonts w:asciiTheme="minorHAnsi" w:hAnsiTheme="minorHAnsi" w:cstheme="minorHAnsi"/>
        </w:rPr>
        <w:t xml:space="preserve">The OSHA Regional Office will monitor </w:t>
      </w:r>
      <w:r w:rsidR="00D51DDD">
        <w:rPr>
          <w:rFonts w:asciiTheme="minorHAnsi" w:hAnsiTheme="minorHAnsi" w:cstheme="minorHAnsi"/>
        </w:rPr>
        <w:t>Wyoming OSHA’s</w:t>
      </w:r>
      <w:r w:rsidR="00D51DDD" w:rsidRPr="002C22E6">
        <w:rPr>
          <w:rFonts w:asciiTheme="minorHAnsi" w:hAnsiTheme="minorHAnsi" w:cstheme="minorHAnsi"/>
        </w:rPr>
        <w:t xml:space="preserve"> performance in this area during quarterly meetings throughout FY 202</w:t>
      </w:r>
      <w:r w:rsidR="00D51DDD">
        <w:rPr>
          <w:rFonts w:asciiTheme="minorHAnsi" w:hAnsiTheme="minorHAnsi" w:cstheme="minorHAnsi"/>
        </w:rPr>
        <w:t>5</w:t>
      </w:r>
      <w:r w:rsidR="00D51DDD" w:rsidRPr="002C22E6">
        <w:rPr>
          <w:rFonts w:asciiTheme="minorHAnsi" w:hAnsiTheme="minorHAnsi" w:cstheme="minorHAnsi"/>
        </w:rPr>
        <w:t>.</w:t>
      </w:r>
    </w:p>
    <w:p w14:paraId="542A361B" w14:textId="77777777" w:rsidR="00CE51EE" w:rsidRPr="007324F0" w:rsidRDefault="00CE51EE" w:rsidP="00783189">
      <w:pPr>
        <w:widowControl/>
        <w:autoSpaceDE/>
        <w:autoSpaceDN/>
        <w:adjustRightInd/>
        <w:rPr>
          <w:rFonts w:cs="Calibri"/>
          <w:bCs/>
        </w:rPr>
      </w:pPr>
    </w:p>
    <w:p w14:paraId="48ABEB17" w14:textId="369AC6E8" w:rsidR="008E67B8" w:rsidRDefault="00CE51EE" w:rsidP="00783189">
      <w:pPr>
        <w:widowControl/>
        <w:autoSpaceDE/>
        <w:autoSpaceDN/>
        <w:adjustRightInd/>
        <w:rPr>
          <w:rFonts w:cs="Calibri"/>
        </w:rPr>
      </w:pPr>
      <w:r w:rsidRPr="007324F0">
        <w:rPr>
          <w:rFonts w:cs="Calibri"/>
          <w:b/>
          <w:bCs/>
        </w:rPr>
        <w:t>Discussion:</w:t>
      </w:r>
      <w:r w:rsidR="00C93F53">
        <w:rPr>
          <w:rFonts w:cs="Calibri"/>
          <w:bCs/>
        </w:rPr>
        <w:t xml:space="preserve"> </w:t>
      </w:r>
      <w:r w:rsidR="005E038B" w:rsidRPr="00C93F53">
        <w:rPr>
          <w:rFonts w:cs="Calibri"/>
          <w:bCs/>
        </w:rPr>
        <w:t>The</w:t>
      </w:r>
      <w:r w:rsidR="005E038B" w:rsidRPr="00C93F53">
        <w:rPr>
          <w:rFonts w:cs="Calibri"/>
        </w:rPr>
        <w:t xml:space="preserve"> FRL </w:t>
      </w:r>
      <w:r w:rsidR="005F77E4" w:rsidRPr="00C93F53">
        <w:rPr>
          <w:rFonts w:cs="Calibri"/>
        </w:rPr>
        <w:t xml:space="preserve">for </w:t>
      </w:r>
      <w:r w:rsidR="005E038B" w:rsidRPr="00C93F53">
        <w:rPr>
          <w:rFonts w:cs="Calibri"/>
        </w:rPr>
        <w:t xml:space="preserve">SAMM </w:t>
      </w:r>
      <w:r w:rsidR="00C93F53" w:rsidRPr="00C93F53">
        <w:rPr>
          <w:rFonts w:cs="Calibri"/>
        </w:rPr>
        <w:t>7a</w:t>
      </w:r>
      <w:r w:rsidR="005E038B" w:rsidRPr="00C93F53">
        <w:rPr>
          <w:rFonts w:cs="Calibri"/>
        </w:rPr>
        <w:t>,</w:t>
      </w:r>
      <w:r w:rsidR="005F77E4" w:rsidRPr="00C93F53">
        <w:rPr>
          <w:rFonts w:cs="Calibri"/>
        </w:rPr>
        <w:t xml:space="preserve"> </w:t>
      </w:r>
      <w:r w:rsidR="00C93F53" w:rsidRPr="00C93F53">
        <w:rPr>
          <w:rFonts w:cs="Calibri"/>
        </w:rPr>
        <w:t xml:space="preserve">planned </w:t>
      </w:r>
      <w:r w:rsidR="00A720B2">
        <w:rPr>
          <w:rFonts w:cs="Calibri"/>
        </w:rPr>
        <w:t>versus</w:t>
      </w:r>
      <w:r w:rsidR="00C93F53" w:rsidRPr="00C93F53">
        <w:rPr>
          <w:rFonts w:cs="Calibri"/>
        </w:rPr>
        <w:t xml:space="preserve"> actual inspections (safety)</w:t>
      </w:r>
      <w:r w:rsidR="005F77E4" w:rsidRPr="00C93F53">
        <w:rPr>
          <w:rFonts w:cs="Calibri"/>
        </w:rPr>
        <w:t>,</w:t>
      </w:r>
      <w:r w:rsidR="005E038B" w:rsidRPr="00C93F53">
        <w:rPr>
          <w:rFonts w:cs="Calibri"/>
        </w:rPr>
        <w:t xml:space="preserve"> </w:t>
      </w:r>
      <w:r w:rsidR="0015651D">
        <w:rPr>
          <w:rFonts w:cs="Calibri"/>
        </w:rPr>
        <w:t>was</w:t>
      </w:r>
      <w:r w:rsidR="005E038B" w:rsidRPr="00C93F53">
        <w:rPr>
          <w:rFonts w:cs="Calibri"/>
        </w:rPr>
        <w:t xml:space="preserve"> +/- 5% of </w:t>
      </w:r>
      <w:r w:rsidR="00C93F53" w:rsidRPr="00C93F53">
        <w:rPr>
          <w:rFonts w:cs="Calibri"/>
        </w:rPr>
        <w:t>173</w:t>
      </w:r>
      <w:r w:rsidR="003D4B68">
        <w:rPr>
          <w:rFonts w:cs="Calibri"/>
        </w:rPr>
        <w:t>,</w:t>
      </w:r>
      <w:r w:rsidR="005E038B" w:rsidRPr="00C93F53">
        <w:rPr>
          <w:rFonts w:cs="Calibri"/>
        </w:rPr>
        <w:t xml:space="preserve"> the number negotiated by OSHA and the State Plan through the </w:t>
      </w:r>
      <w:r w:rsidR="00470BF9">
        <w:rPr>
          <w:rFonts w:cs="Calibri"/>
        </w:rPr>
        <w:t xml:space="preserve">FY 2024 </w:t>
      </w:r>
      <w:r w:rsidR="005E038B" w:rsidRPr="00C93F53">
        <w:rPr>
          <w:rFonts w:cs="Calibri"/>
        </w:rPr>
        <w:t xml:space="preserve">grant application.  </w:t>
      </w:r>
      <w:r w:rsidR="005E038B" w:rsidRPr="0015538A">
        <w:rPr>
          <w:rFonts w:cs="Calibri"/>
        </w:rPr>
        <w:t xml:space="preserve">Therefore, the FRL range </w:t>
      </w:r>
      <w:r w:rsidR="0015651D" w:rsidRPr="0015538A">
        <w:rPr>
          <w:rFonts w:cs="Calibri"/>
        </w:rPr>
        <w:t>was</w:t>
      </w:r>
      <w:r w:rsidR="005E038B" w:rsidRPr="0015538A">
        <w:rPr>
          <w:rFonts w:cs="Calibri"/>
        </w:rPr>
        <w:t xml:space="preserve"> </w:t>
      </w:r>
      <w:r w:rsidR="0015651D" w:rsidRPr="0015538A">
        <w:rPr>
          <w:rFonts w:cs="Calibri"/>
        </w:rPr>
        <w:t>164 to 182.</w:t>
      </w:r>
      <w:r w:rsidR="005E038B" w:rsidRPr="0015538A">
        <w:rPr>
          <w:rFonts w:cs="Calibri"/>
        </w:rPr>
        <w:t xml:space="preserve">  </w:t>
      </w:r>
      <w:bookmarkStart w:id="26" w:name="OLE_LINK3"/>
      <w:r w:rsidR="00623C32">
        <w:rPr>
          <w:rFonts w:cs="Calibri"/>
        </w:rPr>
        <w:t xml:space="preserve">Conducting </w:t>
      </w:r>
      <w:r w:rsidR="00766B83">
        <w:rPr>
          <w:rFonts w:cs="Calibri"/>
        </w:rPr>
        <w:t xml:space="preserve">79 safety inspections, </w:t>
      </w:r>
      <w:r w:rsidR="00EF0AAA" w:rsidRPr="005256D1">
        <w:rPr>
          <w:rFonts w:asciiTheme="minorHAnsi" w:hAnsiTheme="minorHAnsi" w:cstheme="minorHAnsi"/>
        </w:rPr>
        <w:t xml:space="preserve">Wyoming OSHA </w:t>
      </w:r>
      <w:r w:rsidR="00EF0AAA" w:rsidRPr="0015538A">
        <w:rPr>
          <w:rFonts w:cs="Calibri"/>
        </w:rPr>
        <w:t>was significantly below the FRL</w:t>
      </w:r>
      <w:r w:rsidR="00EF0AAA" w:rsidRPr="001C3FAF">
        <w:rPr>
          <w:rFonts w:cs="Calibri"/>
        </w:rPr>
        <w:t xml:space="preserve">.  </w:t>
      </w:r>
      <w:r w:rsidR="00B429CC">
        <w:rPr>
          <w:rFonts w:cs="Calibri"/>
        </w:rPr>
        <w:t xml:space="preserve">The State Plan did not meet the FRL in </w:t>
      </w:r>
      <w:r w:rsidR="001B313F">
        <w:rPr>
          <w:rFonts w:cs="Calibri"/>
        </w:rPr>
        <w:t xml:space="preserve">the previous two fiscal years either.  </w:t>
      </w:r>
      <w:r w:rsidR="00567531" w:rsidRPr="001C3FAF">
        <w:rPr>
          <w:rFonts w:cs="Calibri"/>
        </w:rPr>
        <w:t xml:space="preserve">While </w:t>
      </w:r>
      <w:r w:rsidR="00684E91">
        <w:rPr>
          <w:rFonts w:cs="Calibri"/>
        </w:rPr>
        <w:t>Wyoming OSHA</w:t>
      </w:r>
      <w:r w:rsidR="00567531" w:rsidRPr="001C3FAF">
        <w:rPr>
          <w:rFonts w:cs="Calibri"/>
        </w:rPr>
        <w:t xml:space="preserve"> had one compliance officer </w:t>
      </w:r>
      <w:r w:rsidR="001D27FE">
        <w:rPr>
          <w:rFonts w:cs="Calibri"/>
        </w:rPr>
        <w:t xml:space="preserve">vacancy </w:t>
      </w:r>
      <w:r w:rsidR="00567531" w:rsidRPr="001C3FAF">
        <w:rPr>
          <w:rFonts w:cs="Calibri"/>
        </w:rPr>
        <w:t xml:space="preserve">during FY 2024, this was also the situation during FY 2023.  </w:t>
      </w:r>
      <w:r w:rsidR="004C02D3" w:rsidRPr="004C02D3">
        <w:rPr>
          <w:rFonts w:cs="Calibri"/>
        </w:rPr>
        <w:t xml:space="preserve">For FY 2023, the State Plan conducted 135 safety inspections, which </w:t>
      </w:r>
      <w:r w:rsidR="00724365" w:rsidRPr="004C02D3">
        <w:rPr>
          <w:rFonts w:cs="Calibri"/>
        </w:rPr>
        <w:t>were</w:t>
      </w:r>
      <w:r w:rsidR="004C02D3" w:rsidRPr="004C02D3">
        <w:rPr>
          <w:rFonts w:cs="Calibri"/>
        </w:rPr>
        <w:t xml:space="preserve"> 40 fewer inspections than planned. </w:t>
      </w:r>
      <w:r w:rsidR="00B566CD">
        <w:rPr>
          <w:rFonts w:cs="Calibri"/>
        </w:rPr>
        <w:t xml:space="preserve"> </w:t>
      </w:r>
      <w:r w:rsidR="00563160">
        <w:rPr>
          <w:rFonts w:cs="Calibri"/>
        </w:rPr>
        <w:t xml:space="preserve">During FY 2022, with full compliance officer staffing, </w:t>
      </w:r>
      <w:r w:rsidR="0095140C">
        <w:rPr>
          <w:rFonts w:cs="Calibri"/>
        </w:rPr>
        <w:t xml:space="preserve">the State Plan </w:t>
      </w:r>
      <w:r w:rsidR="00925B36">
        <w:rPr>
          <w:rFonts w:cs="Calibri"/>
        </w:rPr>
        <w:t>conducted 10 fewer safety inspections than planned</w:t>
      </w:r>
      <w:r w:rsidR="002E7BF7">
        <w:rPr>
          <w:rFonts w:cs="Calibri"/>
        </w:rPr>
        <w:t>.</w:t>
      </w:r>
      <w:r w:rsidR="00563160">
        <w:rPr>
          <w:rFonts w:cs="Calibri"/>
        </w:rPr>
        <w:t xml:space="preserve">  </w:t>
      </w:r>
      <w:r w:rsidR="005E038B" w:rsidRPr="001C3FAF">
        <w:rPr>
          <w:rFonts w:cs="Calibri"/>
        </w:rPr>
        <w:t xml:space="preserve"> </w:t>
      </w:r>
    </w:p>
    <w:p w14:paraId="2B63931B" w14:textId="77777777" w:rsidR="008E67B8" w:rsidRDefault="008E67B8" w:rsidP="00783189">
      <w:pPr>
        <w:widowControl/>
        <w:autoSpaceDE/>
        <w:autoSpaceDN/>
        <w:adjustRightInd/>
        <w:rPr>
          <w:rFonts w:cs="Calibri"/>
        </w:rPr>
      </w:pPr>
    </w:p>
    <w:p w14:paraId="726A89A4" w14:textId="4E1A039D" w:rsidR="00CE51EE" w:rsidRDefault="00951388" w:rsidP="00783189">
      <w:pPr>
        <w:widowControl/>
        <w:autoSpaceDE/>
        <w:autoSpaceDN/>
        <w:adjustRightInd/>
        <w:rPr>
          <w:rFonts w:cs="Calibri"/>
        </w:rPr>
      </w:pPr>
      <w:r>
        <w:rPr>
          <w:rFonts w:asciiTheme="minorHAnsi" w:hAnsiTheme="minorHAnsi" w:cstheme="minorHAnsi"/>
        </w:rPr>
        <w:t>B</w:t>
      </w:r>
      <w:r w:rsidR="001D42F6">
        <w:rPr>
          <w:rFonts w:asciiTheme="minorHAnsi" w:hAnsiTheme="minorHAnsi" w:cstheme="minorHAnsi"/>
        </w:rPr>
        <w:t xml:space="preserve">oth health compliance officers and safety compliance officers performed safety inspections.  </w:t>
      </w:r>
      <w:r w:rsidR="000B37C6">
        <w:rPr>
          <w:rFonts w:cs="Calibri"/>
        </w:rPr>
        <w:t xml:space="preserve">The downturn in inspection numbers during FY 2023 was partially attributed to the loss of </w:t>
      </w:r>
      <w:r w:rsidR="00B410C6">
        <w:rPr>
          <w:rFonts w:cs="Calibri"/>
        </w:rPr>
        <w:t xml:space="preserve">an </w:t>
      </w:r>
      <w:r w:rsidR="000B37C6">
        <w:rPr>
          <w:rFonts w:cs="Calibri"/>
        </w:rPr>
        <w:t xml:space="preserve">experienced </w:t>
      </w:r>
      <w:r w:rsidR="00B410C6">
        <w:rPr>
          <w:rFonts w:cs="Calibri"/>
        </w:rPr>
        <w:t xml:space="preserve">health </w:t>
      </w:r>
      <w:r w:rsidR="000B37C6">
        <w:rPr>
          <w:rFonts w:cs="Calibri"/>
        </w:rPr>
        <w:t>compliance officer.  However, during FY 2024 a greater reduction in safety inspections occurred.  I</w:t>
      </w:r>
      <w:r w:rsidR="000B37C6" w:rsidRPr="001C3FAF">
        <w:rPr>
          <w:rFonts w:cs="Calibri"/>
        </w:rPr>
        <w:t xml:space="preserve">n addition to </w:t>
      </w:r>
      <w:r w:rsidR="000B37C6">
        <w:rPr>
          <w:rFonts w:cs="Calibri"/>
        </w:rPr>
        <w:t>the vacant</w:t>
      </w:r>
      <w:r w:rsidR="000B37C6" w:rsidRPr="001C3FAF">
        <w:rPr>
          <w:rFonts w:cs="Calibri"/>
        </w:rPr>
        <w:t xml:space="preserve"> </w:t>
      </w:r>
      <w:r w:rsidR="00D86E46">
        <w:rPr>
          <w:rFonts w:cs="Calibri"/>
        </w:rPr>
        <w:t xml:space="preserve">health </w:t>
      </w:r>
      <w:r w:rsidR="000B37C6" w:rsidRPr="001C3FAF">
        <w:rPr>
          <w:rFonts w:cs="Calibri"/>
        </w:rPr>
        <w:t>compliance officer</w:t>
      </w:r>
      <w:r w:rsidR="000B37C6">
        <w:rPr>
          <w:rFonts w:cs="Calibri"/>
        </w:rPr>
        <w:t xml:space="preserve"> position</w:t>
      </w:r>
      <w:r w:rsidR="000B37C6" w:rsidRPr="001C3FAF">
        <w:rPr>
          <w:rFonts w:cs="Calibri"/>
        </w:rPr>
        <w:t xml:space="preserve">, resource availability impacted State Plan operations during FY 2024.  </w:t>
      </w:r>
      <w:r w:rsidR="000B37C6">
        <w:rPr>
          <w:rFonts w:cs="Calibri"/>
        </w:rPr>
        <w:t xml:space="preserve">The end of FY 2024 also saw a change in </w:t>
      </w:r>
      <w:r w:rsidR="000C6378">
        <w:rPr>
          <w:rFonts w:cs="Calibri"/>
        </w:rPr>
        <w:t xml:space="preserve">the </w:t>
      </w:r>
      <w:r w:rsidR="000B37C6">
        <w:rPr>
          <w:rFonts w:cs="Calibri"/>
        </w:rPr>
        <w:t xml:space="preserve">management of </w:t>
      </w:r>
      <w:r w:rsidR="00A54BE7">
        <w:rPr>
          <w:rFonts w:cs="Calibri"/>
        </w:rPr>
        <w:t>Wyoming OSHA</w:t>
      </w:r>
      <w:r w:rsidR="000B37C6">
        <w:rPr>
          <w:rFonts w:cs="Calibri"/>
        </w:rPr>
        <w:t xml:space="preserve">.  </w:t>
      </w:r>
      <w:bookmarkEnd w:id="26"/>
    </w:p>
    <w:p w14:paraId="6ACD760D" w14:textId="77777777" w:rsidR="002F148F" w:rsidRDefault="002F148F" w:rsidP="00783189">
      <w:pPr>
        <w:widowControl/>
        <w:autoSpaceDE/>
        <w:autoSpaceDN/>
        <w:adjustRightInd/>
        <w:rPr>
          <w:rFonts w:cs="Calibri"/>
        </w:rPr>
      </w:pPr>
    </w:p>
    <w:p w14:paraId="3B8FB624" w14:textId="4530D346" w:rsidR="002F148F" w:rsidRDefault="00435074" w:rsidP="00783189">
      <w:pPr>
        <w:widowControl/>
        <w:autoSpaceDE/>
        <w:autoSpaceDN/>
        <w:adjustRightInd/>
        <w:rPr>
          <w:rFonts w:asciiTheme="minorHAnsi" w:hAnsiTheme="minorHAnsi" w:cstheme="minorBidi"/>
        </w:rPr>
      </w:pPr>
      <w:r>
        <w:rPr>
          <w:rFonts w:cs="Calibri"/>
        </w:rPr>
        <w:t xml:space="preserve">In addition, </w:t>
      </w:r>
      <w:r w:rsidR="00E12230">
        <w:rPr>
          <w:rFonts w:cs="Calibri"/>
        </w:rPr>
        <w:t>t</w:t>
      </w:r>
      <w:r w:rsidR="0BD25BBF" w:rsidRPr="3D2B25CB">
        <w:rPr>
          <w:rFonts w:cs="Calibri"/>
        </w:rPr>
        <w:t xml:space="preserve">he State Plan did </w:t>
      </w:r>
      <w:r w:rsidR="00E12230">
        <w:rPr>
          <w:rFonts w:cs="Calibri"/>
        </w:rPr>
        <w:t>far</w:t>
      </w:r>
      <w:r w:rsidR="00E12230" w:rsidRPr="3D2B25CB">
        <w:rPr>
          <w:rFonts w:cs="Calibri"/>
        </w:rPr>
        <w:t xml:space="preserve"> </w:t>
      </w:r>
      <w:r w:rsidR="49AE3F2F" w:rsidRPr="3D2B25CB">
        <w:rPr>
          <w:rFonts w:cs="Calibri"/>
        </w:rPr>
        <w:t xml:space="preserve">fewer </w:t>
      </w:r>
      <w:r w:rsidR="0BD25BBF" w:rsidRPr="3D2B25CB">
        <w:rPr>
          <w:rFonts w:cs="Calibri"/>
        </w:rPr>
        <w:t>programmed safety inspections during FY 2024.  Programmed work accounted for 15.19% of activity during FY 2024, whereas during FY 2023, FY 2022, and FY 2021, the averages were 55.56%, 58.28%, and 60.90%</w:t>
      </w:r>
      <w:r w:rsidR="00E02AE2">
        <w:rPr>
          <w:rFonts w:cs="Calibri"/>
        </w:rPr>
        <w:t>,</w:t>
      </w:r>
      <w:r w:rsidR="0BD25BBF" w:rsidRPr="3D2B25CB">
        <w:rPr>
          <w:rFonts w:cs="Calibri"/>
        </w:rPr>
        <w:t xml:space="preserve"> respectively.  The dramatic decline in the number of safety inspections is a concern and </w:t>
      </w:r>
      <w:r w:rsidR="67D61F8F" w:rsidRPr="3D2B25CB">
        <w:rPr>
          <w:rFonts w:cs="Calibri"/>
        </w:rPr>
        <w:t>is</w:t>
      </w:r>
      <w:r w:rsidR="0BD25BBF" w:rsidRPr="3D2B25CB">
        <w:rPr>
          <w:rFonts w:cs="Calibri"/>
        </w:rPr>
        <w:t xml:space="preserve"> </w:t>
      </w:r>
      <w:r w:rsidR="0BD25BBF" w:rsidRPr="3D2B25CB">
        <w:rPr>
          <w:rFonts w:asciiTheme="minorHAnsi" w:hAnsiTheme="minorHAnsi" w:cstheme="minorBidi"/>
        </w:rPr>
        <w:t>addressed as a</w:t>
      </w:r>
      <w:r w:rsidR="071B5D8A" w:rsidRPr="3D2B25CB">
        <w:rPr>
          <w:rFonts w:asciiTheme="minorHAnsi" w:hAnsiTheme="minorHAnsi" w:cstheme="minorBidi"/>
        </w:rPr>
        <w:t xml:space="preserve"> new </w:t>
      </w:r>
      <w:r w:rsidR="0BD25BBF" w:rsidRPr="3D2B25CB">
        <w:rPr>
          <w:rFonts w:asciiTheme="minorHAnsi" w:hAnsiTheme="minorHAnsi" w:cstheme="minorBidi"/>
        </w:rPr>
        <w:t xml:space="preserve">observation.  </w:t>
      </w:r>
    </w:p>
    <w:p w14:paraId="653CE878" w14:textId="77777777" w:rsidR="008420F4" w:rsidRPr="001C1E47" w:rsidRDefault="008420F4" w:rsidP="008420F4">
      <w:pPr>
        <w:widowControl/>
        <w:autoSpaceDE/>
        <w:autoSpaceDN/>
        <w:adjustRightInd/>
        <w:rPr>
          <w:rFonts w:cs="Calibri"/>
          <w:bCs/>
        </w:rPr>
      </w:pPr>
    </w:p>
    <w:p w14:paraId="3B828F9D" w14:textId="6C45BA5D" w:rsidR="00F132A8" w:rsidRPr="0061362E" w:rsidRDefault="00F132A8" w:rsidP="006A2768">
      <w:pPr>
        <w:pStyle w:val="Heading3"/>
      </w:pPr>
      <w:bookmarkStart w:id="27" w:name="_Toc118900177"/>
      <w:bookmarkStart w:id="28" w:name="_Toc118905016"/>
      <w:bookmarkStart w:id="29" w:name="_Toc119418668"/>
      <w:r w:rsidRPr="0061362E">
        <w:t>State Activity Mandated Measures (SAMM)</w:t>
      </w:r>
      <w:r w:rsidR="00A243D6" w:rsidRPr="0061362E">
        <w:t xml:space="preserve"> Highlights</w:t>
      </w:r>
      <w:bookmarkEnd w:id="27"/>
      <w:bookmarkEnd w:id="28"/>
      <w:bookmarkEnd w:id="29"/>
    </w:p>
    <w:p w14:paraId="6AD12CC3" w14:textId="77777777" w:rsidR="00C14885" w:rsidRPr="001C1E47" w:rsidRDefault="00C14885" w:rsidP="00783189">
      <w:pPr>
        <w:widowControl/>
        <w:autoSpaceDE/>
        <w:adjustRightInd/>
        <w:rPr>
          <w:rFonts w:cs="Calibri"/>
          <w:i/>
        </w:rPr>
      </w:pPr>
    </w:p>
    <w:p w14:paraId="17D7F4F9" w14:textId="31BA6706" w:rsidR="005B6A77" w:rsidRPr="005B6A77" w:rsidRDefault="005B6A77" w:rsidP="005B6A77">
      <w:pPr>
        <w:widowControl/>
        <w:autoSpaceDE/>
        <w:adjustRightInd/>
        <w:rPr>
          <w:rFonts w:cs="Calibri"/>
          <w:iCs/>
        </w:rPr>
      </w:pPr>
      <w:r w:rsidRPr="005B6A77">
        <w:rPr>
          <w:rFonts w:cs="Calibri"/>
          <w:iCs/>
        </w:rPr>
        <w:t xml:space="preserve">Each SAMM has an agreed upon FRL which can be either a single number or a range of numbers above and below the national average.  State Plan SAMM data that falls outside the FRL triggers a closer look at the underlying performance of the mandatory activity.  Appendix D presents the State Plan’s FY 2024 SAMM Report and includes the FRL for each measure. </w:t>
      </w:r>
    </w:p>
    <w:p w14:paraId="52DDA263" w14:textId="77777777" w:rsidR="005B6A77" w:rsidRPr="005B6A77" w:rsidRDefault="005B6A77" w:rsidP="005B6A77">
      <w:pPr>
        <w:widowControl/>
        <w:autoSpaceDE/>
        <w:adjustRightInd/>
        <w:rPr>
          <w:rFonts w:cs="Calibri"/>
          <w:iCs/>
        </w:rPr>
      </w:pPr>
    </w:p>
    <w:p w14:paraId="5B2B946B" w14:textId="1BAB9712" w:rsidR="00A02B33" w:rsidRPr="005B6A77" w:rsidRDefault="005B6A77" w:rsidP="005B6A77">
      <w:pPr>
        <w:widowControl/>
        <w:autoSpaceDE/>
        <w:adjustRightInd/>
        <w:rPr>
          <w:rFonts w:cs="Calibri"/>
          <w:iCs/>
        </w:rPr>
      </w:pPr>
      <w:r w:rsidRPr="005B6A77">
        <w:rPr>
          <w:rFonts w:cs="Calibri"/>
          <w:iCs/>
        </w:rPr>
        <w:t>The State Plan was outside the FRL on the following SAMMs:</w:t>
      </w:r>
    </w:p>
    <w:p w14:paraId="7B161327" w14:textId="77777777" w:rsidR="005B6A77" w:rsidRPr="001C1E47" w:rsidRDefault="005B6A77" w:rsidP="005B6A77">
      <w:pPr>
        <w:widowControl/>
        <w:autoSpaceDE/>
        <w:adjustRightInd/>
        <w:rPr>
          <w:rFonts w:cs="Calibri"/>
          <w:b/>
          <w:u w:val="single"/>
        </w:rPr>
      </w:pPr>
    </w:p>
    <w:p w14:paraId="75DD4D49" w14:textId="4752CC8A" w:rsidR="0071234D" w:rsidRPr="00765361" w:rsidRDefault="006C5B58" w:rsidP="00765361">
      <w:pPr>
        <w:pStyle w:val="Heading4"/>
      </w:pPr>
      <w:r w:rsidRPr="00765361">
        <w:t xml:space="preserve">SAMM 1 - </w:t>
      </w:r>
      <w:r w:rsidR="0071234D" w:rsidRPr="00765361">
        <w:t>Average Number of Workdays to Initiate Complaint Inspections</w:t>
      </w:r>
    </w:p>
    <w:p w14:paraId="45EAE0E1" w14:textId="77777777" w:rsidR="0071234D" w:rsidRPr="00FC3E1E" w:rsidRDefault="0071234D" w:rsidP="0071234D">
      <w:pPr>
        <w:widowControl/>
        <w:autoSpaceDE/>
        <w:adjustRightInd/>
        <w:rPr>
          <w:rFonts w:asciiTheme="minorHAnsi" w:hAnsiTheme="minorHAnsi" w:cstheme="minorHAnsi"/>
          <w:b/>
        </w:rPr>
      </w:pPr>
    </w:p>
    <w:p w14:paraId="5EC1FF36" w14:textId="58279BEF" w:rsidR="0071234D" w:rsidRPr="00FC3E1E" w:rsidRDefault="0071234D" w:rsidP="0071234D">
      <w:pPr>
        <w:widowControl/>
        <w:autoSpaceDE/>
        <w:adjustRightInd/>
        <w:rPr>
          <w:rFonts w:asciiTheme="minorHAnsi" w:hAnsiTheme="minorHAnsi" w:cstheme="minorHAnsi"/>
        </w:rPr>
      </w:pPr>
      <w:r w:rsidRPr="00516EB0">
        <w:rPr>
          <w:rFonts w:asciiTheme="minorHAnsi" w:hAnsiTheme="minorHAnsi" w:cstheme="minorHAnsi"/>
          <w:u w:val="single"/>
        </w:rPr>
        <w:t>Discussion of State Plan Data and FRL</w:t>
      </w:r>
      <w:r w:rsidRPr="00674BDF">
        <w:rPr>
          <w:rFonts w:asciiTheme="minorHAnsi" w:hAnsiTheme="minorHAnsi" w:cstheme="minorHAnsi"/>
        </w:rPr>
        <w:t>:</w:t>
      </w:r>
      <w:r w:rsidRPr="00FC3E1E">
        <w:rPr>
          <w:rFonts w:asciiTheme="minorHAnsi" w:hAnsiTheme="minorHAnsi" w:cstheme="minorHAnsi"/>
        </w:rPr>
        <w:t xml:space="preserve"> The </w:t>
      </w:r>
      <w:r w:rsidRPr="00C97DEE">
        <w:rPr>
          <w:rFonts w:asciiTheme="minorHAnsi" w:hAnsiTheme="minorHAnsi" w:cstheme="minorHAnsi"/>
        </w:rPr>
        <w:t>negotiated</w:t>
      </w:r>
      <w:r>
        <w:rPr>
          <w:rFonts w:asciiTheme="minorHAnsi" w:hAnsiTheme="minorHAnsi" w:cstheme="minorHAnsi"/>
        </w:rPr>
        <w:t xml:space="preserve"> </w:t>
      </w:r>
      <w:r w:rsidRPr="00FC3E1E">
        <w:rPr>
          <w:rFonts w:asciiTheme="minorHAnsi" w:hAnsiTheme="minorHAnsi" w:cstheme="minorHAnsi"/>
        </w:rPr>
        <w:t xml:space="preserve">FRL for </w:t>
      </w:r>
      <w:r>
        <w:rPr>
          <w:rFonts w:asciiTheme="minorHAnsi" w:hAnsiTheme="minorHAnsi" w:cstheme="minorHAnsi"/>
        </w:rPr>
        <w:t xml:space="preserve">the </w:t>
      </w:r>
      <w:r w:rsidRPr="00FC3E1E">
        <w:rPr>
          <w:rFonts w:asciiTheme="minorHAnsi" w:hAnsiTheme="minorHAnsi" w:cstheme="minorHAnsi"/>
        </w:rPr>
        <w:t xml:space="preserve">average number of workdays to initiate complaint </w:t>
      </w:r>
      <w:r>
        <w:rPr>
          <w:rFonts w:asciiTheme="minorHAnsi" w:hAnsiTheme="minorHAnsi" w:cstheme="minorHAnsi"/>
        </w:rPr>
        <w:t>inspections</w:t>
      </w:r>
      <w:r w:rsidRPr="00FC3E1E">
        <w:rPr>
          <w:rFonts w:asciiTheme="minorHAnsi" w:hAnsiTheme="minorHAnsi" w:cstheme="minorHAnsi"/>
        </w:rPr>
        <w:t xml:space="preserve"> was </w:t>
      </w:r>
      <w:r w:rsidR="00240D37">
        <w:rPr>
          <w:rFonts w:asciiTheme="minorHAnsi" w:hAnsiTheme="minorHAnsi" w:cstheme="minorHAnsi"/>
        </w:rPr>
        <w:t>16</w:t>
      </w:r>
      <w:r>
        <w:rPr>
          <w:rFonts w:asciiTheme="minorHAnsi" w:hAnsiTheme="minorHAnsi" w:cstheme="minorHAnsi"/>
        </w:rPr>
        <w:t xml:space="preserve"> workdays</w:t>
      </w:r>
      <w:r w:rsidRPr="00FC3E1E">
        <w:rPr>
          <w:rFonts w:asciiTheme="minorHAnsi" w:hAnsiTheme="minorHAnsi" w:cstheme="minorHAnsi"/>
        </w:rPr>
        <w:t xml:space="preserve">.  </w:t>
      </w:r>
      <w:r w:rsidR="00A54BE7">
        <w:rPr>
          <w:rFonts w:asciiTheme="minorHAnsi" w:hAnsiTheme="minorHAnsi" w:cstheme="minorHAnsi"/>
        </w:rPr>
        <w:t>Wyoming OSHA’s</w:t>
      </w:r>
      <w:r w:rsidRPr="00FC3E1E">
        <w:rPr>
          <w:rFonts w:asciiTheme="minorHAnsi" w:hAnsiTheme="minorHAnsi" w:cstheme="minorHAnsi"/>
        </w:rPr>
        <w:t xml:space="preserve"> average number of workdays to initiate complaint </w:t>
      </w:r>
      <w:r w:rsidR="009A2A31">
        <w:rPr>
          <w:rFonts w:asciiTheme="minorHAnsi" w:hAnsiTheme="minorHAnsi" w:cstheme="minorHAnsi"/>
        </w:rPr>
        <w:t>inspections</w:t>
      </w:r>
      <w:r w:rsidR="009A2A31" w:rsidRPr="00FC3E1E">
        <w:rPr>
          <w:rFonts w:asciiTheme="minorHAnsi" w:hAnsiTheme="minorHAnsi" w:cstheme="minorHAnsi"/>
        </w:rPr>
        <w:t xml:space="preserve"> </w:t>
      </w:r>
      <w:r w:rsidRPr="00CE61BC">
        <w:rPr>
          <w:rFonts w:asciiTheme="minorHAnsi" w:hAnsiTheme="minorHAnsi" w:cstheme="minorHAnsi"/>
        </w:rPr>
        <w:t xml:space="preserve">was </w:t>
      </w:r>
      <w:r w:rsidR="00765361" w:rsidRPr="00CE61BC">
        <w:rPr>
          <w:rFonts w:asciiTheme="minorHAnsi" w:hAnsiTheme="minorHAnsi" w:cstheme="minorHAnsi"/>
        </w:rPr>
        <w:t>16.96 days</w:t>
      </w:r>
      <w:r w:rsidRPr="00FC3E1E">
        <w:rPr>
          <w:rFonts w:asciiTheme="minorHAnsi" w:hAnsiTheme="minorHAnsi" w:cstheme="minorHAnsi"/>
        </w:rPr>
        <w:t xml:space="preserve">, which was </w:t>
      </w:r>
      <w:r>
        <w:rPr>
          <w:rFonts w:asciiTheme="minorHAnsi" w:hAnsiTheme="minorHAnsi" w:cstheme="minorHAnsi"/>
        </w:rPr>
        <w:t>above</w:t>
      </w:r>
      <w:r w:rsidRPr="00FC3E1E">
        <w:rPr>
          <w:rFonts w:asciiTheme="minorHAnsi" w:hAnsiTheme="minorHAnsi" w:cstheme="minorHAnsi"/>
        </w:rPr>
        <w:t xml:space="preserve"> the FRL.   </w:t>
      </w:r>
    </w:p>
    <w:p w14:paraId="5368B4E6" w14:textId="77777777" w:rsidR="0071234D" w:rsidRPr="00516EB0" w:rsidRDefault="0071234D" w:rsidP="0071234D">
      <w:pPr>
        <w:widowControl/>
        <w:autoSpaceDE/>
        <w:adjustRightInd/>
        <w:rPr>
          <w:rFonts w:asciiTheme="minorHAnsi" w:hAnsiTheme="minorHAnsi" w:cstheme="minorHAnsi"/>
          <w:color w:val="FF0000"/>
          <w:u w:val="single"/>
        </w:rPr>
      </w:pPr>
    </w:p>
    <w:p w14:paraId="72F0C62D" w14:textId="6271A758" w:rsidR="0071234D" w:rsidRPr="00FC3E1E" w:rsidRDefault="0071234D" w:rsidP="0071234D">
      <w:pPr>
        <w:widowControl/>
        <w:autoSpaceDE/>
        <w:autoSpaceDN/>
        <w:adjustRightInd/>
        <w:rPr>
          <w:rFonts w:asciiTheme="minorHAnsi" w:hAnsiTheme="minorHAnsi" w:cstheme="minorHAnsi"/>
          <w:i/>
          <w:color w:val="FF0000"/>
        </w:rPr>
      </w:pPr>
      <w:r w:rsidRPr="00516EB0">
        <w:rPr>
          <w:rFonts w:asciiTheme="minorHAnsi" w:hAnsiTheme="minorHAnsi" w:cstheme="minorHAnsi"/>
          <w:u w:val="single"/>
        </w:rPr>
        <w:t>Explanation</w:t>
      </w:r>
      <w:r w:rsidRPr="00674BDF">
        <w:rPr>
          <w:rFonts w:asciiTheme="minorHAnsi" w:hAnsiTheme="minorHAnsi" w:cstheme="minorHAnsi"/>
        </w:rPr>
        <w:t>:</w:t>
      </w:r>
      <w:r w:rsidR="00144454">
        <w:rPr>
          <w:rFonts w:asciiTheme="minorHAnsi" w:hAnsiTheme="minorHAnsi" w:cstheme="minorHAnsi"/>
        </w:rPr>
        <w:t xml:space="preserve"> </w:t>
      </w:r>
      <w:r w:rsidR="009159EF">
        <w:rPr>
          <w:rFonts w:asciiTheme="minorHAnsi" w:hAnsiTheme="minorHAnsi" w:cstheme="minorHAnsi"/>
        </w:rPr>
        <w:t xml:space="preserve">Wyoming OSHA exceeded the FRL by nearly one </w:t>
      </w:r>
      <w:r w:rsidR="00B52693">
        <w:rPr>
          <w:rFonts w:asciiTheme="minorHAnsi" w:hAnsiTheme="minorHAnsi" w:cstheme="minorHAnsi"/>
        </w:rPr>
        <w:t>work</w:t>
      </w:r>
      <w:r w:rsidR="009159EF">
        <w:rPr>
          <w:rFonts w:asciiTheme="minorHAnsi" w:hAnsiTheme="minorHAnsi" w:cstheme="minorHAnsi"/>
        </w:rPr>
        <w:t xml:space="preserve">day.  </w:t>
      </w:r>
      <w:r w:rsidR="001C2C96" w:rsidRPr="00144454">
        <w:rPr>
          <w:rFonts w:asciiTheme="minorHAnsi" w:hAnsiTheme="minorHAnsi" w:cstheme="minorHAnsi"/>
        </w:rPr>
        <w:t>The State Plan exceeded the FRL in FY 2023</w:t>
      </w:r>
      <w:r w:rsidR="00E558BB">
        <w:rPr>
          <w:rFonts w:asciiTheme="minorHAnsi" w:hAnsiTheme="minorHAnsi" w:cstheme="minorHAnsi"/>
        </w:rPr>
        <w:t>,</w:t>
      </w:r>
      <w:r w:rsidR="001C2C96" w:rsidRPr="00144454">
        <w:rPr>
          <w:rFonts w:asciiTheme="minorHAnsi" w:hAnsiTheme="minorHAnsi" w:cstheme="minorHAnsi"/>
        </w:rPr>
        <w:t xml:space="preserve"> </w:t>
      </w:r>
      <w:r w:rsidR="009E7A03" w:rsidRPr="00144454">
        <w:rPr>
          <w:rFonts w:asciiTheme="minorHAnsi" w:hAnsiTheme="minorHAnsi" w:cstheme="minorHAnsi"/>
        </w:rPr>
        <w:t>also</w:t>
      </w:r>
      <w:r w:rsidR="00E558BB">
        <w:rPr>
          <w:rFonts w:asciiTheme="minorHAnsi" w:hAnsiTheme="minorHAnsi" w:cstheme="minorHAnsi"/>
        </w:rPr>
        <w:t>,</w:t>
      </w:r>
      <w:r w:rsidR="009E7A03" w:rsidRPr="00144454">
        <w:rPr>
          <w:rFonts w:asciiTheme="minorHAnsi" w:hAnsiTheme="minorHAnsi" w:cstheme="minorHAnsi"/>
        </w:rPr>
        <w:t xml:space="preserve"> but</w:t>
      </w:r>
      <w:r w:rsidR="001C2C96" w:rsidRPr="00144454">
        <w:rPr>
          <w:rFonts w:asciiTheme="minorHAnsi" w:hAnsiTheme="minorHAnsi" w:cstheme="minorHAnsi"/>
        </w:rPr>
        <w:t xml:space="preserve"> met the FRL </w:t>
      </w:r>
      <w:r w:rsidR="00144454" w:rsidRPr="00144454">
        <w:rPr>
          <w:rFonts w:asciiTheme="minorHAnsi" w:hAnsiTheme="minorHAnsi" w:cstheme="minorHAnsi"/>
        </w:rPr>
        <w:t>for the three fiscal years prior to FY 2023</w:t>
      </w:r>
      <w:r w:rsidRPr="00144454">
        <w:rPr>
          <w:rFonts w:asciiTheme="minorHAnsi" w:hAnsiTheme="minorHAnsi" w:cstheme="minorHAnsi"/>
        </w:rPr>
        <w:t>.</w:t>
      </w:r>
      <w:r w:rsidR="009E7A03">
        <w:rPr>
          <w:rFonts w:asciiTheme="minorHAnsi" w:hAnsiTheme="minorHAnsi" w:cstheme="minorHAnsi"/>
        </w:rPr>
        <w:t xml:space="preserve">  </w:t>
      </w:r>
      <w:r w:rsidR="009A3B83">
        <w:rPr>
          <w:rFonts w:asciiTheme="minorHAnsi" w:hAnsiTheme="minorHAnsi" w:cstheme="minorHAnsi"/>
        </w:rPr>
        <w:t xml:space="preserve">The average in FY 2024 was </w:t>
      </w:r>
      <w:r w:rsidR="00077842">
        <w:rPr>
          <w:rFonts w:asciiTheme="minorHAnsi" w:hAnsiTheme="minorHAnsi" w:cstheme="minorHAnsi"/>
        </w:rPr>
        <w:t xml:space="preserve">primarily </w:t>
      </w:r>
      <w:r w:rsidR="009A3B83">
        <w:rPr>
          <w:rFonts w:asciiTheme="minorHAnsi" w:hAnsiTheme="minorHAnsi" w:cstheme="minorHAnsi"/>
        </w:rPr>
        <w:t xml:space="preserve">driven by </w:t>
      </w:r>
      <w:r w:rsidR="00AC53C0">
        <w:rPr>
          <w:rFonts w:asciiTheme="minorHAnsi" w:hAnsiTheme="minorHAnsi" w:cstheme="minorHAnsi"/>
        </w:rPr>
        <w:t xml:space="preserve">quarters three and four.  During quarters one and two, </w:t>
      </w:r>
      <w:r w:rsidR="008A0B21">
        <w:rPr>
          <w:rFonts w:asciiTheme="minorHAnsi" w:hAnsiTheme="minorHAnsi" w:cstheme="minorHAnsi"/>
        </w:rPr>
        <w:t xml:space="preserve">the result for </w:t>
      </w:r>
      <w:r w:rsidR="00AC53C0">
        <w:rPr>
          <w:rFonts w:asciiTheme="minorHAnsi" w:hAnsiTheme="minorHAnsi" w:cstheme="minorHAnsi"/>
        </w:rPr>
        <w:t xml:space="preserve">SAMM 1 was 8.75 </w:t>
      </w:r>
      <w:r w:rsidR="00B52693">
        <w:rPr>
          <w:rFonts w:asciiTheme="minorHAnsi" w:hAnsiTheme="minorHAnsi" w:cstheme="minorHAnsi"/>
        </w:rPr>
        <w:t>work</w:t>
      </w:r>
      <w:r w:rsidR="00AC53C0">
        <w:rPr>
          <w:rFonts w:asciiTheme="minorHAnsi" w:hAnsiTheme="minorHAnsi" w:cstheme="minorHAnsi"/>
        </w:rPr>
        <w:t xml:space="preserve">days and 8.55 </w:t>
      </w:r>
      <w:r w:rsidR="00B52693">
        <w:rPr>
          <w:rFonts w:asciiTheme="minorHAnsi" w:hAnsiTheme="minorHAnsi" w:cstheme="minorHAnsi"/>
        </w:rPr>
        <w:t>work</w:t>
      </w:r>
      <w:r w:rsidR="00AC53C0">
        <w:rPr>
          <w:rFonts w:asciiTheme="minorHAnsi" w:hAnsiTheme="minorHAnsi" w:cstheme="minorHAnsi"/>
        </w:rPr>
        <w:t>days</w:t>
      </w:r>
      <w:r w:rsidR="008A0B21">
        <w:rPr>
          <w:rFonts w:asciiTheme="minorHAnsi" w:hAnsiTheme="minorHAnsi" w:cstheme="minorHAnsi"/>
        </w:rPr>
        <w:t>,</w:t>
      </w:r>
      <w:r w:rsidR="00AC53C0">
        <w:rPr>
          <w:rFonts w:asciiTheme="minorHAnsi" w:hAnsiTheme="minorHAnsi" w:cstheme="minorHAnsi"/>
        </w:rPr>
        <w:t xml:space="preserve"> respectively.  During quarter three, </w:t>
      </w:r>
      <w:r w:rsidR="000B5A71">
        <w:rPr>
          <w:rFonts w:asciiTheme="minorHAnsi" w:hAnsiTheme="minorHAnsi" w:cstheme="minorHAnsi"/>
        </w:rPr>
        <w:t xml:space="preserve">the result for </w:t>
      </w:r>
      <w:r w:rsidR="00CD071F">
        <w:rPr>
          <w:rFonts w:asciiTheme="minorHAnsi" w:hAnsiTheme="minorHAnsi" w:cstheme="minorHAnsi"/>
        </w:rPr>
        <w:t xml:space="preserve">SAMM 1 was 62 </w:t>
      </w:r>
      <w:r w:rsidR="00B52693">
        <w:rPr>
          <w:rFonts w:asciiTheme="minorHAnsi" w:hAnsiTheme="minorHAnsi" w:cstheme="minorHAnsi"/>
        </w:rPr>
        <w:t>work</w:t>
      </w:r>
      <w:r w:rsidR="00CD071F">
        <w:rPr>
          <w:rFonts w:asciiTheme="minorHAnsi" w:hAnsiTheme="minorHAnsi" w:cstheme="minorHAnsi"/>
        </w:rPr>
        <w:t xml:space="preserve">days, </w:t>
      </w:r>
      <w:r w:rsidR="000B5A71">
        <w:rPr>
          <w:rFonts w:asciiTheme="minorHAnsi" w:hAnsiTheme="minorHAnsi" w:cstheme="minorHAnsi"/>
        </w:rPr>
        <w:t>and</w:t>
      </w:r>
      <w:r w:rsidR="00CD071F">
        <w:rPr>
          <w:rFonts w:asciiTheme="minorHAnsi" w:hAnsiTheme="minorHAnsi" w:cstheme="minorHAnsi"/>
        </w:rPr>
        <w:t xml:space="preserve"> d</w:t>
      </w:r>
      <w:r w:rsidR="00AC53C0">
        <w:rPr>
          <w:rFonts w:asciiTheme="minorHAnsi" w:hAnsiTheme="minorHAnsi" w:cstheme="minorHAnsi"/>
        </w:rPr>
        <w:t xml:space="preserve">uring quarter four, </w:t>
      </w:r>
      <w:r w:rsidR="002831BE">
        <w:rPr>
          <w:rFonts w:asciiTheme="minorHAnsi" w:hAnsiTheme="minorHAnsi" w:cstheme="minorHAnsi"/>
        </w:rPr>
        <w:t xml:space="preserve">the result for </w:t>
      </w:r>
      <w:r w:rsidR="00AC53C0">
        <w:rPr>
          <w:rFonts w:asciiTheme="minorHAnsi" w:hAnsiTheme="minorHAnsi" w:cstheme="minorHAnsi"/>
        </w:rPr>
        <w:t xml:space="preserve">SAMM 1 was 22.56 </w:t>
      </w:r>
      <w:r w:rsidR="00B52693">
        <w:rPr>
          <w:rFonts w:asciiTheme="minorHAnsi" w:hAnsiTheme="minorHAnsi" w:cstheme="minorHAnsi"/>
        </w:rPr>
        <w:lastRenderedPageBreak/>
        <w:t>work</w:t>
      </w:r>
      <w:r w:rsidR="00AC53C0">
        <w:rPr>
          <w:rFonts w:asciiTheme="minorHAnsi" w:hAnsiTheme="minorHAnsi" w:cstheme="minorHAnsi"/>
        </w:rPr>
        <w:t xml:space="preserve">days.  </w:t>
      </w:r>
      <w:r w:rsidR="00A54BE7">
        <w:rPr>
          <w:rFonts w:asciiTheme="minorHAnsi" w:hAnsiTheme="minorHAnsi" w:cstheme="minorHAnsi"/>
        </w:rPr>
        <w:t>Wyoming OSHA</w:t>
      </w:r>
      <w:r w:rsidR="005756E6">
        <w:rPr>
          <w:rFonts w:asciiTheme="minorHAnsi" w:hAnsiTheme="minorHAnsi" w:cstheme="minorHAnsi"/>
        </w:rPr>
        <w:t xml:space="preserve"> believes that the significant delays </w:t>
      </w:r>
      <w:r w:rsidR="00325C03">
        <w:rPr>
          <w:rFonts w:asciiTheme="minorHAnsi" w:hAnsiTheme="minorHAnsi" w:cstheme="minorHAnsi"/>
        </w:rPr>
        <w:t>in initiating</w:t>
      </w:r>
      <w:r w:rsidR="005756E6">
        <w:rPr>
          <w:rFonts w:asciiTheme="minorHAnsi" w:hAnsiTheme="minorHAnsi" w:cstheme="minorHAnsi"/>
        </w:rPr>
        <w:t xml:space="preserve"> inspections</w:t>
      </w:r>
      <w:r w:rsidR="001F68C3">
        <w:rPr>
          <w:rFonts w:asciiTheme="minorHAnsi" w:hAnsiTheme="minorHAnsi" w:cstheme="minorHAnsi"/>
        </w:rPr>
        <w:t xml:space="preserve"> during quarter</w:t>
      </w:r>
      <w:r w:rsidR="00A911FE">
        <w:rPr>
          <w:rFonts w:asciiTheme="minorHAnsi" w:hAnsiTheme="minorHAnsi" w:cstheme="minorHAnsi"/>
        </w:rPr>
        <w:t>s</w:t>
      </w:r>
      <w:r w:rsidR="001F68C3">
        <w:rPr>
          <w:rFonts w:asciiTheme="minorHAnsi" w:hAnsiTheme="minorHAnsi" w:cstheme="minorHAnsi"/>
        </w:rPr>
        <w:t xml:space="preserve"> three and four were </w:t>
      </w:r>
      <w:r w:rsidR="009A2A31">
        <w:rPr>
          <w:rFonts w:asciiTheme="minorHAnsi" w:hAnsiTheme="minorHAnsi" w:cstheme="minorHAnsi"/>
        </w:rPr>
        <w:t xml:space="preserve">attributable to </w:t>
      </w:r>
      <w:r w:rsidR="001F68C3">
        <w:rPr>
          <w:rFonts w:asciiTheme="minorHAnsi" w:hAnsiTheme="minorHAnsi" w:cstheme="minorHAnsi"/>
        </w:rPr>
        <w:t>a personnel issue which they addressed</w:t>
      </w:r>
      <w:r w:rsidR="003215E1">
        <w:rPr>
          <w:rFonts w:asciiTheme="minorHAnsi" w:hAnsiTheme="minorHAnsi" w:cstheme="minorHAnsi"/>
        </w:rPr>
        <w:t xml:space="preserve"> </w:t>
      </w:r>
      <w:r w:rsidR="005116ED">
        <w:rPr>
          <w:rFonts w:asciiTheme="minorHAnsi" w:hAnsiTheme="minorHAnsi" w:cstheme="minorHAnsi"/>
        </w:rPr>
        <w:t>in late</w:t>
      </w:r>
      <w:r w:rsidR="003215E1">
        <w:rPr>
          <w:rFonts w:asciiTheme="minorHAnsi" w:hAnsiTheme="minorHAnsi" w:cstheme="minorHAnsi"/>
        </w:rPr>
        <w:t xml:space="preserve"> FY 2024</w:t>
      </w:r>
      <w:r w:rsidR="001F68C3">
        <w:rPr>
          <w:rFonts w:asciiTheme="minorHAnsi" w:hAnsiTheme="minorHAnsi" w:cstheme="minorHAnsi"/>
        </w:rPr>
        <w:t xml:space="preserve">.  </w:t>
      </w:r>
      <w:r w:rsidR="00BC093B">
        <w:rPr>
          <w:rFonts w:asciiTheme="minorHAnsi" w:hAnsiTheme="minorHAnsi" w:cstheme="minorHAnsi"/>
        </w:rPr>
        <w:t xml:space="preserve">The </w:t>
      </w:r>
      <w:r w:rsidR="0030651B">
        <w:rPr>
          <w:rFonts w:asciiTheme="minorHAnsi" w:hAnsiTheme="minorHAnsi" w:cstheme="minorHAnsi"/>
        </w:rPr>
        <w:t>unavailability</w:t>
      </w:r>
      <w:r w:rsidR="00BC093B">
        <w:rPr>
          <w:rFonts w:asciiTheme="minorHAnsi" w:hAnsiTheme="minorHAnsi" w:cstheme="minorHAnsi"/>
        </w:rPr>
        <w:t xml:space="preserve"> of compliance officers to perform inspections impacted </w:t>
      </w:r>
      <w:r w:rsidR="00AA1B85">
        <w:rPr>
          <w:rFonts w:asciiTheme="minorHAnsi" w:hAnsiTheme="minorHAnsi" w:cstheme="minorHAnsi"/>
        </w:rPr>
        <w:t xml:space="preserve">the State Plan’s </w:t>
      </w:r>
      <w:r w:rsidR="00BC093B">
        <w:rPr>
          <w:rFonts w:asciiTheme="minorHAnsi" w:hAnsiTheme="minorHAnsi" w:cstheme="minorHAnsi"/>
        </w:rPr>
        <w:t>operation</w:t>
      </w:r>
      <w:r w:rsidR="00AA1B85">
        <w:rPr>
          <w:rFonts w:asciiTheme="minorHAnsi" w:hAnsiTheme="minorHAnsi" w:cstheme="minorHAnsi"/>
        </w:rPr>
        <w:t>s</w:t>
      </w:r>
      <w:r w:rsidR="00BC093B">
        <w:rPr>
          <w:rFonts w:asciiTheme="minorHAnsi" w:hAnsiTheme="minorHAnsi" w:cstheme="minorHAnsi"/>
        </w:rPr>
        <w:t xml:space="preserve">.  </w:t>
      </w:r>
      <w:r w:rsidR="00A54BE7">
        <w:rPr>
          <w:rFonts w:asciiTheme="minorHAnsi" w:hAnsiTheme="minorHAnsi" w:cstheme="minorHAnsi"/>
        </w:rPr>
        <w:t>Wyoming OSHA</w:t>
      </w:r>
      <w:r w:rsidR="00721E10">
        <w:rPr>
          <w:rFonts w:asciiTheme="minorHAnsi" w:hAnsiTheme="minorHAnsi" w:cstheme="minorHAnsi"/>
        </w:rPr>
        <w:t xml:space="preserve"> created a compliance assurance position to en</w:t>
      </w:r>
      <w:r w:rsidR="00984DA0">
        <w:rPr>
          <w:rFonts w:asciiTheme="minorHAnsi" w:hAnsiTheme="minorHAnsi" w:cstheme="minorHAnsi"/>
        </w:rPr>
        <w:t>sure</w:t>
      </w:r>
      <w:r w:rsidR="00721E10">
        <w:rPr>
          <w:rFonts w:asciiTheme="minorHAnsi" w:hAnsiTheme="minorHAnsi" w:cstheme="minorHAnsi"/>
        </w:rPr>
        <w:t xml:space="preserve"> </w:t>
      </w:r>
      <w:r w:rsidR="00E31AC1">
        <w:rPr>
          <w:rFonts w:asciiTheme="minorHAnsi" w:hAnsiTheme="minorHAnsi" w:cstheme="minorHAnsi"/>
        </w:rPr>
        <w:t>quicker initiation of complaint in</w:t>
      </w:r>
      <w:r w:rsidR="00153B55">
        <w:rPr>
          <w:rFonts w:asciiTheme="minorHAnsi" w:hAnsiTheme="minorHAnsi" w:cstheme="minorHAnsi"/>
        </w:rPr>
        <w:t>spection</w:t>
      </w:r>
      <w:r w:rsidR="00E31AC1">
        <w:rPr>
          <w:rFonts w:asciiTheme="minorHAnsi" w:hAnsiTheme="minorHAnsi" w:cstheme="minorHAnsi"/>
        </w:rPr>
        <w:t xml:space="preserve">s.  </w:t>
      </w:r>
      <w:r w:rsidR="001D3175">
        <w:rPr>
          <w:rFonts w:asciiTheme="minorHAnsi" w:hAnsiTheme="minorHAnsi" w:cstheme="minorHAnsi"/>
        </w:rPr>
        <w:t xml:space="preserve">The </w:t>
      </w:r>
      <w:r w:rsidR="00123007">
        <w:rPr>
          <w:rFonts w:asciiTheme="minorHAnsi" w:hAnsiTheme="minorHAnsi" w:cstheme="minorHAnsi"/>
        </w:rPr>
        <w:t>period</w:t>
      </w:r>
      <w:r w:rsidR="001D3175">
        <w:rPr>
          <w:rFonts w:asciiTheme="minorHAnsi" w:hAnsiTheme="minorHAnsi" w:cstheme="minorHAnsi"/>
        </w:rPr>
        <w:t xml:space="preserve"> during which </w:t>
      </w:r>
      <w:r w:rsidR="00D906A6">
        <w:rPr>
          <w:rFonts w:asciiTheme="minorHAnsi" w:hAnsiTheme="minorHAnsi" w:cstheme="minorHAnsi"/>
        </w:rPr>
        <w:t>compliance officers obtained information from complainants to enable processing complaints as valid</w:t>
      </w:r>
      <w:r w:rsidR="00A71A96">
        <w:rPr>
          <w:rFonts w:asciiTheme="minorHAnsi" w:hAnsiTheme="minorHAnsi" w:cstheme="minorHAnsi"/>
        </w:rPr>
        <w:t xml:space="preserve"> delayed initiation of inspections.  </w:t>
      </w:r>
      <w:r w:rsidR="00EA4111">
        <w:rPr>
          <w:rFonts w:asciiTheme="minorHAnsi" w:hAnsiTheme="minorHAnsi" w:cstheme="minorHAnsi"/>
        </w:rPr>
        <w:t>By the end of FY 2024</w:t>
      </w:r>
      <w:r w:rsidR="007260AA">
        <w:rPr>
          <w:rFonts w:asciiTheme="minorHAnsi" w:hAnsiTheme="minorHAnsi" w:cstheme="minorHAnsi"/>
        </w:rPr>
        <w:t xml:space="preserve">, it was taking </w:t>
      </w:r>
      <w:r w:rsidR="00B847D2">
        <w:rPr>
          <w:rFonts w:asciiTheme="minorHAnsi" w:hAnsiTheme="minorHAnsi" w:cstheme="minorHAnsi"/>
        </w:rPr>
        <w:t xml:space="preserve">an average of </w:t>
      </w:r>
      <w:r w:rsidR="007260AA">
        <w:rPr>
          <w:rFonts w:asciiTheme="minorHAnsi" w:hAnsiTheme="minorHAnsi" w:cstheme="minorHAnsi"/>
        </w:rPr>
        <w:t xml:space="preserve">8.53 </w:t>
      </w:r>
      <w:r w:rsidR="0029628D">
        <w:rPr>
          <w:rFonts w:asciiTheme="minorHAnsi" w:hAnsiTheme="minorHAnsi" w:cstheme="minorHAnsi"/>
        </w:rPr>
        <w:t>work</w:t>
      </w:r>
      <w:r w:rsidR="007260AA">
        <w:rPr>
          <w:rFonts w:asciiTheme="minorHAnsi" w:hAnsiTheme="minorHAnsi" w:cstheme="minorHAnsi"/>
        </w:rPr>
        <w:t>days</w:t>
      </w:r>
      <w:r w:rsidR="00123007">
        <w:rPr>
          <w:rFonts w:asciiTheme="minorHAnsi" w:hAnsiTheme="minorHAnsi" w:cstheme="minorHAnsi"/>
        </w:rPr>
        <w:t xml:space="preserve"> </w:t>
      </w:r>
      <w:r w:rsidR="007260AA">
        <w:rPr>
          <w:rFonts w:asciiTheme="minorHAnsi" w:hAnsiTheme="minorHAnsi" w:cstheme="minorHAnsi"/>
        </w:rPr>
        <w:t xml:space="preserve">to </w:t>
      </w:r>
      <w:r w:rsidR="00A33D31">
        <w:rPr>
          <w:rFonts w:asciiTheme="minorHAnsi" w:hAnsiTheme="minorHAnsi" w:cstheme="minorHAnsi"/>
        </w:rPr>
        <w:t xml:space="preserve">validate complaints and assign </w:t>
      </w:r>
      <w:r w:rsidR="003C3A9D">
        <w:rPr>
          <w:rFonts w:asciiTheme="minorHAnsi" w:hAnsiTheme="minorHAnsi" w:cstheme="minorHAnsi"/>
        </w:rPr>
        <w:t xml:space="preserve">complaints </w:t>
      </w:r>
      <w:r w:rsidR="00A33D31">
        <w:rPr>
          <w:rFonts w:asciiTheme="minorHAnsi" w:hAnsiTheme="minorHAnsi" w:cstheme="minorHAnsi"/>
        </w:rPr>
        <w:t>for inspection</w:t>
      </w:r>
      <w:r w:rsidR="007260AA">
        <w:rPr>
          <w:rFonts w:asciiTheme="minorHAnsi" w:hAnsiTheme="minorHAnsi" w:cstheme="minorHAnsi"/>
        </w:rPr>
        <w:t>.</w:t>
      </w:r>
      <w:r w:rsidR="00A33D31">
        <w:rPr>
          <w:rFonts w:asciiTheme="minorHAnsi" w:hAnsiTheme="minorHAnsi" w:cstheme="minorHAnsi"/>
        </w:rPr>
        <w:t xml:space="preserve">  </w:t>
      </w:r>
      <w:r w:rsidR="00A71A96">
        <w:rPr>
          <w:rFonts w:asciiTheme="minorHAnsi" w:hAnsiTheme="minorHAnsi" w:cstheme="minorHAnsi"/>
        </w:rPr>
        <w:t xml:space="preserve">The </w:t>
      </w:r>
      <w:r w:rsidR="00424E1F">
        <w:rPr>
          <w:rFonts w:asciiTheme="minorHAnsi" w:hAnsiTheme="minorHAnsi" w:cstheme="minorHAnsi"/>
        </w:rPr>
        <w:t xml:space="preserve">State Plan intends for the </w:t>
      </w:r>
      <w:r w:rsidR="00A71A96">
        <w:rPr>
          <w:rFonts w:asciiTheme="minorHAnsi" w:hAnsiTheme="minorHAnsi" w:cstheme="minorHAnsi"/>
        </w:rPr>
        <w:t xml:space="preserve">compliance assurance person </w:t>
      </w:r>
      <w:r w:rsidR="00424E1F">
        <w:rPr>
          <w:rFonts w:asciiTheme="minorHAnsi" w:hAnsiTheme="minorHAnsi" w:cstheme="minorHAnsi"/>
        </w:rPr>
        <w:t xml:space="preserve">to </w:t>
      </w:r>
      <w:r w:rsidR="00296E0C">
        <w:rPr>
          <w:rFonts w:asciiTheme="minorHAnsi" w:hAnsiTheme="minorHAnsi" w:cstheme="minorHAnsi"/>
        </w:rPr>
        <w:t xml:space="preserve">work with compliance officers to shorten this </w:t>
      </w:r>
      <w:r w:rsidR="00A5287B">
        <w:rPr>
          <w:rFonts w:asciiTheme="minorHAnsi" w:hAnsiTheme="minorHAnsi" w:cstheme="minorHAnsi"/>
        </w:rPr>
        <w:t>period</w:t>
      </w:r>
      <w:r w:rsidR="00F36ED0">
        <w:rPr>
          <w:rFonts w:asciiTheme="minorHAnsi" w:hAnsiTheme="minorHAnsi" w:cstheme="minorHAnsi"/>
        </w:rPr>
        <w:t>, allowing for quicker response times.</w:t>
      </w:r>
      <w:r w:rsidR="0067418A">
        <w:rPr>
          <w:rFonts w:asciiTheme="minorHAnsi" w:hAnsiTheme="minorHAnsi" w:cstheme="minorHAnsi"/>
        </w:rPr>
        <w:t xml:space="preserve">  However, </w:t>
      </w:r>
      <w:r w:rsidR="002D5ECF">
        <w:rPr>
          <w:rFonts w:asciiTheme="minorHAnsi" w:hAnsiTheme="minorHAnsi" w:cstheme="minorHAnsi"/>
        </w:rPr>
        <w:t xml:space="preserve">from the time when the complaint became valid and assigned to when the complaint inspection was initiated was on average </w:t>
      </w:r>
      <w:r w:rsidR="006C1D9C">
        <w:rPr>
          <w:rFonts w:asciiTheme="minorHAnsi" w:hAnsiTheme="minorHAnsi" w:cstheme="minorHAnsi"/>
        </w:rPr>
        <w:t xml:space="preserve">an additional </w:t>
      </w:r>
      <w:r w:rsidR="0047717D">
        <w:rPr>
          <w:rFonts w:asciiTheme="minorHAnsi" w:hAnsiTheme="minorHAnsi" w:cstheme="minorHAnsi"/>
        </w:rPr>
        <w:t xml:space="preserve">8.43 </w:t>
      </w:r>
      <w:r w:rsidR="0029628D">
        <w:rPr>
          <w:rFonts w:asciiTheme="minorHAnsi" w:hAnsiTheme="minorHAnsi" w:cstheme="minorHAnsi"/>
        </w:rPr>
        <w:t>work</w:t>
      </w:r>
      <w:r w:rsidR="0047717D">
        <w:rPr>
          <w:rFonts w:asciiTheme="minorHAnsi" w:hAnsiTheme="minorHAnsi" w:cstheme="minorHAnsi"/>
        </w:rPr>
        <w:t>days</w:t>
      </w:r>
      <w:r w:rsidR="00172F08">
        <w:rPr>
          <w:rFonts w:asciiTheme="minorHAnsi" w:hAnsiTheme="minorHAnsi" w:cstheme="minorHAnsi"/>
        </w:rPr>
        <w:t xml:space="preserve"> in FY 2024</w:t>
      </w:r>
      <w:r w:rsidR="0047717D">
        <w:rPr>
          <w:rFonts w:asciiTheme="minorHAnsi" w:hAnsiTheme="minorHAnsi" w:cstheme="minorHAnsi"/>
        </w:rPr>
        <w:t xml:space="preserve">.  </w:t>
      </w:r>
      <w:r w:rsidR="004A4EC7">
        <w:rPr>
          <w:rFonts w:asciiTheme="minorHAnsi" w:hAnsiTheme="minorHAnsi" w:cstheme="minorHAnsi"/>
        </w:rPr>
        <w:t xml:space="preserve">This </w:t>
      </w:r>
      <w:r w:rsidR="0033563F">
        <w:rPr>
          <w:rFonts w:asciiTheme="minorHAnsi" w:hAnsiTheme="minorHAnsi" w:cstheme="minorHAnsi"/>
        </w:rPr>
        <w:t>was</w:t>
      </w:r>
      <w:r w:rsidR="004A4EC7">
        <w:rPr>
          <w:rFonts w:asciiTheme="minorHAnsi" w:hAnsiTheme="minorHAnsi" w:cstheme="minorHAnsi"/>
        </w:rPr>
        <w:t xml:space="preserve"> the second </w:t>
      </w:r>
      <w:r w:rsidR="0033563F">
        <w:rPr>
          <w:rFonts w:asciiTheme="minorHAnsi" w:hAnsiTheme="minorHAnsi" w:cstheme="minorHAnsi"/>
        </w:rPr>
        <w:t xml:space="preserve">consecutive </w:t>
      </w:r>
      <w:r w:rsidR="004A4EC7">
        <w:rPr>
          <w:rFonts w:asciiTheme="minorHAnsi" w:hAnsiTheme="minorHAnsi" w:cstheme="minorHAnsi"/>
        </w:rPr>
        <w:t xml:space="preserve">year that Wyoming OSHA exceeded this SAMM.  </w:t>
      </w:r>
      <w:r w:rsidR="0005151B" w:rsidRPr="00175894">
        <w:t xml:space="preserve">This remains a concern for OSHA and will be </w:t>
      </w:r>
      <w:r w:rsidR="00BF4EF0">
        <w:t xml:space="preserve">closely </w:t>
      </w:r>
      <w:r w:rsidR="0005151B" w:rsidRPr="00175894">
        <w:t xml:space="preserve">monitored during </w:t>
      </w:r>
      <w:r w:rsidR="00196264">
        <w:t>FY 2025</w:t>
      </w:r>
      <w:r w:rsidR="0005151B" w:rsidRPr="00175894">
        <w:t>.</w:t>
      </w:r>
    </w:p>
    <w:p w14:paraId="42989531" w14:textId="77777777" w:rsidR="0071234D" w:rsidRDefault="0071234D" w:rsidP="00783189">
      <w:pPr>
        <w:widowControl/>
        <w:autoSpaceDE/>
        <w:adjustRightInd/>
        <w:rPr>
          <w:rFonts w:cs="Calibri"/>
          <w:b/>
          <w:color w:val="0070C0"/>
        </w:rPr>
      </w:pPr>
    </w:p>
    <w:p w14:paraId="0F3A2F39" w14:textId="35F99FD3" w:rsidR="00E620F6" w:rsidRPr="00E620F6" w:rsidRDefault="00E620F6" w:rsidP="00E620F6">
      <w:pPr>
        <w:keepNext/>
        <w:keepLines/>
        <w:spacing w:before="40"/>
        <w:outlineLvl w:val="3"/>
        <w:rPr>
          <w:rFonts w:eastAsiaTheme="majorEastAsia" w:cstheme="majorBidi"/>
          <w:b/>
          <w:iCs/>
        </w:rPr>
      </w:pPr>
      <w:r w:rsidRPr="00E620F6">
        <w:rPr>
          <w:rFonts w:eastAsiaTheme="majorEastAsia" w:cstheme="majorBidi"/>
          <w:b/>
          <w:iCs/>
        </w:rPr>
        <w:t xml:space="preserve">SAMM 5b </w:t>
      </w:r>
      <w:r w:rsidR="00CC294B">
        <w:rPr>
          <w:rFonts w:eastAsiaTheme="majorEastAsia" w:cstheme="majorBidi"/>
          <w:b/>
          <w:iCs/>
        </w:rPr>
        <w:t xml:space="preserve">- </w:t>
      </w:r>
      <w:r w:rsidRPr="00E620F6">
        <w:rPr>
          <w:rFonts w:eastAsiaTheme="majorEastAsia" w:cstheme="majorBidi"/>
          <w:b/>
          <w:iCs/>
        </w:rPr>
        <w:t>Average Number of Violations per Inspection with Violations (Other)</w:t>
      </w:r>
    </w:p>
    <w:p w14:paraId="463266FD" w14:textId="77777777" w:rsidR="00E620F6" w:rsidRPr="00E620F6" w:rsidRDefault="00E620F6" w:rsidP="00E620F6">
      <w:pPr>
        <w:widowControl/>
        <w:autoSpaceDE/>
        <w:adjustRightInd/>
        <w:rPr>
          <w:rFonts w:asciiTheme="minorHAnsi" w:hAnsiTheme="minorHAnsi" w:cstheme="minorHAnsi"/>
          <w:b/>
          <w:color w:val="FF0000"/>
        </w:rPr>
      </w:pPr>
    </w:p>
    <w:p w14:paraId="16A5C41D" w14:textId="5C627618" w:rsidR="00E620F6" w:rsidRPr="00E620F6" w:rsidRDefault="00E620F6" w:rsidP="00E620F6">
      <w:pPr>
        <w:widowControl/>
        <w:autoSpaceDE/>
        <w:adjustRightInd/>
        <w:rPr>
          <w:rFonts w:asciiTheme="minorHAnsi" w:hAnsiTheme="minorHAnsi" w:cstheme="minorHAnsi"/>
          <w:color w:val="FF0000"/>
        </w:rPr>
      </w:pPr>
      <w:r w:rsidRPr="00E620F6">
        <w:rPr>
          <w:rFonts w:asciiTheme="minorHAnsi" w:hAnsiTheme="minorHAnsi" w:cstheme="minorHAnsi"/>
          <w:u w:val="single"/>
        </w:rPr>
        <w:t>Discussion of State Plan Data and FRL</w:t>
      </w:r>
      <w:r w:rsidRPr="00E620F6">
        <w:rPr>
          <w:rFonts w:asciiTheme="minorHAnsi" w:hAnsiTheme="minorHAnsi" w:cstheme="minorHAnsi"/>
        </w:rPr>
        <w:t xml:space="preserve">: The FRL for the average number of violations per inspection with violations (other) was a range </w:t>
      </w:r>
      <w:r w:rsidRPr="00CE047D">
        <w:rPr>
          <w:rFonts w:asciiTheme="minorHAnsi" w:hAnsiTheme="minorHAnsi" w:cstheme="minorHAnsi"/>
        </w:rPr>
        <w:t xml:space="preserve">of </w:t>
      </w:r>
      <w:r w:rsidR="00CE047D" w:rsidRPr="00CE047D">
        <w:rPr>
          <w:rFonts w:asciiTheme="minorHAnsi" w:hAnsiTheme="minorHAnsi" w:cstheme="minorHAnsi"/>
        </w:rPr>
        <w:t>0.75 to 1.12</w:t>
      </w:r>
      <w:r w:rsidRPr="00CE047D">
        <w:rPr>
          <w:rFonts w:asciiTheme="minorHAnsi" w:hAnsiTheme="minorHAnsi" w:cstheme="minorHAnsi"/>
        </w:rPr>
        <w:t>.  The State Plan’s average number of violations per inspection with violation</w:t>
      </w:r>
      <w:r w:rsidR="000355C1">
        <w:rPr>
          <w:rFonts w:asciiTheme="minorHAnsi" w:hAnsiTheme="minorHAnsi" w:cstheme="minorHAnsi"/>
        </w:rPr>
        <w:t>s</w:t>
      </w:r>
      <w:r w:rsidRPr="00CE047D">
        <w:rPr>
          <w:rFonts w:asciiTheme="minorHAnsi" w:hAnsiTheme="minorHAnsi" w:cstheme="minorHAnsi"/>
        </w:rPr>
        <w:t xml:space="preserve"> (other) was 0.</w:t>
      </w:r>
      <w:r w:rsidR="0010344E" w:rsidRPr="00CE047D">
        <w:rPr>
          <w:rFonts w:asciiTheme="minorHAnsi" w:hAnsiTheme="minorHAnsi" w:cstheme="minorHAnsi"/>
        </w:rPr>
        <w:t>33</w:t>
      </w:r>
      <w:r w:rsidRPr="00CE047D">
        <w:rPr>
          <w:rFonts w:asciiTheme="minorHAnsi" w:hAnsiTheme="minorHAnsi" w:cstheme="minorHAnsi"/>
        </w:rPr>
        <w:t xml:space="preserve">, </w:t>
      </w:r>
      <w:r w:rsidRPr="00E620F6">
        <w:rPr>
          <w:rFonts w:asciiTheme="minorHAnsi" w:hAnsiTheme="minorHAnsi" w:cstheme="minorHAnsi"/>
        </w:rPr>
        <w:t xml:space="preserve">which was below the FRL.   </w:t>
      </w:r>
    </w:p>
    <w:p w14:paraId="70615BF5" w14:textId="77777777" w:rsidR="00E620F6" w:rsidRPr="00E620F6" w:rsidRDefault="00E620F6" w:rsidP="00E620F6">
      <w:pPr>
        <w:widowControl/>
        <w:autoSpaceDE/>
        <w:adjustRightInd/>
        <w:rPr>
          <w:rFonts w:asciiTheme="minorHAnsi" w:hAnsiTheme="minorHAnsi" w:cstheme="minorHAnsi"/>
          <w:color w:val="FF0000"/>
        </w:rPr>
      </w:pPr>
    </w:p>
    <w:p w14:paraId="6211B485" w14:textId="1CF02E75" w:rsidR="00E620F6" w:rsidRDefault="00E620F6" w:rsidP="00E620F6">
      <w:pPr>
        <w:widowControl/>
        <w:autoSpaceDE/>
        <w:autoSpaceDN/>
        <w:adjustRightInd/>
        <w:rPr>
          <w:rFonts w:asciiTheme="minorHAnsi" w:hAnsiTheme="minorHAnsi" w:cstheme="minorHAnsi"/>
        </w:rPr>
      </w:pPr>
      <w:r w:rsidRPr="00E620F6">
        <w:rPr>
          <w:rFonts w:asciiTheme="minorHAnsi" w:hAnsiTheme="minorHAnsi" w:cstheme="minorHAnsi"/>
          <w:u w:val="single"/>
        </w:rPr>
        <w:t>Explanation</w:t>
      </w:r>
      <w:r w:rsidRPr="00674BDF">
        <w:rPr>
          <w:rFonts w:asciiTheme="minorHAnsi" w:hAnsiTheme="minorHAnsi" w:cstheme="minorHAnsi"/>
        </w:rPr>
        <w:t>:</w:t>
      </w:r>
      <w:r w:rsidRPr="00E620F6">
        <w:rPr>
          <w:rFonts w:asciiTheme="minorHAnsi" w:hAnsiTheme="minorHAnsi" w:cstheme="minorHAnsi"/>
        </w:rPr>
        <w:t xml:space="preserve"> </w:t>
      </w:r>
      <w:r w:rsidRPr="005607ED">
        <w:rPr>
          <w:rFonts w:asciiTheme="minorHAnsi" w:hAnsiTheme="minorHAnsi" w:cstheme="minorHAnsi"/>
        </w:rPr>
        <w:t>Wyoming OSHA’s average number of other-than-serious (OTS) violations per inspection</w:t>
      </w:r>
      <w:r w:rsidR="00C32635" w:rsidRPr="005607ED">
        <w:rPr>
          <w:rFonts w:asciiTheme="minorHAnsi" w:hAnsiTheme="minorHAnsi" w:cstheme="minorHAnsi"/>
        </w:rPr>
        <w:t xml:space="preserve"> was 0.10 less than the average number for FY 2023.</w:t>
      </w:r>
      <w:r w:rsidRPr="005607ED">
        <w:rPr>
          <w:rFonts w:asciiTheme="minorHAnsi" w:hAnsiTheme="minorHAnsi" w:cstheme="minorHAnsi"/>
        </w:rPr>
        <w:t xml:space="preserve">  </w:t>
      </w:r>
      <w:r w:rsidR="00AF787F" w:rsidRPr="005607ED">
        <w:rPr>
          <w:rFonts w:asciiTheme="minorHAnsi" w:hAnsiTheme="minorHAnsi" w:cstheme="minorHAnsi"/>
        </w:rPr>
        <w:t xml:space="preserve">The State Plan has continued </w:t>
      </w:r>
      <w:r w:rsidR="00864A1A" w:rsidRPr="005607ED">
        <w:rPr>
          <w:rFonts w:asciiTheme="minorHAnsi" w:hAnsiTheme="minorHAnsi" w:cstheme="minorHAnsi"/>
        </w:rPr>
        <w:t xml:space="preserve">for several fiscal years </w:t>
      </w:r>
      <w:r w:rsidR="00AF787F" w:rsidRPr="005607ED">
        <w:rPr>
          <w:rFonts w:asciiTheme="minorHAnsi" w:hAnsiTheme="minorHAnsi" w:cstheme="minorHAnsi"/>
        </w:rPr>
        <w:t>to be below the FRL for SAMM 5b</w:t>
      </w:r>
      <w:r w:rsidR="00864A1A" w:rsidRPr="005607ED">
        <w:rPr>
          <w:rFonts w:asciiTheme="minorHAnsi" w:hAnsiTheme="minorHAnsi" w:cstheme="minorHAnsi"/>
        </w:rPr>
        <w:t xml:space="preserve">.  </w:t>
      </w:r>
      <w:r w:rsidR="00015DE9" w:rsidRPr="005607ED">
        <w:rPr>
          <w:rFonts w:asciiTheme="minorHAnsi" w:hAnsiTheme="minorHAnsi" w:cstheme="minorHAnsi"/>
        </w:rPr>
        <w:t xml:space="preserve">However, </w:t>
      </w:r>
      <w:r w:rsidR="0092594F">
        <w:rPr>
          <w:rFonts w:asciiTheme="minorHAnsi" w:hAnsiTheme="minorHAnsi" w:cstheme="minorHAnsi"/>
        </w:rPr>
        <w:t>Wyoming OSHA</w:t>
      </w:r>
      <w:r w:rsidR="00015DE9" w:rsidRPr="005607ED">
        <w:rPr>
          <w:rFonts w:asciiTheme="minorHAnsi" w:hAnsiTheme="minorHAnsi" w:cstheme="minorHAnsi"/>
        </w:rPr>
        <w:t xml:space="preserve"> has consistently met the FRL for the average number of ser</w:t>
      </w:r>
      <w:r w:rsidR="00D059FD" w:rsidRPr="005607ED">
        <w:rPr>
          <w:rFonts w:asciiTheme="minorHAnsi" w:hAnsiTheme="minorHAnsi" w:cstheme="minorHAnsi"/>
        </w:rPr>
        <w:t xml:space="preserve">ious violations per inspection since FY 2020.  </w:t>
      </w:r>
      <w:r w:rsidRPr="005607ED">
        <w:rPr>
          <w:rFonts w:asciiTheme="minorHAnsi" w:hAnsiTheme="minorHAnsi" w:cstheme="minorHAnsi"/>
        </w:rPr>
        <w:t xml:space="preserve">While </w:t>
      </w:r>
      <w:r w:rsidRPr="00E620F6">
        <w:rPr>
          <w:rFonts w:asciiTheme="minorHAnsi" w:hAnsiTheme="minorHAnsi" w:cstheme="minorHAnsi"/>
        </w:rPr>
        <w:t>an observation is not justified at this time, OSHA will continue to monitor this SAMM with the State Plan throughout FY 202</w:t>
      </w:r>
      <w:r w:rsidR="00E9192D" w:rsidRPr="00E9192D">
        <w:rPr>
          <w:rFonts w:asciiTheme="minorHAnsi" w:hAnsiTheme="minorHAnsi" w:cstheme="minorHAnsi"/>
        </w:rPr>
        <w:t>5</w:t>
      </w:r>
      <w:r w:rsidRPr="00E620F6">
        <w:rPr>
          <w:rFonts w:asciiTheme="minorHAnsi" w:hAnsiTheme="minorHAnsi" w:cstheme="minorHAnsi"/>
        </w:rPr>
        <w:t>.</w:t>
      </w:r>
    </w:p>
    <w:p w14:paraId="1F3959A7" w14:textId="77777777" w:rsidR="0069033C" w:rsidRDefault="0069033C" w:rsidP="00E620F6">
      <w:pPr>
        <w:widowControl/>
        <w:autoSpaceDE/>
        <w:autoSpaceDN/>
        <w:adjustRightInd/>
        <w:rPr>
          <w:rFonts w:asciiTheme="minorHAnsi" w:hAnsiTheme="minorHAnsi" w:cstheme="minorHAnsi"/>
        </w:rPr>
      </w:pPr>
    </w:p>
    <w:p w14:paraId="342ECFC0" w14:textId="3CEC27E5" w:rsidR="0069033C" w:rsidRPr="00E620F6" w:rsidRDefault="0069033C" w:rsidP="0069033C">
      <w:pPr>
        <w:keepNext/>
        <w:keepLines/>
        <w:spacing w:before="40"/>
        <w:outlineLvl w:val="3"/>
        <w:rPr>
          <w:rFonts w:eastAsiaTheme="majorEastAsia" w:cstheme="majorBidi"/>
          <w:b/>
          <w:iCs/>
        </w:rPr>
      </w:pPr>
      <w:r w:rsidRPr="00E620F6">
        <w:rPr>
          <w:rFonts w:eastAsiaTheme="majorEastAsia" w:cstheme="majorBidi"/>
          <w:b/>
          <w:iCs/>
        </w:rPr>
        <w:t xml:space="preserve">SAMM </w:t>
      </w:r>
      <w:r>
        <w:rPr>
          <w:rFonts w:eastAsiaTheme="majorEastAsia" w:cstheme="majorBidi"/>
          <w:b/>
          <w:iCs/>
        </w:rPr>
        <w:t>6</w:t>
      </w:r>
      <w:r w:rsidRPr="00E620F6">
        <w:rPr>
          <w:rFonts w:eastAsiaTheme="majorEastAsia" w:cstheme="majorBidi"/>
          <w:b/>
          <w:iCs/>
        </w:rPr>
        <w:t xml:space="preserve"> </w:t>
      </w:r>
      <w:r>
        <w:rPr>
          <w:rFonts w:eastAsiaTheme="majorEastAsia" w:cstheme="majorBidi"/>
          <w:b/>
          <w:iCs/>
        </w:rPr>
        <w:t xml:space="preserve">- </w:t>
      </w:r>
      <w:r w:rsidRPr="0069033C">
        <w:rPr>
          <w:rFonts w:eastAsiaTheme="majorEastAsia" w:cstheme="majorBidi"/>
          <w:b/>
          <w:iCs/>
        </w:rPr>
        <w:t>Percent of total inspections in state and local government workplaces</w:t>
      </w:r>
    </w:p>
    <w:p w14:paraId="02E4BC57" w14:textId="77777777" w:rsidR="0069033C" w:rsidRPr="00E620F6" w:rsidRDefault="0069033C" w:rsidP="0069033C">
      <w:pPr>
        <w:widowControl/>
        <w:autoSpaceDE/>
        <w:adjustRightInd/>
        <w:rPr>
          <w:rFonts w:asciiTheme="minorHAnsi" w:hAnsiTheme="minorHAnsi" w:cstheme="minorHAnsi"/>
          <w:b/>
          <w:color w:val="FF0000"/>
        </w:rPr>
      </w:pPr>
    </w:p>
    <w:p w14:paraId="1C1A02F1" w14:textId="68AB070B" w:rsidR="0069033C" w:rsidRPr="00E620F6" w:rsidRDefault="0069033C" w:rsidP="0069033C">
      <w:pPr>
        <w:widowControl/>
        <w:autoSpaceDE/>
        <w:adjustRightInd/>
        <w:rPr>
          <w:rFonts w:asciiTheme="minorHAnsi" w:hAnsiTheme="minorHAnsi" w:cstheme="minorHAnsi"/>
          <w:color w:val="FF0000"/>
        </w:rPr>
      </w:pPr>
      <w:r w:rsidRPr="00E620F6">
        <w:rPr>
          <w:rFonts w:asciiTheme="minorHAnsi" w:hAnsiTheme="minorHAnsi" w:cstheme="minorHAnsi"/>
          <w:u w:val="single"/>
        </w:rPr>
        <w:t>Discussion of State Plan Data and FRL</w:t>
      </w:r>
      <w:r w:rsidRPr="00E620F6">
        <w:rPr>
          <w:rFonts w:asciiTheme="minorHAnsi" w:hAnsiTheme="minorHAnsi" w:cstheme="minorHAnsi"/>
        </w:rPr>
        <w:t xml:space="preserve">: </w:t>
      </w:r>
      <w:r w:rsidR="005D7799" w:rsidRPr="00FC3E1E">
        <w:rPr>
          <w:rFonts w:asciiTheme="minorHAnsi" w:hAnsiTheme="minorHAnsi" w:cstheme="minorHAnsi"/>
        </w:rPr>
        <w:t xml:space="preserve">The FRL for </w:t>
      </w:r>
      <w:r w:rsidR="005D7799">
        <w:rPr>
          <w:rFonts w:asciiTheme="minorHAnsi" w:hAnsiTheme="minorHAnsi" w:cstheme="minorHAnsi"/>
        </w:rPr>
        <w:t xml:space="preserve">the </w:t>
      </w:r>
      <w:r w:rsidR="005D7799" w:rsidRPr="00FC3E1E">
        <w:rPr>
          <w:rFonts w:asciiTheme="minorHAnsi" w:hAnsiTheme="minorHAnsi" w:cstheme="minorHAnsi"/>
        </w:rPr>
        <w:t xml:space="preserve">percent of total inspections in state and local government workplaces was a range </w:t>
      </w:r>
      <w:r w:rsidRPr="003C636E">
        <w:rPr>
          <w:rFonts w:asciiTheme="minorHAnsi" w:hAnsiTheme="minorHAnsi" w:cstheme="minorHAnsi"/>
        </w:rPr>
        <w:t xml:space="preserve">of </w:t>
      </w:r>
      <w:r w:rsidR="00CE047D" w:rsidRPr="003C636E">
        <w:rPr>
          <w:rFonts w:asciiTheme="minorHAnsi" w:hAnsiTheme="minorHAnsi" w:cstheme="minorHAnsi"/>
        </w:rPr>
        <w:t>2.02% to 2.23%</w:t>
      </w:r>
      <w:r w:rsidRPr="003C636E">
        <w:rPr>
          <w:rFonts w:asciiTheme="minorHAnsi" w:hAnsiTheme="minorHAnsi" w:cstheme="minorHAnsi"/>
        </w:rPr>
        <w:t xml:space="preserve">.  </w:t>
      </w:r>
      <w:r w:rsidR="005931DE" w:rsidRPr="00FC3E1E">
        <w:rPr>
          <w:rFonts w:asciiTheme="minorHAnsi" w:hAnsiTheme="minorHAnsi" w:cstheme="minorHAnsi"/>
        </w:rPr>
        <w:t xml:space="preserve">The State Plan’s </w:t>
      </w:r>
      <w:r w:rsidR="005931DE">
        <w:rPr>
          <w:rFonts w:asciiTheme="minorHAnsi" w:hAnsiTheme="minorHAnsi" w:cstheme="minorHAnsi"/>
        </w:rPr>
        <w:t>result of</w:t>
      </w:r>
      <w:r w:rsidRPr="003C636E">
        <w:rPr>
          <w:rFonts w:asciiTheme="minorHAnsi" w:hAnsiTheme="minorHAnsi" w:cstheme="minorHAnsi"/>
        </w:rPr>
        <w:t xml:space="preserve"> </w:t>
      </w:r>
      <w:r w:rsidR="00C8212E" w:rsidRPr="003C636E">
        <w:rPr>
          <w:rFonts w:asciiTheme="minorHAnsi" w:hAnsiTheme="minorHAnsi" w:cstheme="minorHAnsi"/>
        </w:rPr>
        <w:t>13.54%</w:t>
      </w:r>
      <w:r w:rsidRPr="003C636E">
        <w:rPr>
          <w:rFonts w:asciiTheme="minorHAnsi" w:hAnsiTheme="minorHAnsi" w:cstheme="minorHAnsi"/>
        </w:rPr>
        <w:t xml:space="preserve"> </w:t>
      </w:r>
      <w:r w:rsidRPr="00E620F6">
        <w:rPr>
          <w:rFonts w:asciiTheme="minorHAnsi" w:hAnsiTheme="minorHAnsi" w:cstheme="minorHAnsi"/>
        </w:rPr>
        <w:t xml:space="preserve">was </w:t>
      </w:r>
      <w:r w:rsidR="00C8212E">
        <w:rPr>
          <w:rFonts w:asciiTheme="minorHAnsi" w:hAnsiTheme="minorHAnsi" w:cstheme="minorHAnsi"/>
        </w:rPr>
        <w:t>above</w:t>
      </w:r>
      <w:r w:rsidRPr="00E620F6">
        <w:rPr>
          <w:rFonts w:asciiTheme="minorHAnsi" w:hAnsiTheme="minorHAnsi" w:cstheme="minorHAnsi"/>
        </w:rPr>
        <w:t xml:space="preserve"> the FRL.   </w:t>
      </w:r>
    </w:p>
    <w:p w14:paraId="2CEF86E9" w14:textId="77777777" w:rsidR="0069033C" w:rsidRPr="00E620F6" w:rsidRDefault="0069033C" w:rsidP="0069033C">
      <w:pPr>
        <w:widowControl/>
        <w:autoSpaceDE/>
        <w:adjustRightInd/>
        <w:rPr>
          <w:rFonts w:asciiTheme="minorHAnsi" w:hAnsiTheme="minorHAnsi" w:cstheme="minorHAnsi"/>
          <w:color w:val="FF0000"/>
        </w:rPr>
      </w:pPr>
    </w:p>
    <w:p w14:paraId="7C175B54" w14:textId="48D545A3" w:rsidR="0069033C" w:rsidRDefault="0069033C" w:rsidP="0069033C">
      <w:pPr>
        <w:widowControl/>
        <w:autoSpaceDE/>
        <w:autoSpaceDN/>
        <w:adjustRightInd/>
        <w:rPr>
          <w:rFonts w:asciiTheme="minorHAnsi" w:hAnsiTheme="minorHAnsi" w:cstheme="minorHAnsi"/>
        </w:rPr>
      </w:pPr>
      <w:r w:rsidRPr="00E620F6">
        <w:rPr>
          <w:rFonts w:asciiTheme="minorHAnsi" w:hAnsiTheme="minorHAnsi" w:cstheme="minorHAnsi"/>
          <w:u w:val="single"/>
        </w:rPr>
        <w:t>Explanation</w:t>
      </w:r>
      <w:r w:rsidRPr="008D375D">
        <w:rPr>
          <w:rFonts w:asciiTheme="minorHAnsi" w:hAnsiTheme="minorHAnsi" w:cstheme="minorHAnsi"/>
        </w:rPr>
        <w:t>:</w:t>
      </w:r>
      <w:r w:rsidRPr="00E620F6">
        <w:rPr>
          <w:rFonts w:asciiTheme="minorHAnsi" w:hAnsiTheme="minorHAnsi" w:cstheme="minorHAnsi"/>
        </w:rPr>
        <w:t xml:space="preserve"> </w:t>
      </w:r>
      <w:r w:rsidR="003C636E">
        <w:rPr>
          <w:rFonts w:asciiTheme="minorHAnsi" w:hAnsiTheme="minorHAnsi" w:cstheme="minorHAnsi"/>
        </w:rPr>
        <w:t>In FY 2021, Wyoming OSHA and the OSHA Regional Office re</w:t>
      </w:r>
      <w:r w:rsidR="003C636E" w:rsidRPr="00FC3E1E">
        <w:rPr>
          <w:rFonts w:asciiTheme="minorHAnsi" w:hAnsiTheme="minorHAnsi" w:cstheme="minorHAnsi"/>
        </w:rPr>
        <w:t xml:space="preserve">negotiated the </w:t>
      </w:r>
      <w:r w:rsidR="003C636E">
        <w:rPr>
          <w:rFonts w:asciiTheme="minorHAnsi" w:hAnsiTheme="minorHAnsi" w:cstheme="minorHAnsi"/>
        </w:rPr>
        <w:t xml:space="preserve">SAMM 6 </w:t>
      </w:r>
      <w:r w:rsidR="003C636E" w:rsidRPr="00FC3E1E">
        <w:rPr>
          <w:rFonts w:asciiTheme="minorHAnsi" w:hAnsiTheme="minorHAnsi" w:cstheme="minorHAnsi"/>
        </w:rPr>
        <w:t>FRL</w:t>
      </w:r>
      <w:r w:rsidR="003C636E">
        <w:rPr>
          <w:rFonts w:asciiTheme="minorHAnsi" w:hAnsiTheme="minorHAnsi" w:cstheme="minorHAnsi"/>
        </w:rPr>
        <w:t>, going</w:t>
      </w:r>
      <w:r w:rsidR="003C636E" w:rsidRPr="00FC3E1E">
        <w:rPr>
          <w:rFonts w:asciiTheme="minorHAnsi" w:hAnsiTheme="minorHAnsi" w:cstheme="minorHAnsi"/>
        </w:rPr>
        <w:t xml:space="preserve"> from 20.24% to 2.13%.  The State Plan </w:t>
      </w:r>
      <w:r w:rsidR="003C636E">
        <w:rPr>
          <w:rFonts w:asciiTheme="minorHAnsi" w:hAnsiTheme="minorHAnsi" w:cstheme="minorHAnsi"/>
        </w:rPr>
        <w:t xml:space="preserve">has </w:t>
      </w:r>
      <w:r w:rsidR="003C636E" w:rsidRPr="00FC3E1E">
        <w:rPr>
          <w:rFonts w:asciiTheme="minorHAnsi" w:hAnsiTheme="minorHAnsi" w:cstheme="minorHAnsi"/>
        </w:rPr>
        <w:t xml:space="preserve">exceeded the FRL for </w:t>
      </w:r>
      <w:r w:rsidR="003C636E">
        <w:rPr>
          <w:rFonts w:asciiTheme="minorHAnsi" w:hAnsiTheme="minorHAnsi" w:cstheme="minorHAnsi"/>
        </w:rPr>
        <w:t>SAMM 6 ever since the renegotiation</w:t>
      </w:r>
      <w:r w:rsidR="003C636E" w:rsidRPr="00FC3E1E">
        <w:rPr>
          <w:rFonts w:asciiTheme="minorHAnsi" w:hAnsiTheme="minorHAnsi" w:cstheme="minorHAnsi"/>
        </w:rPr>
        <w:t xml:space="preserve">.  </w:t>
      </w:r>
    </w:p>
    <w:p w14:paraId="3BC33630" w14:textId="77777777" w:rsidR="007C681F" w:rsidRPr="00E620F6" w:rsidRDefault="007C681F" w:rsidP="00E620F6">
      <w:pPr>
        <w:widowControl/>
        <w:autoSpaceDE/>
        <w:autoSpaceDN/>
        <w:adjustRightInd/>
        <w:rPr>
          <w:rFonts w:asciiTheme="minorHAnsi" w:hAnsiTheme="minorHAnsi" w:cstheme="minorHAnsi"/>
        </w:rPr>
      </w:pPr>
    </w:p>
    <w:p w14:paraId="34192AB9" w14:textId="036332B1" w:rsidR="005256D1" w:rsidRPr="005256D1" w:rsidRDefault="005256D1" w:rsidP="005256D1">
      <w:pPr>
        <w:keepNext/>
        <w:keepLines/>
        <w:spacing w:before="40"/>
        <w:outlineLvl w:val="3"/>
        <w:rPr>
          <w:rFonts w:eastAsiaTheme="majorEastAsia" w:cstheme="majorBidi"/>
          <w:b/>
          <w:iCs/>
        </w:rPr>
      </w:pPr>
      <w:r w:rsidRPr="005256D1">
        <w:rPr>
          <w:rFonts w:eastAsiaTheme="majorEastAsia" w:cstheme="majorBidi"/>
          <w:b/>
          <w:iCs/>
        </w:rPr>
        <w:t>SAMM 7</w:t>
      </w:r>
      <w:r>
        <w:rPr>
          <w:rFonts w:eastAsiaTheme="majorEastAsia" w:cstheme="majorBidi"/>
          <w:b/>
          <w:iCs/>
        </w:rPr>
        <w:t>a</w:t>
      </w:r>
      <w:r w:rsidRPr="005256D1">
        <w:rPr>
          <w:rFonts w:eastAsiaTheme="majorEastAsia" w:cstheme="majorBidi"/>
          <w:b/>
          <w:iCs/>
        </w:rPr>
        <w:t xml:space="preserve"> – Planned v. Actual Inspections (</w:t>
      </w:r>
      <w:r>
        <w:rPr>
          <w:rFonts w:eastAsiaTheme="majorEastAsia" w:cstheme="majorBidi"/>
          <w:b/>
          <w:iCs/>
        </w:rPr>
        <w:t>Safety</w:t>
      </w:r>
      <w:r w:rsidRPr="005256D1">
        <w:rPr>
          <w:rFonts w:eastAsiaTheme="majorEastAsia" w:cstheme="majorBidi"/>
          <w:b/>
          <w:iCs/>
        </w:rPr>
        <w:t>)</w:t>
      </w:r>
    </w:p>
    <w:p w14:paraId="4488DCEA" w14:textId="77777777" w:rsidR="005256D1" w:rsidRPr="005256D1" w:rsidRDefault="005256D1" w:rsidP="005256D1">
      <w:pPr>
        <w:widowControl/>
        <w:autoSpaceDE/>
        <w:adjustRightInd/>
        <w:rPr>
          <w:rFonts w:asciiTheme="minorHAnsi" w:hAnsiTheme="minorHAnsi" w:cstheme="minorHAnsi"/>
          <w:b/>
          <w:color w:val="FF0000"/>
        </w:rPr>
      </w:pPr>
    </w:p>
    <w:p w14:paraId="518FD174" w14:textId="65A835DA" w:rsidR="005256D1" w:rsidRPr="005256D1" w:rsidRDefault="005256D1" w:rsidP="005256D1">
      <w:pPr>
        <w:widowControl/>
        <w:autoSpaceDE/>
        <w:adjustRightInd/>
        <w:rPr>
          <w:rFonts w:asciiTheme="minorHAnsi" w:hAnsiTheme="minorHAnsi" w:cstheme="minorHAnsi"/>
          <w:color w:val="FF0000"/>
        </w:rPr>
      </w:pPr>
      <w:r w:rsidRPr="005256D1">
        <w:rPr>
          <w:rFonts w:asciiTheme="minorHAnsi" w:hAnsiTheme="minorHAnsi" w:cstheme="minorHAnsi"/>
          <w:u w:val="single"/>
        </w:rPr>
        <w:t>Discussion of State Plan Data and FRL</w:t>
      </w:r>
      <w:r w:rsidRPr="008D375D">
        <w:rPr>
          <w:rFonts w:asciiTheme="minorHAnsi" w:hAnsiTheme="minorHAnsi" w:cstheme="minorHAnsi"/>
        </w:rPr>
        <w:t>:</w:t>
      </w:r>
      <w:r w:rsidRPr="005256D1">
        <w:rPr>
          <w:rFonts w:asciiTheme="minorHAnsi" w:hAnsiTheme="minorHAnsi" w:cstheme="minorHAnsi"/>
        </w:rPr>
        <w:t xml:space="preserve"> The FRL for planned versus actual </w:t>
      </w:r>
      <w:r>
        <w:rPr>
          <w:rFonts w:asciiTheme="minorHAnsi" w:hAnsiTheme="minorHAnsi" w:cstheme="minorHAnsi"/>
        </w:rPr>
        <w:t>safety</w:t>
      </w:r>
      <w:r w:rsidRPr="005256D1">
        <w:rPr>
          <w:rFonts w:asciiTheme="minorHAnsi" w:hAnsiTheme="minorHAnsi" w:cstheme="minorHAnsi"/>
        </w:rPr>
        <w:t xml:space="preserve"> inspections was a range </w:t>
      </w:r>
      <w:r w:rsidRPr="002706E6">
        <w:rPr>
          <w:rFonts w:asciiTheme="minorHAnsi" w:hAnsiTheme="minorHAnsi" w:cstheme="minorHAnsi"/>
        </w:rPr>
        <w:t xml:space="preserve">of </w:t>
      </w:r>
      <w:r w:rsidR="002706E6" w:rsidRPr="002706E6">
        <w:rPr>
          <w:rFonts w:asciiTheme="minorHAnsi" w:hAnsiTheme="minorHAnsi" w:cstheme="minorHAnsi"/>
        </w:rPr>
        <w:t>164</w:t>
      </w:r>
      <w:r w:rsidRPr="002706E6">
        <w:rPr>
          <w:rFonts w:asciiTheme="minorHAnsi" w:hAnsiTheme="minorHAnsi" w:cstheme="minorHAnsi"/>
        </w:rPr>
        <w:t xml:space="preserve"> to </w:t>
      </w:r>
      <w:r w:rsidR="002706E6" w:rsidRPr="002706E6">
        <w:rPr>
          <w:rFonts w:asciiTheme="minorHAnsi" w:hAnsiTheme="minorHAnsi" w:cstheme="minorHAnsi"/>
        </w:rPr>
        <w:t>182</w:t>
      </w:r>
      <w:r w:rsidRPr="002706E6">
        <w:rPr>
          <w:rFonts w:asciiTheme="minorHAnsi" w:hAnsiTheme="minorHAnsi" w:cstheme="minorHAnsi"/>
        </w:rPr>
        <w:t xml:space="preserve">.  </w:t>
      </w:r>
      <w:r w:rsidR="0092594F">
        <w:rPr>
          <w:rFonts w:asciiTheme="minorHAnsi" w:hAnsiTheme="minorHAnsi" w:cstheme="minorHAnsi"/>
        </w:rPr>
        <w:t>Wyoming OSHA’s</w:t>
      </w:r>
      <w:r w:rsidRPr="005256D1">
        <w:rPr>
          <w:rFonts w:asciiTheme="minorHAnsi" w:hAnsiTheme="minorHAnsi" w:cstheme="minorHAnsi"/>
        </w:rPr>
        <w:t xml:space="preserve"> actual number of </w:t>
      </w:r>
      <w:r w:rsidR="00132016">
        <w:rPr>
          <w:rFonts w:asciiTheme="minorHAnsi" w:hAnsiTheme="minorHAnsi" w:cstheme="minorHAnsi"/>
        </w:rPr>
        <w:t>safety</w:t>
      </w:r>
      <w:r w:rsidRPr="005256D1">
        <w:rPr>
          <w:rFonts w:asciiTheme="minorHAnsi" w:hAnsiTheme="minorHAnsi" w:cstheme="minorHAnsi"/>
        </w:rPr>
        <w:t xml:space="preserve"> inspections </w:t>
      </w:r>
      <w:r w:rsidRPr="002706E6">
        <w:rPr>
          <w:rFonts w:asciiTheme="minorHAnsi" w:hAnsiTheme="minorHAnsi" w:cstheme="minorHAnsi"/>
        </w:rPr>
        <w:t xml:space="preserve">was </w:t>
      </w:r>
      <w:r w:rsidR="00132016" w:rsidRPr="002706E6">
        <w:rPr>
          <w:rFonts w:asciiTheme="minorHAnsi" w:hAnsiTheme="minorHAnsi" w:cstheme="minorHAnsi"/>
        </w:rPr>
        <w:t>79</w:t>
      </w:r>
      <w:r w:rsidRPr="002706E6">
        <w:rPr>
          <w:rFonts w:asciiTheme="minorHAnsi" w:hAnsiTheme="minorHAnsi" w:cstheme="minorHAnsi"/>
        </w:rPr>
        <w:t xml:space="preserve">, which </w:t>
      </w:r>
      <w:r w:rsidRPr="005256D1">
        <w:rPr>
          <w:rFonts w:asciiTheme="minorHAnsi" w:hAnsiTheme="minorHAnsi" w:cstheme="minorHAnsi"/>
        </w:rPr>
        <w:t xml:space="preserve">was </w:t>
      </w:r>
      <w:r>
        <w:rPr>
          <w:rFonts w:asciiTheme="minorHAnsi" w:hAnsiTheme="minorHAnsi" w:cstheme="minorHAnsi"/>
        </w:rPr>
        <w:t xml:space="preserve">significantly </w:t>
      </w:r>
      <w:r w:rsidRPr="005256D1">
        <w:rPr>
          <w:rFonts w:asciiTheme="minorHAnsi" w:hAnsiTheme="minorHAnsi" w:cstheme="minorHAnsi"/>
        </w:rPr>
        <w:t>below the FRL.</w:t>
      </w:r>
    </w:p>
    <w:p w14:paraId="15631DD1" w14:textId="77777777" w:rsidR="005256D1" w:rsidRPr="005256D1" w:rsidRDefault="005256D1" w:rsidP="005256D1">
      <w:pPr>
        <w:widowControl/>
        <w:autoSpaceDE/>
        <w:adjustRightInd/>
        <w:rPr>
          <w:rFonts w:asciiTheme="minorHAnsi" w:hAnsiTheme="minorHAnsi" w:cstheme="minorHAnsi"/>
          <w:color w:val="FF0000"/>
        </w:rPr>
      </w:pPr>
    </w:p>
    <w:p w14:paraId="167BAA21" w14:textId="16C303E3" w:rsidR="005256D1" w:rsidRPr="00E71E53" w:rsidRDefault="005256D1" w:rsidP="00E71E53">
      <w:pPr>
        <w:pStyle w:val="Header"/>
        <w:widowControl/>
        <w:tabs>
          <w:tab w:val="clear" w:pos="4680"/>
          <w:tab w:val="clear" w:pos="9360"/>
        </w:tabs>
        <w:autoSpaceDE/>
        <w:adjustRightInd/>
        <w:rPr>
          <w:rFonts w:ascii="Times New Roman" w:hAnsi="Times New Roman"/>
        </w:rPr>
      </w:pPr>
      <w:r w:rsidRPr="005256D1">
        <w:rPr>
          <w:rFonts w:asciiTheme="minorHAnsi" w:hAnsiTheme="minorHAnsi" w:cstheme="minorHAnsi"/>
          <w:u w:val="single"/>
        </w:rPr>
        <w:t>Explanation</w:t>
      </w:r>
      <w:r w:rsidRPr="008D375D">
        <w:rPr>
          <w:rFonts w:asciiTheme="minorHAnsi" w:hAnsiTheme="minorHAnsi" w:cstheme="minorHAnsi"/>
        </w:rPr>
        <w:t>:</w:t>
      </w:r>
      <w:r w:rsidRPr="005256D1">
        <w:rPr>
          <w:rFonts w:asciiTheme="minorHAnsi" w:hAnsiTheme="minorHAnsi" w:cstheme="minorHAnsi"/>
        </w:rPr>
        <w:t xml:space="preserve"> </w:t>
      </w:r>
      <w:r w:rsidR="001255CC" w:rsidRPr="00E71E53">
        <w:rPr>
          <w:rFonts w:asciiTheme="minorHAnsi" w:hAnsiTheme="minorHAnsi" w:cstheme="minorHAnsi"/>
        </w:rPr>
        <w:t xml:space="preserve">This </w:t>
      </w:r>
      <w:r w:rsidR="006F558D">
        <w:rPr>
          <w:rFonts w:asciiTheme="minorHAnsi" w:hAnsiTheme="minorHAnsi" w:cstheme="minorHAnsi"/>
        </w:rPr>
        <w:t>was</w:t>
      </w:r>
      <w:r w:rsidR="001255CC" w:rsidRPr="00E71E53">
        <w:rPr>
          <w:rFonts w:asciiTheme="minorHAnsi" w:hAnsiTheme="minorHAnsi" w:cstheme="minorHAnsi"/>
        </w:rPr>
        <w:t xml:space="preserve"> previously discussed in </w:t>
      </w:r>
      <w:r w:rsidR="00200E48">
        <w:rPr>
          <w:rFonts w:asciiTheme="minorHAnsi" w:hAnsiTheme="minorHAnsi" w:cstheme="minorHAnsi"/>
        </w:rPr>
        <w:t>O</w:t>
      </w:r>
      <w:r w:rsidR="001255CC" w:rsidRPr="00E71E53">
        <w:rPr>
          <w:rFonts w:asciiTheme="minorHAnsi" w:hAnsiTheme="minorHAnsi" w:cstheme="minorHAnsi"/>
        </w:rPr>
        <w:t>bservation</w:t>
      </w:r>
      <w:r w:rsidR="00E71E53" w:rsidRPr="00E71E53">
        <w:rPr>
          <w:rFonts w:asciiTheme="minorHAnsi" w:hAnsiTheme="minorHAnsi" w:cstheme="minorHAnsi"/>
        </w:rPr>
        <w:t xml:space="preserve"> </w:t>
      </w:r>
      <w:r w:rsidR="00141E6F" w:rsidRPr="00E71E53">
        <w:rPr>
          <w:rFonts w:asciiTheme="minorHAnsi" w:hAnsiTheme="minorHAnsi" w:cstheme="minorHAnsi"/>
        </w:rPr>
        <w:t>FY 2024</w:t>
      </w:r>
      <w:r w:rsidR="007C3DB6" w:rsidRPr="00E71E53">
        <w:rPr>
          <w:rFonts w:asciiTheme="minorHAnsi" w:hAnsiTheme="minorHAnsi" w:cstheme="minorHAnsi"/>
        </w:rPr>
        <w:t>-OB-06.</w:t>
      </w:r>
    </w:p>
    <w:p w14:paraId="006458E8" w14:textId="45FEF27F" w:rsidR="00B659E4" w:rsidRPr="005256D1" w:rsidRDefault="00B659E4" w:rsidP="00B659E4">
      <w:pPr>
        <w:keepNext/>
        <w:keepLines/>
        <w:spacing w:before="40"/>
        <w:outlineLvl w:val="3"/>
        <w:rPr>
          <w:rFonts w:eastAsiaTheme="majorEastAsia" w:cstheme="majorBidi"/>
          <w:b/>
          <w:iCs/>
        </w:rPr>
      </w:pPr>
      <w:r w:rsidRPr="005256D1">
        <w:rPr>
          <w:rFonts w:eastAsiaTheme="majorEastAsia" w:cstheme="majorBidi"/>
          <w:b/>
          <w:iCs/>
        </w:rPr>
        <w:lastRenderedPageBreak/>
        <w:t>SAMM 7</w:t>
      </w:r>
      <w:r>
        <w:rPr>
          <w:rFonts w:eastAsiaTheme="majorEastAsia" w:cstheme="majorBidi"/>
          <w:b/>
          <w:iCs/>
        </w:rPr>
        <w:t>b</w:t>
      </w:r>
      <w:r w:rsidRPr="005256D1">
        <w:rPr>
          <w:rFonts w:eastAsiaTheme="majorEastAsia" w:cstheme="majorBidi"/>
          <w:b/>
          <w:iCs/>
        </w:rPr>
        <w:t xml:space="preserve"> – Planned v. Actual Inspections (</w:t>
      </w:r>
      <w:r>
        <w:rPr>
          <w:rFonts w:eastAsiaTheme="majorEastAsia" w:cstheme="majorBidi"/>
          <w:b/>
          <w:iCs/>
        </w:rPr>
        <w:t>Health</w:t>
      </w:r>
      <w:r w:rsidRPr="005256D1">
        <w:rPr>
          <w:rFonts w:eastAsiaTheme="majorEastAsia" w:cstheme="majorBidi"/>
          <w:b/>
          <w:iCs/>
        </w:rPr>
        <w:t>)</w:t>
      </w:r>
    </w:p>
    <w:p w14:paraId="24B36651" w14:textId="77777777" w:rsidR="00B659E4" w:rsidRPr="005256D1" w:rsidRDefault="00B659E4" w:rsidP="00B659E4">
      <w:pPr>
        <w:widowControl/>
        <w:autoSpaceDE/>
        <w:adjustRightInd/>
        <w:rPr>
          <w:rFonts w:asciiTheme="minorHAnsi" w:hAnsiTheme="minorHAnsi" w:cstheme="minorHAnsi"/>
          <w:b/>
          <w:color w:val="FF0000"/>
        </w:rPr>
      </w:pPr>
    </w:p>
    <w:p w14:paraId="11690773" w14:textId="4027347C" w:rsidR="00B659E4" w:rsidRPr="005256D1" w:rsidRDefault="00B659E4" w:rsidP="00B659E4">
      <w:pPr>
        <w:widowControl/>
        <w:autoSpaceDE/>
        <w:adjustRightInd/>
        <w:rPr>
          <w:rFonts w:asciiTheme="minorHAnsi" w:hAnsiTheme="minorHAnsi" w:cstheme="minorHAnsi"/>
          <w:color w:val="FF0000"/>
        </w:rPr>
      </w:pPr>
      <w:r w:rsidRPr="005256D1">
        <w:rPr>
          <w:rFonts w:asciiTheme="minorHAnsi" w:hAnsiTheme="minorHAnsi" w:cstheme="minorHAnsi"/>
          <w:u w:val="single"/>
        </w:rPr>
        <w:t>Discussion of State Plan Data and FRL</w:t>
      </w:r>
      <w:r w:rsidRPr="008D375D">
        <w:rPr>
          <w:rFonts w:asciiTheme="minorHAnsi" w:hAnsiTheme="minorHAnsi" w:cstheme="minorHAnsi"/>
        </w:rPr>
        <w:t>:</w:t>
      </w:r>
      <w:r w:rsidRPr="005256D1">
        <w:rPr>
          <w:rFonts w:asciiTheme="minorHAnsi" w:hAnsiTheme="minorHAnsi" w:cstheme="minorHAnsi"/>
        </w:rPr>
        <w:t xml:space="preserve"> The FRL for planned versus actual </w:t>
      </w:r>
      <w:r w:rsidR="006C62B4">
        <w:rPr>
          <w:rFonts w:asciiTheme="minorHAnsi" w:hAnsiTheme="minorHAnsi" w:cstheme="minorHAnsi"/>
        </w:rPr>
        <w:t>health</w:t>
      </w:r>
      <w:r w:rsidRPr="005256D1">
        <w:rPr>
          <w:rFonts w:asciiTheme="minorHAnsi" w:hAnsiTheme="minorHAnsi" w:cstheme="minorHAnsi"/>
        </w:rPr>
        <w:t xml:space="preserve"> inspections was a range </w:t>
      </w:r>
      <w:r w:rsidRPr="002706E6">
        <w:rPr>
          <w:rFonts w:asciiTheme="minorHAnsi" w:hAnsiTheme="minorHAnsi" w:cstheme="minorHAnsi"/>
        </w:rPr>
        <w:t xml:space="preserve">of 14 to </w:t>
      </w:r>
      <w:r w:rsidR="002706E6" w:rsidRPr="002706E6">
        <w:rPr>
          <w:rFonts w:asciiTheme="minorHAnsi" w:hAnsiTheme="minorHAnsi" w:cstheme="minorHAnsi"/>
        </w:rPr>
        <w:t>16</w:t>
      </w:r>
      <w:r w:rsidRPr="002706E6">
        <w:rPr>
          <w:rFonts w:asciiTheme="minorHAnsi" w:hAnsiTheme="minorHAnsi" w:cstheme="minorHAnsi"/>
        </w:rPr>
        <w:t xml:space="preserve">.  </w:t>
      </w:r>
      <w:r w:rsidRPr="005256D1">
        <w:rPr>
          <w:rFonts w:asciiTheme="minorHAnsi" w:hAnsiTheme="minorHAnsi" w:cstheme="minorHAnsi"/>
        </w:rPr>
        <w:t xml:space="preserve">The State Plan’s actual number of </w:t>
      </w:r>
      <w:r w:rsidR="006C62B4">
        <w:rPr>
          <w:rFonts w:asciiTheme="minorHAnsi" w:hAnsiTheme="minorHAnsi" w:cstheme="minorHAnsi"/>
        </w:rPr>
        <w:t>health</w:t>
      </w:r>
      <w:r w:rsidRPr="005256D1">
        <w:rPr>
          <w:rFonts w:asciiTheme="minorHAnsi" w:hAnsiTheme="minorHAnsi" w:cstheme="minorHAnsi"/>
        </w:rPr>
        <w:t xml:space="preserve"> </w:t>
      </w:r>
      <w:r w:rsidRPr="002706E6">
        <w:rPr>
          <w:rFonts w:asciiTheme="minorHAnsi" w:hAnsiTheme="minorHAnsi" w:cstheme="minorHAnsi"/>
        </w:rPr>
        <w:t xml:space="preserve">inspections was </w:t>
      </w:r>
      <w:r w:rsidR="002706E6" w:rsidRPr="002706E6">
        <w:rPr>
          <w:rFonts w:asciiTheme="minorHAnsi" w:hAnsiTheme="minorHAnsi" w:cstheme="minorHAnsi"/>
        </w:rPr>
        <w:t>17</w:t>
      </w:r>
      <w:r w:rsidRPr="002706E6">
        <w:rPr>
          <w:rFonts w:asciiTheme="minorHAnsi" w:hAnsiTheme="minorHAnsi" w:cstheme="minorHAnsi"/>
        </w:rPr>
        <w:t xml:space="preserve">, which </w:t>
      </w:r>
      <w:r w:rsidRPr="005256D1">
        <w:rPr>
          <w:rFonts w:asciiTheme="minorHAnsi" w:hAnsiTheme="minorHAnsi" w:cstheme="minorHAnsi"/>
        </w:rPr>
        <w:t xml:space="preserve">was </w:t>
      </w:r>
      <w:r w:rsidR="002706E6">
        <w:rPr>
          <w:rFonts w:asciiTheme="minorHAnsi" w:hAnsiTheme="minorHAnsi" w:cstheme="minorHAnsi"/>
        </w:rPr>
        <w:t>above</w:t>
      </w:r>
      <w:r w:rsidRPr="005256D1">
        <w:rPr>
          <w:rFonts w:asciiTheme="minorHAnsi" w:hAnsiTheme="minorHAnsi" w:cstheme="minorHAnsi"/>
        </w:rPr>
        <w:t xml:space="preserve"> the FRL.</w:t>
      </w:r>
    </w:p>
    <w:p w14:paraId="054F765C" w14:textId="77777777" w:rsidR="00B659E4" w:rsidRPr="005256D1" w:rsidRDefault="00B659E4" w:rsidP="00B659E4">
      <w:pPr>
        <w:widowControl/>
        <w:autoSpaceDE/>
        <w:adjustRightInd/>
        <w:rPr>
          <w:rFonts w:asciiTheme="minorHAnsi" w:hAnsiTheme="minorHAnsi" w:cstheme="minorHAnsi"/>
          <w:color w:val="FF0000"/>
        </w:rPr>
      </w:pPr>
    </w:p>
    <w:p w14:paraId="547C6802" w14:textId="6C0EFDCA" w:rsidR="00B659E4" w:rsidRDefault="00B659E4" w:rsidP="00B659E4">
      <w:pPr>
        <w:widowControl/>
        <w:autoSpaceDE/>
        <w:autoSpaceDN/>
        <w:adjustRightInd/>
        <w:rPr>
          <w:rFonts w:asciiTheme="minorHAnsi" w:hAnsiTheme="minorHAnsi" w:cstheme="minorHAnsi"/>
        </w:rPr>
      </w:pPr>
      <w:r w:rsidRPr="005256D1">
        <w:rPr>
          <w:rFonts w:asciiTheme="minorHAnsi" w:hAnsiTheme="minorHAnsi" w:cstheme="minorHAnsi"/>
          <w:u w:val="single"/>
        </w:rPr>
        <w:t>Explanation</w:t>
      </w:r>
      <w:r w:rsidRPr="008D375D">
        <w:rPr>
          <w:rFonts w:asciiTheme="minorHAnsi" w:hAnsiTheme="minorHAnsi" w:cstheme="minorHAnsi"/>
        </w:rPr>
        <w:t>:</w:t>
      </w:r>
      <w:r w:rsidRPr="005256D1">
        <w:rPr>
          <w:rFonts w:asciiTheme="minorHAnsi" w:hAnsiTheme="minorHAnsi" w:cstheme="minorHAnsi"/>
        </w:rPr>
        <w:t xml:space="preserve"> Wyoming OSHA </w:t>
      </w:r>
      <w:r w:rsidRPr="007E22B4">
        <w:rPr>
          <w:rFonts w:asciiTheme="minorHAnsi" w:hAnsiTheme="minorHAnsi" w:cstheme="minorHAnsi"/>
        </w:rPr>
        <w:t>ac</w:t>
      </w:r>
      <w:r w:rsidRPr="003051BC">
        <w:rPr>
          <w:rFonts w:asciiTheme="minorHAnsi" w:hAnsiTheme="minorHAnsi" w:cstheme="minorHAnsi"/>
        </w:rPr>
        <w:t xml:space="preserve">hieved </w:t>
      </w:r>
      <w:r w:rsidR="007E22B4" w:rsidRPr="003051BC">
        <w:rPr>
          <w:rFonts w:asciiTheme="minorHAnsi" w:hAnsiTheme="minorHAnsi" w:cstheme="minorHAnsi"/>
        </w:rPr>
        <w:t>113</w:t>
      </w:r>
      <w:r w:rsidRPr="003051BC">
        <w:rPr>
          <w:rFonts w:asciiTheme="minorHAnsi" w:hAnsiTheme="minorHAnsi" w:cstheme="minorHAnsi"/>
        </w:rPr>
        <w:t>.</w:t>
      </w:r>
      <w:r w:rsidR="007E22B4" w:rsidRPr="003051BC">
        <w:rPr>
          <w:rFonts w:asciiTheme="minorHAnsi" w:hAnsiTheme="minorHAnsi" w:cstheme="minorHAnsi"/>
        </w:rPr>
        <w:t>3</w:t>
      </w:r>
      <w:r w:rsidRPr="003051BC">
        <w:rPr>
          <w:rFonts w:asciiTheme="minorHAnsi" w:hAnsiTheme="minorHAnsi" w:cstheme="minorHAnsi"/>
        </w:rPr>
        <w:t>3% (</w:t>
      </w:r>
      <w:r w:rsidR="00BE6D79" w:rsidRPr="003051BC">
        <w:rPr>
          <w:rFonts w:asciiTheme="minorHAnsi" w:hAnsiTheme="minorHAnsi" w:cstheme="minorHAnsi"/>
        </w:rPr>
        <w:t>17</w:t>
      </w:r>
      <w:r w:rsidRPr="003051BC">
        <w:rPr>
          <w:rFonts w:asciiTheme="minorHAnsi" w:hAnsiTheme="minorHAnsi" w:cstheme="minorHAnsi"/>
        </w:rPr>
        <w:t xml:space="preserve"> of </w:t>
      </w:r>
      <w:r w:rsidR="00BE6D79" w:rsidRPr="003051BC">
        <w:rPr>
          <w:rFonts w:asciiTheme="minorHAnsi" w:hAnsiTheme="minorHAnsi" w:cstheme="minorHAnsi"/>
        </w:rPr>
        <w:t>15</w:t>
      </w:r>
      <w:r w:rsidRPr="003051BC">
        <w:rPr>
          <w:rFonts w:asciiTheme="minorHAnsi" w:hAnsiTheme="minorHAnsi" w:cstheme="minorHAnsi"/>
        </w:rPr>
        <w:t xml:space="preserve">) of its </w:t>
      </w:r>
      <w:r w:rsidR="00BE6D79" w:rsidRPr="003051BC">
        <w:rPr>
          <w:rFonts w:asciiTheme="minorHAnsi" w:hAnsiTheme="minorHAnsi" w:cstheme="minorHAnsi"/>
        </w:rPr>
        <w:t>health</w:t>
      </w:r>
      <w:r w:rsidRPr="003051BC">
        <w:rPr>
          <w:rFonts w:asciiTheme="minorHAnsi" w:hAnsiTheme="minorHAnsi" w:cstheme="minorHAnsi"/>
        </w:rPr>
        <w:t xml:space="preserve"> inspection goal.  </w:t>
      </w:r>
      <w:r w:rsidR="0036563C" w:rsidRPr="003051BC">
        <w:rPr>
          <w:rFonts w:asciiTheme="minorHAnsi" w:hAnsiTheme="minorHAnsi" w:cstheme="minorHAnsi"/>
        </w:rPr>
        <w:t xml:space="preserve">Historically, </w:t>
      </w:r>
      <w:r w:rsidR="00BE276E">
        <w:rPr>
          <w:rFonts w:asciiTheme="minorHAnsi" w:hAnsiTheme="minorHAnsi" w:cstheme="minorHAnsi"/>
        </w:rPr>
        <w:t>the State Plan</w:t>
      </w:r>
      <w:r w:rsidR="0092594F">
        <w:rPr>
          <w:rFonts w:asciiTheme="minorHAnsi" w:hAnsiTheme="minorHAnsi" w:cstheme="minorHAnsi"/>
        </w:rPr>
        <w:t>’s</w:t>
      </w:r>
      <w:r w:rsidR="0036563C" w:rsidRPr="003051BC">
        <w:rPr>
          <w:rFonts w:asciiTheme="minorHAnsi" w:hAnsiTheme="minorHAnsi" w:cstheme="minorHAnsi"/>
        </w:rPr>
        <w:t xml:space="preserve"> health inspection</w:t>
      </w:r>
      <w:r w:rsidR="00260FFF">
        <w:rPr>
          <w:rFonts w:asciiTheme="minorHAnsi" w:hAnsiTheme="minorHAnsi" w:cstheme="minorHAnsi"/>
        </w:rPr>
        <w:t xml:space="preserve"> activity</w:t>
      </w:r>
      <w:r w:rsidR="0036563C" w:rsidRPr="003051BC">
        <w:rPr>
          <w:rFonts w:asciiTheme="minorHAnsi" w:hAnsiTheme="minorHAnsi" w:cstheme="minorHAnsi"/>
        </w:rPr>
        <w:t xml:space="preserve"> </w:t>
      </w:r>
      <w:r w:rsidR="008623C5">
        <w:rPr>
          <w:rFonts w:asciiTheme="minorHAnsi" w:hAnsiTheme="minorHAnsi" w:cstheme="minorHAnsi"/>
        </w:rPr>
        <w:t xml:space="preserve">has </w:t>
      </w:r>
      <w:r w:rsidR="00BE276E">
        <w:rPr>
          <w:rFonts w:asciiTheme="minorHAnsi" w:hAnsiTheme="minorHAnsi" w:cstheme="minorHAnsi"/>
        </w:rPr>
        <w:t>relied heavily on</w:t>
      </w:r>
      <w:r w:rsidR="0036563C" w:rsidRPr="003051BC">
        <w:rPr>
          <w:rFonts w:asciiTheme="minorHAnsi" w:hAnsiTheme="minorHAnsi" w:cstheme="minorHAnsi"/>
        </w:rPr>
        <w:t xml:space="preserve"> unprogrammed activity</w:t>
      </w:r>
      <w:r w:rsidR="007F7A28" w:rsidRPr="003051BC">
        <w:rPr>
          <w:rFonts w:asciiTheme="minorHAnsi" w:hAnsiTheme="minorHAnsi" w:cstheme="minorHAnsi"/>
        </w:rPr>
        <w:t>, such as complaints</w:t>
      </w:r>
      <w:r w:rsidR="0036563C" w:rsidRPr="003051BC">
        <w:rPr>
          <w:rFonts w:asciiTheme="minorHAnsi" w:hAnsiTheme="minorHAnsi" w:cstheme="minorHAnsi"/>
        </w:rPr>
        <w:t xml:space="preserve">.  </w:t>
      </w:r>
      <w:r w:rsidR="007F7A28" w:rsidRPr="003051BC">
        <w:rPr>
          <w:rFonts w:asciiTheme="minorHAnsi" w:hAnsiTheme="minorHAnsi" w:cstheme="minorHAnsi"/>
        </w:rPr>
        <w:t>During</w:t>
      </w:r>
      <w:r w:rsidR="0036563C" w:rsidRPr="003051BC">
        <w:rPr>
          <w:rFonts w:asciiTheme="minorHAnsi" w:hAnsiTheme="minorHAnsi" w:cstheme="minorHAnsi"/>
        </w:rPr>
        <w:t xml:space="preserve"> FY 2024, </w:t>
      </w:r>
      <w:r w:rsidR="007064A6" w:rsidRPr="003051BC">
        <w:rPr>
          <w:rFonts w:asciiTheme="minorHAnsi" w:hAnsiTheme="minorHAnsi" w:cstheme="minorHAnsi"/>
        </w:rPr>
        <w:t>Wyoming OSHA</w:t>
      </w:r>
      <w:r w:rsidR="00C04B51" w:rsidRPr="003051BC">
        <w:rPr>
          <w:rFonts w:asciiTheme="minorHAnsi" w:hAnsiTheme="minorHAnsi" w:cstheme="minorHAnsi"/>
        </w:rPr>
        <w:t>’s</w:t>
      </w:r>
      <w:r w:rsidR="007064A6" w:rsidRPr="003051BC">
        <w:rPr>
          <w:rFonts w:asciiTheme="minorHAnsi" w:hAnsiTheme="minorHAnsi" w:cstheme="minorHAnsi"/>
        </w:rPr>
        <w:t xml:space="preserve"> </w:t>
      </w:r>
      <w:r w:rsidR="00C04B51" w:rsidRPr="003051BC">
        <w:rPr>
          <w:rFonts w:asciiTheme="minorHAnsi" w:hAnsiTheme="minorHAnsi" w:cstheme="minorHAnsi"/>
        </w:rPr>
        <w:t>unprogrammed health inspection activity included</w:t>
      </w:r>
      <w:r w:rsidR="00F96CCC" w:rsidRPr="003051BC">
        <w:rPr>
          <w:rFonts w:asciiTheme="minorHAnsi" w:hAnsiTheme="minorHAnsi" w:cstheme="minorHAnsi"/>
        </w:rPr>
        <w:t xml:space="preserve"> 13 </w:t>
      </w:r>
      <w:r w:rsidR="005E0369" w:rsidRPr="003051BC">
        <w:rPr>
          <w:rFonts w:asciiTheme="minorHAnsi" w:hAnsiTheme="minorHAnsi" w:cstheme="minorHAnsi"/>
        </w:rPr>
        <w:t xml:space="preserve">complaints </w:t>
      </w:r>
      <w:r w:rsidR="00C002B6" w:rsidRPr="003051BC">
        <w:rPr>
          <w:rFonts w:asciiTheme="minorHAnsi" w:hAnsiTheme="minorHAnsi" w:cstheme="minorHAnsi"/>
        </w:rPr>
        <w:t xml:space="preserve">and one </w:t>
      </w:r>
      <w:r w:rsidR="005E0369" w:rsidRPr="003051BC">
        <w:rPr>
          <w:rFonts w:asciiTheme="minorHAnsi" w:hAnsiTheme="minorHAnsi" w:cstheme="minorHAnsi"/>
        </w:rPr>
        <w:t>fatality</w:t>
      </w:r>
      <w:r w:rsidRPr="003051BC">
        <w:rPr>
          <w:rFonts w:asciiTheme="minorHAnsi" w:hAnsiTheme="minorHAnsi" w:cstheme="minorHAnsi"/>
        </w:rPr>
        <w:t xml:space="preserve">. </w:t>
      </w:r>
      <w:r w:rsidR="00F67948">
        <w:rPr>
          <w:rFonts w:asciiTheme="minorHAnsi" w:hAnsiTheme="minorHAnsi" w:cstheme="minorHAnsi"/>
        </w:rPr>
        <w:t xml:space="preserve"> </w:t>
      </w:r>
      <w:r w:rsidR="00D106E9">
        <w:rPr>
          <w:rFonts w:asciiTheme="minorHAnsi" w:hAnsiTheme="minorHAnsi" w:cstheme="minorHAnsi"/>
        </w:rPr>
        <w:t>The State Plan</w:t>
      </w:r>
      <w:r w:rsidR="001B764D" w:rsidRPr="003051BC">
        <w:rPr>
          <w:rFonts w:asciiTheme="minorHAnsi" w:hAnsiTheme="minorHAnsi" w:cstheme="minorHAnsi"/>
        </w:rPr>
        <w:t xml:space="preserve"> supplemented its </w:t>
      </w:r>
      <w:r w:rsidR="00952308">
        <w:rPr>
          <w:rFonts w:asciiTheme="minorHAnsi" w:hAnsiTheme="minorHAnsi" w:cstheme="minorHAnsi"/>
        </w:rPr>
        <w:t xml:space="preserve">unprogrammed </w:t>
      </w:r>
      <w:r w:rsidR="001B764D" w:rsidRPr="003051BC">
        <w:rPr>
          <w:rFonts w:asciiTheme="minorHAnsi" w:hAnsiTheme="minorHAnsi" w:cstheme="minorHAnsi"/>
        </w:rPr>
        <w:t>health inspection numbers with three programmed inspections within its respirable crystalline silica emphasis program.  These programmed inspection</w:t>
      </w:r>
      <w:r w:rsidR="00270BFF" w:rsidRPr="003051BC">
        <w:rPr>
          <w:rFonts w:asciiTheme="minorHAnsi" w:hAnsiTheme="minorHAnsi" w:cstheme="minorHAnsi"/>
        </w:rPr>
        <w:t>s</w:t>
      </w:r>
      <w:r w:rsidR="001B764D" w:rsidRPr="003051BC">
        <w:rPr>
          <w:rFonts w:asciiTheme="minorHAnsi" w:hAnsiTheme="minorHAnsi" w:cstheme="minorHAnsi"/>
        </w:rPr>
        <w:t xml:space="preserve"> </w:t>
      </w:r>
      <w:r w:rsidR="003C546B">
        <w:rPr>
          <w:rFonts w:asciiTheme="minorHAnsi" w:hAnsiTheme="minorHAnsi" w:cstheme="minorHAnsi"/>
        </w:rPr>
        <w:t>helped</w:t>
      </w:r>
      <w:r w:rsidR="001B764D" w:rsidRPr="003051BC">
        <w:rPr>
          <w:rFonts w:asciiTheme="minorHAnsi" w:hAnsiTheme="minorHAnsi" w:cstheme="minorHAnsi"/>
        </w:rPr>
        <w:t xml:space="preserve"> the State Plan to exceed its health inspection goa</w:t>
      </w:r>
      <w:r w:rsidR="0036563C" w:rsidRPr="003051BC">
        <w:rPr>
          <w:rFonts w:asciiTheme="minorHAnsi" w:hAnsiTheme="minorHAnsi" w:cstheme="minorHAnsi"/>
        </w:rPr>
        <w:t>l.</w:t>
      </w:r>
      <w:r w:rsidR="006A4CF6" w:rsidRPr="003051BC">
        <w:rPr>
          <w:rFonts w:asciiTheme="minorHAnsi" w:hAnsiTheme="minorHAnsi" w:cstheme="minorHAnsi"/>
        </w:rPr>
        <w:t xml:space="preserve">  </w:t>
      </w:r>
      <w:r w:rsidR="009A2A31">
        <w:rPr>
          <w:rFonts w:asciiTheme="minorHAnsi" w:hAnsiTheme="minorHAnsi" w:cstheme="minorHAnsi"/>
        </w:rPr>
        <w:t xml:space="preserve">It should be noted that </w:t>
      </w:r>
      <w:r w:rsidR="00E00E26">
        <w:rPr>
          <w:rFonts w:asciiTheme="minorHAnsi" w:hAnsiTheme="minorHAnsi" w:cstheme="minorHAnsi"/>
        </w:rPr>
        <w:t>Wyoming OSHA</w:t>
      </w:r>
      <w:r w:rsidR="00CF13C4">
        <w:rPr>
          <w:rFonts w:asciiTheme="minorHAnsi" w:hAnsiTheme="minorHAnsi" w:cstheme="minorHAnsi"/>
        </w:rPr>
        <w:t xml:space="preserve"> </w:t>
      </w:r>
      <w:r w:rsidR="009A2A31">
        <w:rPr>
          <w:rFonts w:asciiTheme="minorHAnsi" w:hAnsiTheme="minorHAnsi" w:cstheme="minorHAnsi"/>
        </w:rPr>
        <w:t xml:space="preserve">was able to achieve these results with </w:t>
      </w:r>
      <w:r w:rsidR="004F37A2">
        <w:rPr>
          <w:rFonts w:asciiTheme="minorHAnsi" w:hAnsiTheme="minorHAnsi" w:cstheme="minorHAnsi"/>
        </w:rPr>
        <w:t>o</w:t>
      </w:r>
      <w:r w:rsidR="009F6217">
        <w:rPr>
          <w:rFonts w:asciiTheme="minorHAnsi" w:hAnsiTheme="minorHAnsi" w:cstheme="minorHAnsi"/>
        </w:rPr>
        <w:t>ne</w:t>
      </w:r>
      <w:r w:rsidR="00CB469D" w:rsidRPr="003051BC">
        <w:rPr>
          <w:rFonts w:asciiTheme="minorHAnsi" w:hAnsiTheme="minorHAnsi" w:cstheme="minorHAnsi"/>
        </w:rPr>
        <w:t xml:space="preserve"> of the two health compliance officer positions </w:t>
      </w:r>
      <w:r w:rsidR="009A2A31">
        <w:rPr>
          <w:rFonts w:asciiTheme="minorHAnsi" w:hAnsiTheme="minorHAnsi" w:cstheme="minorHAnsi"/>
        </w:rPr>
        <w:t xml:space="preserve">remaining </w:t>
      </w:r>
      <w:r w:rsidR="00CB469D" w:rsidRPr="003051BC">
        <w:rPr>
          <w:rFonts w:asciiTheme="minorHAnsi" w:hAnsiTheme="minorHAnsi" w:cstheme="minorHAnsi"/>
        </w:rPr>
        <w:t>vacant during FY 2024.</w:t>
      </w:r>
      <w:r w:rsidRPr="003051BC">
        <w:rPr>
          <w:rFonts w:asciiTheme="minorHAnsi" w:hAnsiTheme="minorHAnsi" w:cstheme="minorHAnsi"/>
        </w:rPr>
        <w:t xml:space="preserve">  </w:t>
      </w:r>
    </w:p>
    <w:p w14:paraId="7E62564A" w14:textId="77777777" w:rsidR="00CC294B" w:rsidRDefault="00CC294B" w:rsidP="00783189">
      <w:pPr>
        <w:widowControl/>
        <w:autoSpaceDE/>
        <w:adjustRightInd/>
        <w:rPr>
          <w:rFonts w:cs="Calibri"/>
          <w:b/>
        </w:rPr>
      </w:pPr>
    </w:p>
    <w:p w14:paraId="31E9ACDB" w14:textId="330FD709" w:rsidR="00EC7600" w:rsidRPr="00871F90" w:rsidRDefault="00EC7600" w:rsidP="00783189">
      <w:pPr>
        <w:widowControl/>
        <w:autoSpaceDE/>
        <w:adjustRightInd/>
        <w:rPr>
          <w:rFonts w:cs="Calibri"/>
          <w:b/>
        </w:rPr>
      </w:pPr>
      <w:r w:rsidRPr="00871F90">
        <w:rPr>
          <w:rFonts w:cs="Calibri"/>
          <w:b/>
        </w:rPr>
        <w:t>SAMM 9</w:t>
      </w:r>
      <w:r w:rsidR="00E32471">
        <w:rPr>
          <w:rFonts w:cs="Calibri"/>
          <w:b/>
        </w:rPr>
        <w:t>b</w:t>
      </w:r>
      <w:r w:rsidRPr="00871F90">
        <w:rPr>
          <w:rFonts w:cs="Calibri"/>
          <w:b/>
        </w:rPr>
        <w:t xml:space="preserve"> </w:t>
      </w:r>
      <w:r w:rsidR="00871F90" w:rsidRPr="00871F90">
        <w:rPr>
          <w:rFonts w:cs="Calibri"/>
          <w:b/>
        </w:rPr>
        <w:t>-</w:t>
      </w:r>
      <w:r w:rsidRPr="00871F90">
        <w:rPr>
          <w:rFonts w:cs="Calibri"/>
          <w:b/>
        </w:rPr>
        <w:t xml:space="preserve"> Percent </w:t>
      </w:r>
      <w:r w:rsidR="00B36698" w:rsidRPr="00871F90">
        <w:rPr>
          <w:rFonts w:cs="Calibri"/>
          <w:b/>
        </w:rPr>
        <w:t>in</w:t>
      </w:r>
      <w:r w:rsidR="00905716">
        <w:rPr>
          <w:rFonts w:cs="Calibri"/>
          <w:b/>
        </w:rPr>
        <w:t xml:space="preserve"> </w:t>
      </w:r>
      <w:r w:rsidR="00E7030A" w:rsidRPr="00871F90">
        <w:rPr>
          <w:rFonts w:cs="Calibri"/>
          <w:b/>
        </w:rPr>
        <w:t>C</w:t>
      </w:r>
      <w:r w:rsidRPr="00871F90">
        <w:rPr>
          <w:rFonts w:cs="Calibri"/>
          <w:b/>
        </w:rPr>
        <w:t>ompliance</w:t>
      </w:r>
    </w:p>
    <w:p w14:paraId="6C991B2F" w14:textId="77777777" w:rsidR="00EC7600" w:rsidRPr="001C1E47" w:rsidRDefault="00EC7600" w:rsidP="00783189">
      <w:pPr>
        <w:widowControl/>
        <w:autoSpaceDE/>
        <w:adjustRightInd/>
        <w:rPr>
          <w:rFonts w:cs="Calibri"/>
        </w:rPr>
      </w:pPr>
    </w:p>
    <w:p w14:paraId="48B4BACE" w14:textId="6FBDB7DA" w:rsidR="00EC7600" w:rsidRPr="007324F0" w:rsidRDefault="005D1F76" w:rsidP="00783189">
      <w:pPr>
        <w:widowControl/>
        <w:autoSpaceDE/>
        <w:adjustRightInd/>
        <w:rPr>
          <w:rFonts w:cs="Calibri"/>
          <w:color w:val="0070C0"/>
        </w:rPr>
      </w:pPr>
      <w:r w:rsidRPr="001C1E47">
        <w:rPr>
          <w:rFonts w:cs="Calibri"/>
          <w:u w:val="single"/>
        </w:rPr>
        <w:t xml:space="preserve">Discussion of </w:t>
      </w:r>
      <w:r w:rsidR="003F2E2D" w:rsidRPr="001C1E47">
        <w:rPr>
          <w:rFonts w:cs="Calibri"/>
          <w:u w:val="single"/>
        </w:rPr>
        <w:t>State</w:t>
      </w:r>
      <w:r w:rsidR="00391D6F" w:rsidRPr="001C1E47">
        <w:rPr>
          <w:rFonts w:cs="Calibri"/>
          <w:u w:val="single"/>
        </w:rPr>
        <w:t xml:space="preserve"> Plan </w:t>
      </w:r>
      <w:r w:rsidR="00476C08">
        <w:rPr>
          <w:rFonts w:cs="Calibri"/>
          <w:u w:val="single"/>
        </w:rPr>
        <w:t>D</w:t>
      </w:r>
      <w:r w:rsidR="00EC7600" w:rsidRPr="001C1E47">
        <w:rPr>
          <w:rFonts w:cs="Calibri"/>
          <w:u w:val="single"/>
        </w:rPr>
        <w:t>ata and FRL</w:t>
      </w:r>
      <w:r w:rsidRPr="008D375D">
        <w:rPr>
          <w:rFonts w:cs="Calibri"/>
        </w:rPr>
        <w:t>:</w:t>
      </w:r>
      <w:r w:rsidR="0069033C">
        <w:rPr>
          <w:rFonts w:cs="Calibri"/>
        </w:rPr>
        <w:t xml:space="preserve"> </w:t>
      </w:r>
      <w:r w:rsidR="00E9345A" w:rsidRPr="00FC3E1E">
        <w:rPr>
          <w:rFonts w:asciiTheme="minorHAnsi" w:hAnsiTheme="minorHAnsi" w:cstheme="minorHAnsi"/>
        </w:rPr>
        <w:t xml:space="preserve">The FRL for </w:t>
      </w:r>
      <w:r w:rsidR="00E9345A">
        <w:rPr>
          <w:rFonts w:asciiTheme="minorHAnsi" w:hAnsiTheme="minorHAnsi" w:cstheme="minorHAnsi"/>
        </w:rPr>
        <w:t xml:space="preserve">the </w:t>
      </w:r>
      <w:r w:rsidR="00E9345A" w:rsidRPr="00FC3E1E">
        <w:rPr>
          <w:rFonts w:asciiTheme="minorHAnsi" w:hAnsiTheme="minorHAnsi" w:cstheme="minorHAnsi"/>
        </w:rPr>
        <w:t>percent in</w:t>
      </w:r>
      <w:r w:rsidR="00E9345A">
        <w:rPr>
          <w:rFonts w:asciiTheme="minorHAnsi" w:hAnsiTheme="minorHAnsi" w:cstheme="minorHAnsi"/>
        </w:rPr>
        <w:t xml:space="preserve"> </w:t>
      </w:r>
      <w:r w:rsidR="00E9345A" w:rsidRPr="00FC3E1E">
        <w:rPr>
          <w:rFonts w:asciiTheme="minorHAnsi" w:hAnsiTheme="minorHAnsi" w:cstheme="minorHAnsi"/>
        </w:rPr>
        <w:t xml:space="preserve">compliance for health inspections was a range of </w:t>
      </w:r>
      <w:r w:rsidR="009168E1" w:rsidRPr="009168E1">
        <w:rPr>
          <w:rFonts w:asciiTheme="minorHAnsi" w:hAnsiTheme="minorHAnsi" w:cstheme="minorHAnsi"/>
        </w:rPr>
        <w:t>35.34% to 53.01%</w:t>
      </w:r>
      <w:r w:rsidR="009168E1">
        <w:rPr>
          <w:rFonts w:asciiTheme="minorHAnsi" w:hAnsiTheme="minorHAnsi" w:cstheme="minorHAnsi"/>
        </w:rPr>
        <w:t xml:space="preserve">. </w:t>
      </w:r>
      <w:r w:rsidR="009168E1" w:rsidRPr="009168E1">
        <w:rPr>
          <w:rFonts w:asciiTheme="minorHAnsi" w:hAnsiTheme="minorHAnsi" w:cstheme="minorHAnsi"/>
        </w:rPr>
        <w:t xml:space="preserve"> </w:t>
      </w:r>
      <w:r w:rsidR="007A4D01">
        <w:rPr>
          <w:rFonts w:asciiTheme="minorHAnsi" w:hAnsiTheme="minorHAnsi" w:cstheme="minorHAnsi"/>
        </w:rPr>
        <w:t>Wyoming OSHA</w:t>
      </w:r>
      <w:r w:rsidR="007A4D01" w:rsidRPr="00FC3E1E">
        <w:rPr>
          <w:rFonts w:asciiTheme="minorHAnsi" w:hAnsiTheme="minorHAnsi" w:cstheme="minorHAnsi"/>
        </w:rPr>
        <w:t xml:space="preserve">’s </w:t>
      </w:r>
      <w:r w:rsidR="007A4D01">
        <w:rPr>
          <w:rFonts w:asciiTheme="minorHAnsi" w:hAnsiTheme="minorHAnsi" w:cstheme="minorHAnsi"/>
        </w:rPr>
        <w:t>health</w:t>
      </w:r>
      <w:r w:rsidR="001E7035">
        <w:rPr>
          <w:rFonts w:asciiTheme="minorHAnsi" w:hAnsiTheme="minorHAnsi" w:cstheme="minorHAnsi"/>
        </w:rPr>
        <w:t xml:space="preserve"> inspection</w:t>
      </w:r>
      <w:r w:rsidR="007A4D01" w:rsidRPr="00FC3E1E">
        <w:rPr>
          <w:rFonts w:asciiTheme="minorHAnsi" w:hAnsiTheme="minorHAnsi" w:cstheme="minorHAnsi"/>
        </w:rPr>
        <w:t xml:space="preserve"> in-compliance </w:t>
      </w:r>
      <w:r w:rsidR="00CC2CF2">
        <w:rPr>
          <w:rFonts w:asciiTheme="minorHAnsi" w:hAnsiTheme="minorHAnsi" w:cstheme="minorHAnsi"/>
        </w:rPr>
        <w:t>percentage</w:t>
      </w:r>
      <w:r w:rsidR="007A4D01">
        <w:rPr>
          <w:rFonts w:asciiTheme="minorHAnsi" w:hAnsiTheme="minorHAnsi" w:cstheme="minorHAnsi"/>
        </w:rPr>
        <w:t xml:space="preserve"> </w:t>
      </w:r>
      <w:r w:rsidR="007A4D01" w:rsidRPr="00FC3E1E">
        <w:rPr>
          <w:rFonts w:asciiTheme="minorHAnsi" w:hAnsiTheme="minorHAnsi" w:cstheme="minorHAnsi"/>
        </w:rPr>
        <w:t>was</w:t>
      </w:r>
      <w:r w:rsidR="007A4D01">
        <w:rPr>
          <w:rFonts w:asciiTheme="minorHAnsi" w:hAnsiTheme="minorHAnsi" w:cstheme="minorHAnsi"/>
        </w:rPr>
        <w:t xml:space="preserve"> significantly above</w:t>
      </w:r>
      <w:r w:rsidR="007A4D01" w:rsidRPr="00FC3E1E">
        <w:rPr>
          <w:rFonts w:asciiTheme="minorHAnsi" w:hAnsiTheme="minorHAnsi" w:cstheme="minorHAnsi"/>
        </w:rPr>
        <w:t xml:space="preserve"> the FRL</w:t>
      </w:r>
      <w:r w:rsidR="007A4D01">
        <w:rPr>
          <w:rFonts w:asciiTheme="minorHAnsi" w:hAnsiTheme="minorHAnsi" w:cstheme="minorHAnsi"/>
        </w:rPr>
        <w:t xml:space="preserve"> at </w:t>
      </w:r>
      <w:r w:rsidR="009168E1">
        <w:rPr>
          <w:rFonts w:asciiTheme="minorHAnsi" w:hAnsiTheme="minorHAnsi" w:cstheme="minorHAnsi"/>
        </w:rPr>
        <w:t>81.25</w:t>
      </w:r>
      <w:r w:rsidR="007A4D01">
        <w:rPr>
          <w:rFonts w:asciiTheme="minorHAnsi" w:hAnsiTheme="minorHAnsi" w:cstheme="minorHAnsi"/>
        </w:rPr>
        <w:t>%</w:t>
      </w:r>
      <w:r w:rsidR="007A4D01" w:rsidRPr="00FC3E1E">
        <w:rPr>
          <w:rFonts w:asciiTheme="minorHAnsi" w:hAnsiTheme="minorHAnsi" w:cstheme="minorHAnsi"/>
        </w:rPr>
        <w:t>.</w:t>
      </w:r>
      <w:r w:rsidR="007A4D01">
        <w:rPr>
          <w:rFonts w:asciiTheme="minorHAnsi" w:hAnsiTheme="minorHAnsi" w:cstheme="minorHAnsi"/>
        </w:rPr>
        <w:t xml:space="preserve">  </w:t>
      </w:r>
    </w:p>
    <w:p w14:paraId="586F5DDB" w14:textId="77777777" w:rsidR="00EC7600" w:rsidRPr="001C1E47" w:rsidRDefault="00EC7600" w:rsidP="00783189">
      <w:pPr>
        <w:widowControl/>
        <w:autoSpaceDE/>
        <w:adjustRightInd/>
        <w:rPr>
          <w:rFonts w:cs="Calibri"/>
        </w:rPr>
      </w:pPr>
    </w:p>
    <w:p w14:paraId="43707F6A" w14:textId="67E4D9D0" w:rsidR="00F86D4B" w:rsidRPr="007324F0" w:rsidRDefault="00EC7600" w:rsidP="00783189">
      <w:pPr>
        <w:widowControl/>
        <w:autoSpaceDE/>
        <w:autoSpaceDN/>
        <w:adjustRightInd/>
        <w:rPr>
          <w:rFonts w:cs="Calibri"/>
          <w:i/>
          <w:color w:val="0070C0"/>
        </w:rPr>
      </w:pPr>
      <w:r w:rsidRPr="001C1E47">
        <w:rPr>
          <w:rFonts w:cs="Calibri"/>
          <w:u w:val="single"/>
        </w:rPr>
        <w:t>Explanation</w:t>
      </w:r>
      <w:r w:rsidR="005D1F76" w:rsidRPr="008D375D">
        <w:rPr>
          <w:rFonts w:cs="Calibri"/>
        </w:rPr>
        <w:t>:</w:t>
      </w:r>
      <w:r w:rsidR="00504B03">
        <w:rPr>
          <w:rFonts w:cs="Calibri"/>
        </w:rPr>
        <w:t xml:space="preserve"> </w:t>
      </w:r>
      <w:r w:rsidR="00504B03" w:rsidRPr="00E71E53">
        <w:rPr>
          <w:rFonts w:asciiTheme="minorHAnsi" w:hAnsiTheme="minorHAnsi" w:cstheme="minorHAnsi"/>
        </w:rPr>
        <w:t xml:space="preserve">This </w:t>
      </w:r>
      <w:r w:rsidR="006F558D">
        <w:rPr>
          <w:rFonts w:asciiTheme="minorHAnsi" w:hAnsiTheme="minorHAnsi" w:cstheme="minorHAnsi"/>
        </w:rPr>
        <w:t>was</w:t>
      </w:r>
      <w:r w:rsidR="00504B03" w:rsidRPr="00E71E53">
        <w:rPr>
          <w:rFonts w:asciiTheme="minorHAnsi" w:hAnsiTheme="minorHAnsi" w:cstheme="minorHAnsi"/>
        </w:rPr>
        <w:t xml:space="preserve"> previously discussed in </w:t>
      </w:r>
      <w:r w:rsidR="00200E48">
        <w:rPr>
          <w:rFonts w:asciiTheme="minorHAnsi" w:hAnsiTheme="minorHAnsi" w:cstheme="minorHAnsi"/>
        </w:rPr>
        <w:t>F</w:t>
      </w:r>
      <w:r w:rsidR="00504B03">
        <w:rPr>
          <w:rFonts w:asciiTheme="minorHAnsi" w:hAnsiTheme="minorHAnsi" w:cstheme="minorHAnsi"/>
        </w:rPr>
        <w:t>inding</w:t>
      </w:r>
      <w:r w:rsidR="00504B03" w:rsidRPr="00E71E53">
        <w:rPr>
          <w:rFonts w:asciiTheme="minorHAnsi" w:hAnsiTheme="minorHAnsi" w:cstheme="minorHAnsi"/>
        </w:rPr>
        <w:t xml:space="preserve"> FY 2024</w:t>
      </w:r>
      <w:r w:rsidR="00504B03">
        <w:rPr>
          <w:rFonts w:asciiTheme="minorHAnsi" w:hAnsiTheme="minorHAnsi" w:cstheme="minorHAnsi"/>
        </w:rPr>
        <w:t>-01</w:t>
      </w:r>
      <w:r w:rsidR="00504B03" w:rsidRPr="00E71E53">
        <w:rPr>
          <w:rFonts w:asciiTheme="minorHAnsi" w:hAnsiTheme="minorHAnsi" w:cstheme="minorHAnsi"/>
        </w:rPr>
        <w:t>.</w:t>
      </w:r>
    </w:p>
    <w:p w14:paraId="2F07E727" w14:textId="77777777" w:rsidR="00B01D5A" w:rsidRDefault="00B01D5A" w:rsidP="0076036E">
      <w:pPr>
        <w:widowControl/>
        <w:autoSpaceDE/>
        <w:adjustRightInd/>
        <w:rPr>
          <w:rFonts w:asciiTheme="minorHAnsi" w:hAnsiTheme="minorHAnsi" w:cstheme="minorHAnsi"/>
          <w:b/>
        </w:rPr>
      </w:pPr>
    </w:p>
    <w:p w14:paraId="3C9A48B6" w14:textId="14438EC5" w:rsidR="0076036E" w:rsidRPr="00AE3A5F" w:rsidRDefault="0076036E" w:rsidP="0076036E">
      <w:pPr>
        <w:widowControl/>
        <w:autoSpaceDE/>
        <w:adjustRightInd/>
        <w:rPr>
          <w:rFonts w:asciiTheme="minorHAnsi" w:hAnsiTheme="minorHAnsi" w:cstheme="minorHAnsi"/>
          <w:b/>
        </w:rPr>
      </w:pPr>
      <w:r w:rsidRPr="00AE3A5F">
        <w:rPr>
          <w:rFonts w:asciiTheme="minorHAnsi" w:hAnsiTheme="minorHAnsi" w:cstheme="minorHAnsi"/>
          <w:b/>
        </w:rPr>
        <w:t xml:space="preserve">SAMM 10 – </w:t>
      </w:r>
      <w:r w:rsidRPr="00AE3A5F">
        <w:rPr>
          <w:rFonts w:asciiTheme="minorHAnsi" w:hAnsiTheme="minorHAnsi" w:cstheme="minorHAnsi"/>
          <w:b/>
          <w:bCs/>
        </w:rPr>
        <w:t>Percent of Work-Related Fatalities Responded to in One Workday</w:t>
      </w:r>
    </w:p>
    <w:p w14:paraId="05E447BC" w14:textId="77777777" w:rsidR="0076036E" w:rsidRPr="00AE3A5F" w:rsidRDefault="0076036E" w:rsidP="0076036E">
      <w:pPr>
        <w:widowControl/>
        <w:autoSpaceDE/>
        <w:adjustRightInd/>
        <w:rPr>
          <w:rFonts w:asciiTheme="minorHAnsi" w:hAnsiTheme="minorHAnsi" w:cstheme="minorHAnsi"/>
          <w:b/>
          <w:color w:val="FF0000"/>
        </w:rPr>
      </w:pPr>
    </w:p>
    <w:p w14:paraId="21A0B411" w14:textId="125BEECE" w:rsidR="0076036E" w:rsidRPr="00C458F0" w:rsidRDefault="0076036E" w:rsidP="0076036E">
      <w:pPr>
        <w:widowControl/>
        <w:autoSpaceDE/>
        <w:adjustRightInd/>
        <w:rPr>
          <w:rFonts w:asciiTheme="minorHAnsi" w:hAnsiTheme="minorHAnsi" w:cstheme="minorHAnsi"/>
          <w:color w:val="FF0000"/>
        </w:rPr>
      </w:pPr>
      <w:r w:rsidRPr="00516EB0">
        <w:rPr>
          <w:rFonts w:asciiTheme="minorHAnsi" w:hAnsiTheme="minorHAnsi" w:cstheme="minorHAnsi"/>
          <w:u w:val="single"/>
        </w:rPr>
        <w:t>Discussion of State Plan Data and FRL</w:t>
      </w:r>
      <w:r w:rsidRPr="008D375D">
        <w:rPr>
          <w:rFonts w:asciiTheme="minorHAnsi" w:hAnsiTheme="minorHAnsi" w:cstheme="minorHAnsi"/>
        </w:rPr>
        <w:t>:</w:t>
      </w:r>
      <w:r w:rsidRPr="00AE3A5F">
        <w:rPr>
          <w:rFonts w:asciiTheme="minorHAnsi" w:hAnsiTheme="minorHAnsi" w:cstheme="minorHAnsi"/>
        </w:rPr>
        <w:t xml:space="preserve"> </w:t>
      </w:r>
      <w:r w:rsidRPr="00B1057E">
        <w:rPr>
          <w:rFonts w:asciiTheme="minorHAnsi" w:hAnsiTheme="minorHAnsi" w:cstheme="minorHAnsi"/>
        </w:rPr>
        <w:t xml:space="preserve">The FRL for the percent of work-related fatalities responded to in one workday was 100%.  The State Plan’s percent of work-related fatalities responded to in one workday was 75%, which was below the FRL. </w:t>
      </w:r>
    </w:p>
    <w:p w14:paraId="2D28AF91" w14:textId="77777777" w:rsidR="0076036E" w:rsidRPr="00C458F0" w:rsidRDefault="0076036E" w:rsidP="0076036E">
      <w:pPr>
        <w:widowControl/>
        <w:autoSpaceDE/>
        <w:adjustRightInd/>
        <w:rPr>
          <w:rFonts w:asciiTheme="minorHAnsi" w:hAnsiTheme="minorHAnsi" w:cstheme="minorHAnsi"/>
          <w:color w:val="FF0000"/>
        </w:rPr>
      </w:pPr>
    </w:p>
    <w:p w14:paraId="0E108A47" w14:textId="285B496C" w:rsidR="001B7D9B" w:rsidRPr="002D1D38" w:rsidRDefault="0076036E" w:rsidP="001B7D9B">
      <w:pPr>
        <w:widowControl/>
        <w:autoSpaceDE/>
        <w:autoSpaceDN/>
        <w:adjustRightInd/>
        <w:rPr>
          <w:rFonts w:asciiTheme="minorHAnsi" w:hAnsiTheme="minorHAnsi" w:cstheme="minorHAnsi"/>
        </w:rPr>
      </w:pPr>
      <w:r w:rsidRPr="00415CA9">
        <w:rPr>
          <w:rFonts w:asciiTheme="minorHAnsi" w:hAnsiTheme="minorHAnsi" w:cstheme="minorHAnsi"/>
          <w:u w:val="single"/>
        </w:rPr>
        <w:t>Explanation</w:t>
      </w:r>
      <w:r w:rsidRPr="008D375D">
        <w:rPr>
          <w:rFonts w:asciiTheme="minorHAnsi" w:hAnsiTheme="minorHAnsi" w:cstheme="minorHAnsi"/>
        </w:rPr>
        <w:t>:</w:t>
      </w:r>
      <w:r w:rsidRPr="00415CA9">
        <w:rPr>
          <w:rFonts w:asciiTheme="minorHAnsi" w:hAnsiTheme="minorHAnsi" w:cstheme="minorHAnsi"/>
        </w:rPr>
        <w:t xml:space="preserve"> </w:t>
      </w:r>
      <w:r w:rsidR="001B7D9B" w:rsidRPr="002D1D38">
        <w:rPr>
          <w:rFonts w:asciiTheme="minorHAnsi" w:hAnsiTheme="minorHAnsi" w:cstheme="minorHAnsi"/>
        </w:rPr>
        <w:t>Wyoming OSHA responded to six of eight (75%) work-related fatalities within one workday during FY 2024.  The remaining two work-related fatalities were responded to in seven and eight workdays</w:t>
      </w:r>
      <w:r w:rsidR="00AC5637">
        <w:rPr>
          <w:rFonts w:asciiTheme="minorHAnsi" w:hAnsiTheme="minorHAnsi" w:cstheme="minorHAnsi"/>
        </w:rPr>
        <w:t>,</w:t>
      </w:r>
      <w:r w:rsidR="009A2A31">
        <w:rPr>
          <w:rFonts w:asciiTheme="minorHAnsi" w:hAnsiTheme="minorHAnsi" w:cstheme="minorHAnsi"/>
        </w:rPr>
        <w:t xml:space="preserve"> respectively</w:t>
      </w:r>
      <w:r w:rsidR="001B7D9B" w:rsidRPr="002D1D38">
        <w:rPr>
          <w:rFonts w:asciiTheme="minorHAnsi" w:hAnsiTheme="minorHAnsi" w:cstheme="minorHAnsi"/>
        </w:rPr>
        <w:t xml:space="preserve">.  In the first fatality case, the </w:t>
      </w:r>
      <w:r w:rsidR="00D078B4">
        <w:rPr>
          <w:rFonts w:asciiTheme="minorHAnsi" w:hAnsiTheme="minorHAnsi" w:cstheme="minorHAnsi"/>
        </w:rPr>
        <w:t>worker</w:t>
      </w:r>
      <w:r w:rsidR="00D078B4" w:rsidRPr="002D1D38">
        <w:rPr>
          <w:rFonts w:asciiTheme="minorHAnsi" w:hAnsiTheme="minorHAnsi" w:cstheme="minorHAnsi"/>
        </w:rPr>
        <w:t xml:space="preserve"> </w:t>
      </w:r>
      <w:r w:rsidR="001B7D9B" w:rsidRPr="002D1D38">
        <w:rPr>
          <w:rFonts w:asciiTheme="minorHAnsi" w:hAnsiTheme="minorHAnsi" w:cstheme="minorHAnsi"/>
        </w:rPr>
        <w:t xml:space="preserve">was injured four months prior to his death.  Resource availability delayed the response following the coroner’s notification of the </w:t>
      </w:r>
      <w:r w:rsidR="00D078B4">
        <w:rPr>
          <w:rFonts w:asciiTheme="minorHAnsi" w:hAnsiTheme="minorHAnsi" w:cstheme="minorHAnsi"/>
        </w:rPr>
        <w:t>worker</w:t>
      </w:r>
      <w:r w:rsidR="00D078B4" w:rsidRPr="002D1D38">
        <w:rPr>
          <w:rFonts w:asciiTheme="minorHAnsi" w:hAnsiTheme="minorHAnsi" w:cstheme="minorHAnsi"/>
        </w:rPr>
        <w:t xml:space="preserve">’s </w:t>
      </w:r>
      <w:r w:rsidR="001B7D9B" w:rsidRPr="002D1D38">
        <w:rPr>
          <w:rFonts w:asciiTheme="minorHAnsi" w:hAnsiTheme="minorHAnsi" w:cstheme="minorHAnsi"/>
        </w:rPr>
        <w:t xml:space="preserve">death.  For the second fatality, Wyoming OSHA contacted the employer one day following notification of the fatality.  </w:t>
      </w:r>
      <w:r w:rsidR="00D33B3F">
        <w:rPr>
          <w:rFonts w:asciiTheme="minorHAnsi" w:hAnsiTheme="minorHAnsi" w:cstheme="minorHAnsi"/>
        </w:rPr>
        <w:t xml:space="preserve">Although </w:t>
      </w:r>
      <w:r w:rsidR="008C263A">
        <w:rPr>
          <w:rFonts w:asciiTheme="minorHAnsi" w:hAnsiTheme="minorHAnsi" w:cstheme="minorHAnsi"/>
        </w:rPr>
        <w:t>t</w:t>
      </w:r>
      <w:r w:rsidR="001B7D9B" w:rsidRPr="002D1D38">
        <w:rPr>
          <w:rFonts w:asciiTheme="minorHAnsi" w:hAnsiTheme="minorHAnsi" w:cstheme="minorHAnsi"/>
        </w:rPr>
        <w:t xml:space="preserve">he State Plan obtained information and arranged to meet the employer and his legal </w:t>
      </w:r>
      <w:r w:rsidR="00CC56C4" w:rsidRPr="002D1D38">
        <w:rPr>
          <w:rFonts w:asciiTheme="minorHAnsi" w:hAnsiTheme="minorHAnsi" w:cstheme="minorHAnsi"/>
        </w:rPr>
        <w:t>representative</w:t>
      </w:r>
      <w:r w:rsidR="001B7D9B" w:rsidRPr="002D1D38">
        <w:rPr>
          <w:rFonts w:asciiTheme="minorHAnsi" w:hAnsiTheme="minorHAnsi" w:cstheme="minorHAnsi"/>
        </w:rPr>
        <w:t xml:space="preserve"> at the remote worksite</w:t>
      </w:r>
      <w:r w:rsidR="008C263A">
        <w:rPr>
          <w:rFonts w:asciiTheme="minorHAnsi" w:hAnsiTheme="minorHAnsi" w:cstheme="minorHAnsi"/>
        </w:rPr>
        <w:t xml:space="preserve">, the employer and his legal </w:t>
      </w:r>
      <w:r w:rsidR="00CC56C4">
        <w:rPr>
          <w:rFonts w:asciiTheme="minorHAnsi" w:hAnsiTheme="minorHAnsi" w:cstheme="minorHAnsi"/>
        </w:rPr>
        <w:t>representative</w:t>
      </w:r>
      <w:r w:rsidR="008C263A">
        <w:rPr>
          <w:rFonts w:asciiTheme="minorHAnsi" w:hAnsiTheme="minorHAnsi" w:cstheme="minorHAnsi"/>
        </w:rPr>
        <w:t xml:space="preserve"> were not immediately availab</w:t>
      </w:r>
      <w:r w:rsidR="00BA2F90">
        <w:rPr>
          <w:rFonts w:asciiTheme="minorHAnsi" w:hAnsiTheme="minorHAnsi" w:cstheme="minorHAnsi"/>
        </w:rPr>
        <w:t>le, which caused the delay</w:t>
      </w:r>
      <w:r w:rsidR="001B7D9B" w:rsidRPr="002D1D38">
        <w:rPr>
          <w:rFonts w:asciiTheme="minorHAnsi" w:hAnsiTheme="minorHAnsi" w:cstheme="minorHAnsi"/>
        </w:rPr>
        <w:t xml:space="preserve">.    </w:t>
      </w:r>
    </w:p>
    <w:p w14:paraId="2B957B5E" w14:textId="77777777" w:rsidR="001B7D9B" w:rsidRPr="00C458F0" w:rsidRDefault="001B7D9B" w:rsidP="001B7D9B">
      <w:pPr>
        <w:widowControl/>
        <w:autoSpaceDE/>
        <w:autoSpaceDN/>
        <w:adjustRightInd/>
        <w:rPr>
          <w:rFonts w:asciiTheme="minorHAnsi" w:hAnsiTheme="minorHAnsi" w:cstheme="minorHAnsi"/>
          <w:color w:val="FF0000"/>
        </w:rPr>
      </w:pPr>
    </w:p>
    <w:p w14:paraId="4D96FDA7" w14:textId="048F47AE" w:rsidR="00415CA9" w:rsidRDefault="001B7D9B" w:rsidP="001B7D9B">
      <w:pPr>
        <w:widowControl/>
        <w:autoSpaceDE/>
        <w:autoSpaceDN/>
        <w:adjustRightInd/>
        <w:rPr>
          <w:rFonts w:asciiTheme="minorHAnsi" w:hAnsiTheme="minorHAnsi" w:cstheme="minorHAnsi"/>
        </w:rPr>
      </w:pPr>
      <w:r w:rsidRPr="002D1D38">
        <w:rPr>
          <w:rFonts w:asciiTheme="minorHAnsi" w:hAnsiTheme="minorHAnsi" w:cstheme="minorHAnsi"/>
        </w:rPr>
        <w:t xml:space="preserve">Wyoming OSHA has not </w:t>
      </w:r>
      <w:r>
        <w:rPr>
          <w:rFonts w:asciiTheme="minorHAnsi" w:hAnsiTheme="minorHAnsi" w:cstheme="minorHAnsi"/>
        </w:rPr>
        <w:t>met the FRL</w:t>
      </w:r>
      <w:r w:rsidR="00821D34">
        <w:rPr>
          <w:rFonts w:asciiTheme="minorHAnsi" w:hAnsiTheme="minorHAnsi" w:cstheme="minorHAnsi"/>
        </w:rPr>
        <w:t xml:space="preserve"> </w:t>
      </w:r>
      <w:r w:rsidR="00821D34" w:rsidRPr="00821D34">
        <w:rPr>
          <w:rFonts w:asciiTheme="minorHAnsi" w:hAnsiTheme="minorHAnsi" w:cstheme="minorHAnsi"/>
        </w:rPr>
        <w:t>for the percent of work-related fatalities responded to in one workday</w:t>
      </w:r>
      <w:r>
        <w:rPr>
          <w:rFonts w:asciiTheme="minorHAnsi" w:hAnsiTheme="minorHAnsi" w:cstheme="minorHAnsi"/>
        </w:rPr>
        <w:t xml:space="preserve"> </w:t>
      </w:r>
      <w:r w:rsidR="00E806C0">
        <w:rPr>
          <w:rFonts w:asciiTheme="minorHAnsi" w:hAnsiTheme="minorHAnsi" w:cstheme="minorHAnsi"/>
        </w:rPr>
        <w:t>since FY 2020</w:t>
      </w:r>
      <w:r>
        <w:rPr>
          <w:rFonts w:asciiTheme="minorHAnsi" w:hAnsiTheme="minorHAnsi" w:cstheme="minorHAnsi"/>
        </w:rPr>
        <w:t xml:space="preserve">. </w:t>
      </w:r>
      <w:r w:rsidRPr="002D1D38">
        <w:rPr>
          <w:rFonts w:asciiTheme="minorHAnsi" w:hAnsiTheme="minorHAnsi" w:cstheme="minorHAnsi"/>
        </w:rPr>
        <w:t xml:space="preserve"> The State Plan adopted the OSHA FOM, except for guidance for informal conferences, requests for public records, and minor administrative differences for handling complaints and referrals.  The FOM Chapter 2, Section IV.B, Table 2-1 notes that fatalities are prioritized over all other inspection </w:t>
      </w:r>
      <w:r w:rsidR="00092803" w:rsidRPr="002D1D38">
        <w:rPr>
          <w:rFonts w:asciiTheme="minorHAnsi" w:hAnsiTheme="minorHAnsi" w:cstheme="minorHAnsi"/>
        </w:rPr>
        <w:t>activities</w:t>
      </w:r>
      <w:r w:rsidRPr="002D1D38">
        <w:rPr>
          <w:rFonts w:asciiTheme="minorHAnsi" w:hAnsiTheme="minorHAnsi" w:cstheme="minorHAnsi"/>
        </w:rPr>
        <w:t xml:space="preserve"> other than imminent danger.  Wyoming OSHA noted that a lack of resource availability included instances where compliance </w:t>
      </w:r>
      <w:r w:rsidRPr="002D1D38">
        <w:rPr>
          <w:rFonts w:asciiTheme="minorHAnsi" w:hAnsiTheme="minorHAnsi" w:cstheme="minorHAnsi"/>
        </w:rPr>
        <w:lastRenderedPageBreak/>
        <w:t>officers were involved with other inspection activi</w:t>
      </w:r>
      <w:r w:rsidR="00B91507">
        <w:rPr>
          <w:rFonts w:asciiTheme="minorHAnsi" w:hAnsiTheme="minorHAnsi" w:cstheme="minorHAnsi"/>
        </w:rPr>
        <w:t>ties</w:t>
      </w:r>
      <w:r w:rsidRPr="002D1D38">
        <w:rPr>
          <w:rFonts w:asciiTheme="minorHAnsi" w:hAnsiTheme="minorHAnsi" w:cstheme="minorHAnsi"/>
        </w:rPr>
        <w:t xml:space="preserve">, such as complaint inspections.  This is contrary to the inspection priority set forth in the FOM.  </w:t>
      </w:r>
      <w:r w:rsidR="0036449F">
        <w:rPr>
          <w:rFonts w:asciiTheme="minorHAnsi" w:hAnsiTheme="minorHAnsi" w:cstheme="minorHAnsi"/>
        </w:rPr>
        <w:t xml:space="preserve">This concern </w:t>
      </w:r>
      <w:r w:rsidR="0094393C">
        <w:rPr>
          <w:rFonts w:asciiTheme="minorHAnsi" w:hAnsiTheme="minorHAnsi" w:cstheme="minorHAnsi"/>
        </w:rPr>
        <w:t>has been</w:t>
      </w:r>
      <w:r w:rsidR="0036449F">
        <w:rPr>
          <w:rFonts w:asciiTheme="minorHAnsi" w:hAnsiTheme="minorHAnsi" w:cstheme="minorHAnsi"/>
        </w:rPr>
        <w:t xml:space="preserve"> discussed with the State Plan</w:t>
      </w:r>
      <w:r w:rsidR="00490DEF">
        <w:rPr>
          <w:rFonts w:asciiTheme="minorHAnsi" w:hAnsiTheme="minorHAnsi" w:cstheme="minorHAnsi"/>
        </w:rPr>
        <w:t xml:space="preserve"> and will be monitored during FY 2025</w:t>
      </w:r>
      <w:r w:rsidRPr="002D1D38">
        <w:rPr>
          <w:rFonts w:asciiTheme="minorHAnsi" w:hAnsiTheme="minorHAnsi" w:cstheme="minorHAnsi"/>
        </w:rPr>
        <w:t>.</w:t>
      </w:r>
    </w:p>
    <w:p w14:paraId="12AB5B42" w14:textId="77777777" w:rsidR="006D594E" w:rsidRDefault="006D594E" w:rsidP="0076036E">
      <w:pPr>
        <w:widowControl/>
        <w:autoSpaceDE/>
        <w:autoSpaceDN/>
        <w:adjustRightInd/>
        <w:rPr>
          <w:rFonts w:asciiTheme="minorHAnsi" w:hAnsiTheme="minorHAnsi" w:cstheme="minorHAnsi"/>
          <w:color w:val="FF0000"/>
        </w:rPr>
      </w:pPr>
    </w:p>
    <w:p w14:paraId="545DD4A0" w14:textId="6F592C32" w:rsidR="00602D43" w:rsidRPr="00AE3A5F" w:rsidRDefault="00602D43" w:rsidP="00602D43">
      <w:pPr>
        <w:widowControl/>
        <w:autoSpaceDE/>
        <w:adjustRightInd/>
        <w:rPr>
          <w:rFonts w:asciiTheme="minorHAnsi" w:hAnsiTheme="minorHAnsi" w:cstheme="minorHAnsi"/>
          <w:b/>
        </w:rPr>
      </w:pPr>
      <w:r w:rsidRPr="00AE3A5F">
        <w:rPr>
          <w:rFonts w:asciiTheme="minorHAnsi" w:hAnsiTheme="minorHAnsi" w:cstheme="minorHAnsi"/>
          <w:b/>
        </w:rPr>
        <w:t>SAMM 1</w:t>
      </w:r>
      <w:r>
        <w:rPr>
          <w:rFonts w:asciiTheme="minorHAnsi" w:hAnsiTheme="minorHAnsi" w:cstheme="minorHAnsi"/>
          <w:b/>
        </w:rPr>
        <w:t>1a</w:t>
      </w:r>
      <w:r w:rsidRPr="00AE3A5F">
        <w:rPr>
          <w:rFonts w:asciiTheme="minorHAnsi" w:hAnsiTheme="minorHAnsi" w:cstheme="minorHAnsi"/>
          <w:b/>
        </w:rPr>
        <w:t xml:space="preserve"> – </w:t>
      </w:r>
      <w:r w:rsidRPr="00602D43">
        <w:rPr>
          <w:rFonts w:asciiTheme="minorHAnsi" w:hAnsiTheme="minorHAnsi" w:cstheme="minorHAnsi"/>
          <w:b/>
          <w:bCs/>
        </w:rPr>
        <w:t>Average lapse time (safety)</w:t>
      </w:r>
    </w:p>
    <w:p w14:paraId="2EB2D4AB" w14:textId="77777777" w:rsidR="00602D43" w:rsidRPr="00AE3A5F" w:rsidRDefault="00602D43" w:rsidP="00602D43">
      <w:pPr>
        <w:widowControl/>
        <w:autoSpaceDE/>
        <w:adjustRightInd/>
        <w:rPr>
          <w:rFonts w:asciiTheme="minorHAnsi" w:hAnsiTheme="minorHAnsi" w:cstheme="minorHAnsi"/>
          <w:b/>
          <w:color w:val="FF0000"/>
        </w:rPr>
      </w:pPr>
    </w:p>
    <w:p w14:paraId="1D957618" w14:textId="3456D009" w:rsidR="00602D43" w:rsidRPr="00AE3A5F" w:rsidRDefault="00602D43" w:rsidP="00602D43">
      <w:pPr>
        <w:widowControl/>
        <w:autoSpaceDE/>
        <w:adjustRightInd/>
        <w:rPr>
          <w:rFonts w:asciiTheme="minorHAnsi" w:hAnsiTheme="minorHAnsi" w:cstheme="minorHAnsi"/>
        </w:rPr>
      </w:pPr>
      <w:r w:rsidRPr="00516EB0">
        <w:rPr>
          <w:rFonts w:asciiTheme="minorHAnsi" w:hAnsiTheme="minorHAnsi" w:cstheme="minorHAnsi"/>
          <w:u w:val="single"/>
        </w:rPr>
        <w:t>Discussion of State Plan Data and FRL</w:t>
      </w:r>
      <w:r w:rsidRPr="008D375D">
        <w:rPr>
          <w:rFonts w:asciiTheme="minorHAnsi" w:hAnsiTheme="minorHAnsi" w:cstheme="minorHAnsi"/>
        </w:rPr>
        <w:t>:</w:t>
      </w:r>
      <w:r w:rsidRPr="00AE3A5F">
        <w:rPr>
          <w:rFonts w:asciiTheme="minorHAnsi" w:hAnsiTheme="minorHAnsi" w:cstheme="minorHAnsi"/>
        </w:rPr>
        <w:t xml:space="preserve"> </w:t>
      </w:r>
      <w:r w:rsidR="000149C1" w:rsidRPr="00530E84">
        <w:t xml:space="preserve">The FRL for the average lapse time for safety inspections was a range of </w:t>
      </w:r>
      <w:r w:rsidR="000149C1" w:rsidRPr="007264D2">
        <w:rPr>
          <w:rFonts w:cs="Calibri"/>
        </w:rPr>
        <w:t>44.82 to 67.23</w:t>
      </w:r>
      <w:r w:rsidR="000149C1">
        <w:rPr>
          <w:rFonts w:cs="Calibri"/>
        </w:rPr>
        <w:t xml:space="preserve"> </w:t>
      </w:r>
      <w:r w:rsidR="000149C1" w:rsidRPr="00530E84">
        <w:t xml:space="preserve">days.  The State Plan’s average lapse time for safety inspections was </w:t>
      </w:r>
      <w:r w:rsidR="000149C1">
        <w:rPr>
          <w:rFonts w:eastAsia="PMingLiU" w:cs="Calibri"/>
        </w:rPr>
        <w:t>76.68</w:t>
      </w:r>
      <w:r w:rsidR="000149C1" w:rsidRPr="00530E84">
        <w:rPr>
          <w:rFonts w:eastAsia="PMingLiU" w:cs="Calibri"/>
        </w:rPr>
        <w:t xml:space="preserve"> </w:t>
      </w:r>
      <w:r w:rsidR="000149C1" w:rsidRPr="00530E84">
        <w:t xml:space="preserve">days, which was </w:t>
      </w:r>
      <w:r w:rsidR="000149C1">
        <w:t>above</w:t>
      </w:r>
      <w:r w:rsidR="000149C1" w:rsidRPr="00530E84">
        <w:t xml:space="preserve"> the FRL</w:t>
      </w:r>
      <w:r w:rsidR="000149C1">
        <w:t>.</w:t>
      </w:r>
    </w:p>
    <w:p w14:paraId="09E0459F" w14:textId="77777777" w:rsidR="00602D43" w:rsidRPr="00AE3A5F" w:rsidRDefault="00602D43" w:rsidP="00602D43">
      <w:pPr>
        <w:widowControl/>
        <w:autoSpaceDE/>
        <w:adjustRightInd/>
        <w:rPr>
          <w:rFonts w:asciiTheme="minorHAnsi" w:hAnsiTheme="minorHAnsi" w:cstheme="minorHAnsi"/>
          <w:color w:val="FF0000"/>
        </w:rPr>
      </w:pPr>
    </w:p>
    <w:p w14:paraId="18DDC4FB" w14:textId="68438382" w:rsidR="00C60AD2" w:rsidRPr="00744C31" w:rsidRDefault="00602D43" w:rsidP="00744C31">
      <w:pPr>
        <w:widowControl/>
        <w:autoSpaceDE/>
        <w:autoSpaceDN/>
        <w:adjustRightInd/>
        <w:rPr>
          <w:rFonts w:asciiTheme="minorHAnsi" w:hAnsiTheme="minorHAnsi" w:cstheme="minorHAnsi"/>
          <w:color w:val="FF0000"/>
        </w:rPr>
      </w:pPr>
      <w:r w:rsidRPr="00516EB0">
        <w:rPr>
          <w:rFonts w:asciiTheme="minorHAnsi" w:hAnsiTheme="minorHAnsi" w:cstheme="minorHAnsi"/>
          <w:u w:val="single"/>
        </w:rPr>
        <w:t>Explanation</w:t>
      </w:r>
      <w:r w:rsidRPr="008D375D">
        <w:rPr>
          <w:rFonts w:asciiTheme="minorHAnsi" w:hAnsiTheme="minorHAnsi" w:cstheme="minorHAnsi"/>
        </w:rPr>
        <w:t>:</w:t>
      </w:r>
      <w:r w:rsidRPr="00AE3A5F">
        <w:rPr>
          <w:rFonts w:asciiTheme="minorHAnsi" w:hAnsiTheme="minorHAnsi" w:cstheme="minorHAnsi"/>
        </w:rPr>
        <w:t xml:space="preserve"> </w:t>
      </w:r>
      <w:r w:rsidR="00AC3E46">
        <w:rPr>
          <w:rFonts w:asciiTheme="minorHAnsi" w:hAnsiTheme="minorHAnsi" w:cstheme="minorHAnsi"/>
        </w:rPr>
        <w:t>For the State Plan, both health compliance officers and safety compliance officers perform</w:t>
      </w:r>
      <w:r w:rsidR="000E5791">
        <w:rPr>
          <w:rFonts w:asciiTheme="minorHAnsi" w:hAnsiTheme="minorHAnsi" w:cstheme="minorHAnsi"/>
        </w:rPr>
        <w:t>ed</w:t>
      </w:r>
      <w:r w:rsidR="00AC3E46">
        <w:rPr>
          <w:rFonts w:asciiTheme="minorHAnsi" w:hAnsiTheme="minorHAnsi" w:cstheme="minorHAnsi"/>
        </w:rPr>
        <w:t xml:space="preserve"> safety inspections.  During FY 2024</w:t>
      </w:r>
      <w:r w:rsidR="006B4D64">
        <w:rPr>
          <w:rFonts w:asciiTheme="minorHAnsi" w:hAnsiTheme="minorHAnsi" w:cstheme="minorHAnsi"/>
        </w:rPr>
        <w:t>, one health compliance officer position was vacant.  The State Plan</w:t>
      </w:r>
      <w:r w:rsidR="00805B41">
        <w:rPr>
          <w:rFonts w:asciiTheme="minorHAnsi" w:hAnsiTheme="minorHAnsi" w:cstheme="minorHAnsi"/>
        </w:rPr>
        <w:t xml:space="preserve"> was also challenged </w:t>
      </w:r>
      <w:r w:rsidR="00BD63D6">
        <w:rPr>
          <w:rFonts w:asciiTheme="minorHAnsi" w:hAnsiTheme="minorHAnsi" w:cstheme="minorHAnsi"/>
        </w:rPr>
        <w:t xml:space="preserve">by </w:t>
      </w:r>
      <w:r w:rsidR="009A2A31">
        <w:rPr>
          <w:rFonts w:asciiTheme="minorHAnsi" w:hAnsiTheme="minorHAnsi" w:cstheme="minorHAnsi"/>
        </w:rPr>
        <w:t xml:space="preserve">additional personnel </w:t>
      </w:r>
      <w:r w:rsidR="00805B41">
        <w:rPr>
          <w:rFonts w:asciiTheme="minorHAnsi" w:hAnsiTheme="minorHAnsi" w:cstheme="minorHAnsi"/>
        </w:rPr>
        <w:t>resource</w:t>
      </w:r>
      <w:r w:rsidR="009A2A31">
        <w:rPr>
          <w:rFonts w:asciiTheme="minorHAnsi" w:hAnsiTheme="minorHAnsi" w:cstheme="minorHAnsi"/>
        </w:rPr>
        <w:t xml:space="preserve"> limitations</w:t>
      </w:r>
      <w:r w:rsidR="00BD63D6">
        <w:rPr>
          <w:rFonts w:asciiTheme="minorHAnsi" w:hAnsiTheme="minorHAnsi" w:cstheme="minorHAnsi"/>
        </w:rPr>
        <w:t xml:space="preserve"> periodically during the fiscal year</w:t>
      </w:r>
      <w:r w:rsidR="00805B41">
        <w:rPr>
          <w:rFonts w:asciiTheme="minorHAnsi" w:hAnsiTheme="minorHAnsi" w:cstheme="minorHAnsi"/>
        </w:rPr>
        <w:t>.</w:t>
      </w:r>
      <w:r w:rsidR="00043ADB">
        <w:rPr>
          <w:rFonts w:asciiTheme="minorHAnsi" w:hAnsiTheme="minorHAnsi" w:cstheme="minorHAnsi"/>
        </w:rPr>
        <w:t xml:space="preserve">  These two factors affected the lapse time </w:t>
      </w:r>
      <w:r w:rsidR="004F53DB">
        <w:rPr>
          <w:rFonts w:asciiTheme="minorHAnsi" w:hAnsiTheme="minorHAnsi" w:cstheme="minorHAnsi"/>
        </w:rPr>
        <w:t>during quarters one through three</w:t>
      </w:r>
      <w:r w:rsidR="008469C1">
        <w:rPr>
          <w:rFonts w:asciiTheme="minorHAnsi" w:hAnsiTheme="minorHAnsi" w:cstheme="minorHAnsi"/>
        </w:rPr>
        <w:t xml:space="preserve">, </w:t>
      </w:r>
      <w:r w:rsidR="00E73954">
        <w:rPr>
          <w:rFonts w:asciiTheme="minorHAnsi" w:hAnsiTheme="minorHAnsi" w:cstheme="minorHAnsi"/>
        </w:rPr>
        <w:t>which</w:t>
      </w:r>
      <w:r w:rsidR="008469C1">
        <w:rPr>
          <w:rFonts w:asciiTheme="minorHAnsi" w:hAnsiTheme="minorHAnsi" w:cstheme="minorHAnsi"/>
        </w:rPr>
        <w:t xml:space="preserve"> drove the average for safety inspections.</w:t>
      </w:r>
      <w:r w:rsidR="00912CBF">
        <w:rPr>
          <w:rFonts w:asciiTheme="minorHAnsi" w:hAnsiTheme="minorHAnsi" w:cstheme="minorHAnsi"/>
        </w:rPr>
        <w:t xml:space="preserve">  The </w:t>
      </w:r>
      <w:r w:rsidR="00C906C9">
        <w:rPr>
          <w:rFonts w:asciiTheme="minorHAnsi" w:hAnsiTheme="minorHAnsi" w:cstheme="minorHAnsi"/>
        </w:rPr>
        <w:t>average lapse times during quarters one, two, and three were 94.27 days, 76.31 days, and 83.40 days</w:t>
      </w:r>
      <w:r w:rsidR="00384A7A">
        <w:rPr>
          <w:rFonts w:asciiTheme="minorHAnsi" w:hAnsiTheme="minorHAnsi" w:cstheme="minorHAnsi"/>
        </w:rPr>
        <w:t>,</w:t>
      </w:r>
      <w:r w:rsidR="00C906C9">
        <w:rPr>
          <w:rFonts w:asciiTheme="minorHAnsi" w:hAnsiTheme="minorHAnsi" w:cstheme="minorHAnsi"/>
        </w:rPr>
        <w:t xml:space="preserve"> respectively.  </w:t>
      </w:r>
      <w:r w:rsidR="00C45E0F">
        <w:rPr>
          <w:rFonts w:asciiTheme="minorHAnsi" w:hAnsiTheme="minorHAnsi" w:cstheme="minorHAnsi"/>
        </w:rPr>
        <w:t xml:space="preserve">However, </w:t>
      </w:r>
      <w:r w:rsidR="00631932">
        <w:rPr>
          <w:rFonts w:asciiTheme="minorHAnsi" w:hAnsiTheme="minorHAnsi" w:cstheme="minorHAnsi"/>
        </w:rPr>
        <w:t>d</w:t>
      </w:r>
      <w:r w:rsidR="0037391F">
        <w:rPr>
          <w:rFonts w:asciiTheme="minorHAnsi" w:hAnsiTheme="minorHAnsi" w:cstheme="minorHAnsi"/>
        </w:rPr>
        <w:t>uring</w:t>
      </w:r>
      <w:r w:rsidR="009F5C4F">
        <w:rPr>
          <w:rFonts w:asciiTheme="minorHAnsi" w:hAnsiTheme="minorHAnsi" w:cstheme="minorHAnsi"/>
        </w:rPr>
        <w:t xml:space="preserve"> quarter four, the average lapse time was </w:t>
      </w:r>
      <w:r w:rsidR="004F37A2">
        <w:rPr>
          <w:rFonts w:asciiTheme="minorHAnsi" w:hAnsiTheme="minorHAnsi" w:cstheme="minorHAnsi"/>
        </w:rPr>
        <w:t xml:space="preserve">within the FRL at </w:t>
      </w:r>
      <w:r w:rsidR="009F5C4F">
        <w:rPr>
          <w:rFonts w:asciiTheme="minorHAnsi" w:hAnsiTheme="minorHAnsi" w:cstheme="minorHAnsi"/>
        </w:rPr>
        <w:t>50.18 days</w:t>
      </w:r>
      <w:r w:rsidR="004A1A03">
        <w:rPr>
          <w:rFonts w:asciiTheme="minorHAnsi" w:hAnsiTheme="minorHAnsi" w:cstheme="minorHAnsi"/>
        </w:rPr>
        <w:t>.</w:t>
      </w:r>
      <w:r w:rsidR="00303B28">
        <w:rPr>
          <w:rFonts w:asciiTheme="minorHAnsi" w:hAnsiTheme="minorHAnsi" w:cstheme="minorHAnsi"/>
        </w:rPr>
        <w:t xml:space="preserve">  Additionally, </w:t>
      </w:r>
      <w:r w:rsidR="005E4696">
        <w:rPr>
          <w:rFonts w:asciiTheme="minorHAnsi" w:hAnsiTheme="minorHAnsi" w:cstheme="minorHAnsi"/>
        </w:rPr>
        <w:t>Wyoming OSHA</w:t>
      </w:r>
      <w:r w:rsidR="00303B28">
        <w:rPr>
          <w:rFonts w:asciiTheme="minorHAnsi" w:hAnsiTheme="minorHAnsi" w:cstheme="minorHAnsi"/>
        </w:rPr>
        <w:t xml:space="preserve"> met the FRL for </w:t>
      </w:r>
      <w:r w:rsidR="000561AB">
        <w:rPr>
          <w:rFonts w:asciiTheme="minorHAnsi" w:hAnsiTheme="minorHAnsi" w:cstheme="minorHAnsi"/>
        </w:rPr>
        <w:t xml:space="preserve">the </w:t>
      </w:r>
      <w:r w:rsidR="00303B28">
        <w:rPr>
          <w:rFonts w:asciiTheme="minorHAnsi" w:hAnsiTheme="minorHAnsi" w:cstheme="minorHAnsi"/>
        </w:rPr>
        <w:t>average lapse time for safety inspections</w:t>
      </w:r>
      <w:r w:rsidR="00631932">
        <w:rPr>
          <w:rFonts w:asciiTheme="minorHAnsi" w:hAnsiTheme="minorHAnsi" w:cstheme="minorHAnsi"/>
        </w:rPr>
        <w:t xml:space="preserve"> during the previous three fi</w:t>
      </w:r>
      <w:r w:rsidR="003C3A1C">
        <w:rPr>
          <w:rFonts w:asciiTheme="minorHAnsi" w:hAnsiTheme="minorHAnsi" w:cstheme="minorHAnsi"/>
        </w:rPr>
        <w:t>scal years</w:t>
      </w:r>
      <w:r w:rsidR="00303B28">
        <w:rPr>
          <w:rFonts w:asciiTheme="minorHAnsi" w:hAnsiTheme="minorHAnsi" w:cstheme="minorHAnsi"/>
        </w:rPr>
        <w:t>.</w:t>
      </w:r>
      <w:r w:rsidR="00303B28">
        <w:rPr>
          <w:rFonts w:asciiTheme="minorHAnsi" w:hAnsiTheme="minorHAnsi" w:cstheme="minorHAnsi"/>
          <w:color w:val="FF0000"/>
        </w:rPr>
        <w:t xml:space="preserve">  </w:t>
      </w:r>
      <w:r w:rsidR="003C3A1C">
        <w:rPr>
          <w:rFonts w:asciiTheme="minorHAnsi" w:hAnsiTheme="minorHAnsi" w:cstheme="minorHAnsi"/>
        </w:rPr>
        <w:t>Still</w:t>
      </w:r>
      <w:r w:rsidR="00353F63">
        <w:rPr>
          <w:rFonts w:asciiTheme="minorHAnsi" w:hAnsiTheme="minorHAnsi" w:cstheme="minorHAnsi"/>
        </w:rPr>
        <w:t>, t</w:t>
      </w:r>
      <w:r w:rsidR="00851380">
        <w:rPr>
          <w:rFonts w:asciiTheme="minorHAnsi" w:hAnsiTheme="minorHAnsi" w:cstheme="minorHAnsi"/>
        </w:rPr>
        <w:t>h</w:t>
      </w:r>
      <w:r w:rsidR="00303B28">
        <w:rPr>
          <w:rFonts w:asciiTheme="minorHAnsi" w:hAnsiTheme="minorHAnsi" w:cstheme="minorHAnsi"/>
        </w:rPr>
        <w:t>e average lapse time for FY 2024</w:t>
      </w:r>
      <w:r w:rsidR="00851380">
        <w:rPr>
          <w:rFonts w:asciiTheme="minorHAnsi" w:hAnsiTheme="minorHAnsi" w:cstheme="minorHAnsi"/>
        </w:rPr>
        <w:t xml:space="preserve"> is a concern and will be monitored </w:t>
      </w:r>
      <w:r w:rsidR="005F71A7">
        <w:rPr>
          <w:rFonts w:asciiTheme="minorHAnsi" w:hAnsiTheme="minorHAnsi" w:cstheme="minorHAnsi"/>
        </w:rPr>
        <w:t xml:space="preserve">during FY 2025.  </w:t>
      </w:r>
    </w:p>
    <w:p w14:paraId="3ECB2DB1" w14:textId="77777777" w:rsidR="0059612A" w:rsidRDefault="0059612A" w:rsidP="00C60AD2">
      <w:pPr>
        <w:keepNext/>
        <w:keepLines/>
        <w:spacing w:before="40"/>
        <w:outlineLvl w:val="3"/>
        <w:rPr>
          <w:rFonts w:eastAsiaTheme="majorEastAsia" w:cstheme="majorBidi"/>
          <w:b/>
          <w:iCs/>
        </w:rPr>
      </w:pPr>
    </w:p>
    <w:p w14:paraId="0EE499AD" w14:textId="7B3BC395" w:rsidR="00C60AD2" w:rsidRPr="00C60AD2" w:rsidRDefault="00C60AD2" w:rsidP="00C60AD2">
      <w:pPr>
        <w:keepNext/>
        <w:keepLines/>
        <w:spacing w:before="40"/>
        <w:outlineLvl w:val="3"/>
        <w:rPr>
          <w:rFonts w:eastAsiaTheme="majorEastAsia" w:cstheme="majorBidi"/>
          <w:b/>
          <w:iCs/>
        </w:rPr>
      </w:pPr>
      <w:r w:rsidRPr="00C60AD2">
        <w:rPr>
          <w:rFonts w:eastAsiaTheme="majorEastAsia" w:cstheme="majorBidi"/>
          <w:b/>
          <w:iCs/>
        </w:rPr>
        <w:t>SAMM 12 – Percent Penalty Retained</w:t>
      </w:r>
    </w:p>
    <w:p w14:paraId="72E84A00" w14:textId="77777777" w:rsidR="00C60AD2" w:rsidRPr="00C60AD2" w:rsidRDefault="00C60AD2" w:rsidP="00C60AD2">
      <w:pPr>
        <w:widowControl/>
        <w:autoSpaceDE/>
        <w:adjustRightInd/>
        <w:rPr>
          <w:rFonts w:asciiTheme="minorHAnsi" w:hAnsiTheme="minorHAnsi" w:cstheme="minorHAnsi"/>
          <w:b/>
          <w:color w:val="FF0000"/>
        </w:rPr>
      </w:pPr>
    </w:p>
    <w:p w14:paraId="546BDF21" w14:textId="60A60C8E" w:rsidR="00C60AD2" w:rsidRPr="00C60AD2" w:rsidRDefault="00C60AD2" w:rsidP="00C60AD2">
      <w:pPr>
        <w:widowControl/>
        <w:autoSpaceDE/>
        <w:adjustRightInd/>
        <w:rPr>
          <w:rFonts w:asciiTheme="minorHAnsi" w:hAnsiTheme="minorHAnsi" w:cstheme="minorHAnsi"/>
        </w:rPr>
      </w:pPr>
      <w:r w:rsidRPr="00C60AD2">
        <w:rPr>
          <w:rFonts w:asciiTheme="minorHAnsi" w:hAnsiTheme="minorHAnsi" w:cstheme="minorHAnsi"/>
          <w:u w:val="single"/>
        </w:rPr>
        <w:t>Discussion of State Plan Data and FRL</w:t>
      </w:r>
      <w:r w:rsidRPr="008D375D">
        <w:rPr>
          <w:rFonts w:asciiTheme="minorHAnsi" w:hAnsiTheme="minorHAnsi" w:cstheme="minorHAnsi"/>
        </w:rPr>
        <w:t>:</w:t>
      </w:r>
      <w:r w:rsidRPr="00C60AD2">
        <w:rPr>
          <w:rFonts w:asciiTheme="minorHAnsi" w:hAnsiTheme="minorHAnsi" w:cstheme="minorHAnsi"/>
        </w:rPr>
        <w:t xml:space="preserve"> The FRL for the percent penalty retained was a range of </w:t>
      </w:r>
      <w:r w:rsidR="007117C2" w:rsidRPr="007117C2">
        <w:rPr>
          <w:rFonts w:asciiTheme="minorHAnsi" w:hAnsiTheme="minorHAnsi" w:cstheme="minorHAnsi"/>
        </w:rPr>
        <w:t>60.19% to 81.44%.</w:t>
      </w:r>
      <w:r w:rsidRPr="007117C2">
        <w:rPr>
          <w:rFonts w:asciiTheme="minorHAnsi" w:hAnsiTheme="minorHAnsi" w:cstheme="minorHAnsi"/>
        </w:rPr>
        <w:t xml:space="preserve">  </w:t>
      </w:r>
      <w:r w:rsidRPr="00C60AD2">
        <w:rPr>
          <w:rFonts w:asciiTheme="minorHAnsi" w:hAnsiTheme="minorHAnsi" w:cstheme="minorHAnsi"/>
        </w:rPr>
        <w:t xml:space="preserve">The State Plan’s percent penalty retained </w:t>
      </w:r>
      <w:r w:rsidRPr="007117C2">
        <w:rPr>
          <w:rFonts w:asciiTheme="minorHAnsi" w:hAnsiTheme="minorHAnsi" w:cstheme="minorHAnsi"/>
        </w:rPr>
        <w:t xml:space="preserve">was </w:t>
      </w:r>
      <w:r w:rsidR="00D4527C" w:rsidRPr="007117C2">
        <w:rPr>
          <w:rFonts w:asciiTheme="minorHAnsi" w:hAnsiTheme="minorHAnsi" w:cstheme="minorHAnsi"/>
        </w:rPr>
        <w:t>90.15</w:t>
      </w:r>
      <w:r w:rsidRPr="007117C2">
        <w:rPr>
          <w:rFonts w:asciiTheme="minorHAnsi" w:hAnsiTheme="minorHAnsi" w:cstheme="minorHAnsi"/>
        </w:rPr>
        <w:t xml:space="preserve">%, </w:t>
      </w:r>
      <w:r w:rsidRPr="00C60AD2">
        <w:rPr>
          <w:rFonts w:asciiTheme="minorHAnsi" w:hAnsiTheme="minorHAnsi" w:cstheme="minorHAnsi"/>
        </w:rPr>
        <w:t xml:space="preserve">which was above the FRL.  </w:t>
      </w:r>
    </w:p>
    <w:p w14:paraId="495BDC04" w14:textId="77777777" w:rsidR="00C60AD2" w:rsidRPr="00C60AD2" w:rsidRDefault="00C60AD2" w:rsidP="00C60AD2">
      <w:pPr>
        <w:widowControl/>
        <w:autoSpaceDE/>
        <w:adjustRightInd/>
        <w:rPr>
          <w:rFonts w:asciiTheme="minorHAnsi" w:hAnsiTheme="minorHAnsi" w:cstheme="minorHAnsi"/>
          <w:color w:val="FF0000"/>
        </w:rPr>
      </w:pPr>
    </w:p>
    <w:p w14:paraId="641455ED" w14:textId="717FB756" w:rsidR="00C60AD2" w:rsidRDefault="00C60AD2" w:rsidP="00C60AD2">
      <w:pPr>
        <w:widowControl/>
        <w:autoSpaceDE/>
        <w:autoSpaceDN/>
        <w:adjustRightInd/>
        <w:rPr>
          <w:rFonts w:asciiTheme="minorHAnsi" w:hAnsiTheme="minorHAnsi" w:cstheme="minorHAnsi"/>
          <w:color w:val="FF0000"/>
        </w:rPr>
      </w:pPr>
      <w:r w:rsidRPr="00C60AD2">
        <w:rPr>
          <w:rFonts w:asciiTheme="minorHAnsi" w:hAnsiTheme="minorHAnsi" w:cstheme="minorHAnsi"/>
          <w:u w:val="single"/>
        </w:rPr>
        <w:t>Explanation</w:t>
      </w:r>
      <w:r w:rsidRPr="008D375D">
        <w:rPr>
          <w:rFonts w:asciiTheme="minorHAnsi" w:hAnsiTheme="minorHAnsi" w:cstheme="minorHAnsi"/>
        </w:rPr>
        <w:t>:</w:t>
      </w:r>
      <w:r w:rsidRPr="00C60AD2">
        <w:rPr>
          <w:rFonts w:asciiTheme="minorHAnsi" w:hAnsiTheme="minorHAnsi" w:cstheme="minorHAnsi"/>
        </w:rPr>
        <w:t xml:space="preserve"> Wyoming OSHA’s high penalty retention rate has consistently exceeded the FRL since FY 2020. </w:t>
      </w:r>
      <w:r w:rsidRPr="00DE5E40">
        <w:rPr>
          <w:rFonts w:asciiTheme="minorHAnsi" w:hAnsiTheme="minorHAnsi" w:cstheme="minorHAnsi"/>
        </w:rPr>
        <w:t xml:space="preserve"> In FY 202</w:t>
      </w:r>
      <w:r w:rsidR="00940F65" w:rsidRPr="00DE5E40">
        <w:rPr>
          <w:rFonts w:asciiTheme="minorHAnsi" w:hAnsiTheme="minorHAnsi" w:cstheme="minorHAnsi"/>
        </w:rPr>
        <w:t>4</w:t>
      </w:r>
      <w:r w:rsidRPr="00DE5E40">
        <w:rPr>
          <w:rFonts w:asciiTheme="minorHAnsi" w:hAnsiTheme="minorHAnsi" w:cstheme="minorHAnsi"/>
        </w:rPr>
        <w:t xml:space="preserve">, this was due to the State Plan’s effective informal conference process, where only </w:t>
      </w:r>
      <w:r w:rsidR="00AA2F4E" w:rsidRPr="00DE5E40">
        <w:rPr>
          <w:rFonts w:asciiTheme="minorHAnsi" w:hAnsiTheme="minorHAnsi" w:cstheme="minorHAnsi"/>
        </w:rPr>
        <w:t>0.93</w:t>
      </w:r>
      <w:r w:rsidRPr="00DE5E40">
        <w:rPr>
          <w:rFonts w:asciiTheme="minorHAnsi" w:hAnsiTheme="minorHAnsi" w:cstheme="minorHAnsi"/>
        </w:rPr>
        <w:t xml:space="preserve">% of violations were vacated pre-contest and only </w:t>
      </w:r>
      <w:r w:rsidR="00914D14" w:rsidRPr="00DE5E40">
        <w:rPr>
          <w:rFonts w:asciiTheme="minorHAnsi" w:hAnsiTheme="minorHAnsi" w:cstheme="minorHAnsi"/>
        </w:rPr>
        <w:t>12.15</w:t>
      </w:r>
      <w:r w:rsidRPr="00DE5E40">
        <w:rPr>
          <w:rFonts w:asciiTheme="minorHAnsi" w:hAnsiTheme="minorHAnsi" w:cstheme="minorHAnsi"/>
        </w:rPr>
        <w:t xml:space="preserve">% of violations were reclassified pre-contest.  </w:t>
      </w:r>
      <w:r w:rsidR="00DE607E" w:rsidRPr="00DE5E40">
        <w:rPr>
          <w:rFonts w:asciiTheme="minorHAnsi" w:hAnsiTheme="minorHAnsi" w:cstheme="minorHAnsi"/>
        </w:rPr>
        <w:t xml:space="preserve">While </w:t>
      </w:r>
      <w:r w:rsidR="00816A49" w:rsidRPr="00DE5E40">
        <w:rPr>
          <w:rFonts w:asciiTheme="minorHAnsi" w:hAnsiTheme="minorHAnsi" w:cstheme="minorHAnsi"/>
        </w:rPr>
        <w:t xml:space="preserve">one of 108 </w:t>
      </w:r>
      <w:r w:rsidR="00DD2E1A">
        <w:rPr>
          <w:rFonts w:asciiTheme="minorHAnsi" w:hAnsiTheme="minorHAnsi" w:cstheme="minorHAnsi"/>
        </w:rPr>
        <w:t xml:space="preserve">violations </w:t>
      </w:r>
      <w:r w:rsidR="00816A49" w:rsidRPr="00DE5E40">
        <w:rPr>
          <w:rFonts w:asciiTheme="minorHAnsi" w:hAnsiTheme="minorHAnsi" w:cstheme="minorHAnsi"/>
        </w:rPr>
        <w:t xml:space="preserve">was vacated and 13 of </w:t>
      </w:r>
      <w:r w:rsidR="00244D4B" w:rsidRPr="00DE5E40">
        <w:rPr>
          <w:rFonts w:asciiTheme="minorHAnsi" w:hAnsiTheme="minorHAnsi" w:cstheme="minorHAnsi"/>
        </w:rPr>
        <w:t>107 w</w:t>
      </w:r>
      <w:r w:rsidR="003C6100" w:rsidRPr="00DE5E40">
        <w:rPr>
          <w:rFonts w:asciiTheme="minorHAnsi" w:hAnsiTheme="minorHAnsi" w:cstheme="minorHAnsi"/>
        </w:rPr>
        <w:t>ere</w:t>
      </w:r>
      <w:r w:rsidR="00244D4B" w:rsidRPr="00DE5E40">
        <w:rPr>
          <w:rFonts w:asciiTheme="minorHAnsi" w:hAnsiTheme="minorHAnsi" w:cstheme="minorHAnsi"/>
        </w:rPr>
        <w:t xml:space="preserve"> reclassified, </w:t>
      </w:r>
      <w:r w:rsidR="003C6100" w:rsidRPr="00DE5E40">
        <w:rPr>
          <w:rFonts w:asciiTheme="minorHAnsi" w:hAnsiTheme="minorHAnsi" w:cstheme="minorHAnsi"/>
        </w:rPr>
        <w:t xml:space="preserve">settlements resulted in only a 9.85% reduction </w:t>
      </w:r>
      <w:r w:rsidR="00DE5E40" w:rsidRPr="00DE5E40">
        <w:rPr>
          <w:rFonts w:asciiTheme="minorHAnsi" w:hAnsiTheme="minorHAnsi" w:cstheme="minorHAnsi"/>
        </w:rPr>
        <w:t>of</w:t>
      </w:r>
      <w:r w:rsidR="003C6100" w:rsidRPr="00DE5E40">
        <w:rPr>
          <w:rFonts w:asciiTheme="minorHAnsi" w:hAnsiTheme="minorHAnsi" w:cstheme="minorHAnsi"/>
        </w:rPr>
        <w:t xml:space="preserve"> the penalties assessed.  </w:t>
      </w:r>
      <w:r w:rsidR="00453CC5">
        <w:rPr>
          <w:rFonts w:asciiTheme="minorHAnsi" w:hAnsiTheme="minorHAnsi" w:cstheme="minorHAnsi"/>
        </w:rPr>
        <w:t>Wyoming OSHA’s</w:t>
      </w:r>
      <w:r w:rsidRPr="00DE5E40">
        <w:rPr>
          <w:rFonts w:asciiTheme="minorHAnsi" w:hAnsiTheme="minorHAnsi" w:cstheme="minorHAnsi"/>
        </w:rPr>
        <w:t xml:space="preserve"> effective settlement process resulted in the State Plan’s very high retention of penalties</w:t>
      </w:r>
      <w:r w:rsidR="00360E7D">
        <w:rPr>
          <w:rFonts w:asciiTheme="minorHAnsi" w:hAnsiTheme="minorHAnsi" w:cstheme="minorHAnsi"/>
        </w:rPr>
        <w:t>, which is considered a positive</w:t>
      </w:r>
      <w:r w:rsidR="00984D66">
        <w:rPr>
          <w:rFonts w:asciiTheme="minorHAnsi" w:hAnsiTheme="minorHAnsi" w:cstheme="minorHAnsi"/>
        </w:rPr>
        <w:t xml:space="preserve"> outcome</w:t>
      </w:r>
      <w:r w:rsidR="00360E7D">
        <w:rPr>
          <w:rFonts w:asciiTheme="minorHAnsi" w:hAnsiTheme="minorHAnsi" w:cstheme="minorHAnsi"/>
        </w:rPr>
        <w:t>.</w:t>
      </w:r>
    </w:p>
    <w:p w14:paraId="113CDE4B" w14:textId="77777777" w:rsidR="00B66D12" w:rsidRDefault="00B66D12" w:rsidP="00C60AD2">
      <w:pPr>
        <w:widowControl/>
        <w:autoSpaceDE/>
        <w:autoSpaceDN/>
        <w:adjustRightInd/>
        <w:rPr>
          <w:rFonts w:asciiTheme="minorHAnsi" w:hAnsiTheme="minorHAnsi" w:cstheme="minorHAnsi"/>
          <w:color w:val="FF0000"/>
        </w:rPr>
      </w:pPr>
    </w:p>
    <w:p w14:paraId="0E405639" w14:textId="2FE151E9" w:rsidR="00B66D12" w:rsidRPr="00C60AD2" w:rsidRDefault="50457FAF" w:rsidP="3D2B25CB">
      <w:pPr>
        <w:keepNext/>
        <w:keepLines/>
        <w:spacing w:before="40"/>
        <w:outlineLvl w:val="3"/>
        <w:rPr>
          <w:rFonts w:eastAsiaTheme="majorEastAsia" w:cstheme="majorBidi"/>
          <w:b/>
          <w:bCs/>
        </w:rPr>
      </w:pPr>
      <w:r w:rsidRPr="3D2B25CB">
        <w:rPr>
          <w:rFonts w:eastAsiaTheme="majorEastAsia" w:cstheme="majorBidi"/>
          <w:b/>
          <w:bCs/>
        </w:rPr>
        <w:t xml:space="preserve">SAMM 17 – </w:t>
      </w:r>
      <w:r w:rsidRPr="3D2B25CB">
        <w:rPr>
          <w:rFonts w:asciiTheme="minorHAnsi" w:hAnsiTheme="minorHAnsi" w:cstheme="minorBidi"/>
          <w:b/>
          <w:bCs/>
        </w:rPr>
        <w:t>Percent of enforcement presence</w:t>
      </w:r>
    </w:p>
    <w:p w14:paraId="5538932F" w14:textId="77777777" w:rsidR="00B66D12" w:rsidRPr="00C60AD2" w:rsidRDefault="00B66D12" w:rsidP="00B66D12">
      <w:pPr>
        <w:widowControl/>
        <w:autoSpaceDE/>
        <w:adjustRightInd/>
        <w:rPr>
          <w:rFonts w:asciiTheme="minorHAnsi" w:hAnsiTheme="minorHAnsi" w:cstheme="minorHAnsi"/>
          <w:b/>
          <w:color w:val="FF0000"/>
        </w:rPr>
      </w:pPr>
    </w:p>
    <w:p w14:paraId="7673610A" w14:textId="1B14E4C2" w:rsidR="00B66D12" w:rsidRPr="00C60AD2" w:rsidRDefault="00B66D12" w:rsidP="00B66D12">
      <w:pPr>
        <w:widowControl/>
        <w:autoSpaceDE/>
        <w:adjustRightInd/>
        <w:rPr>
          <w:rFonts w:asciiTheme="minorHAnsi" w:hAnsiTheme="minorHAnsi" w:cstheme="minorHAnsi"/>
        </w:rPr>
      </w:pPr>
      <w:r w:rsidRPr="00C60AD2">
        <w:rPr>
          <w:rFonts w:asciiTheme="minorHAnsi" w:hAnsiTheme="minorHAnsi" w:cstheme="minorHAnsi"/>
          <w:u w:val="single"/>
        </w:rPr>
        <w:t>Discussion of State Plan Data and FRL</w:t>
      </w:r>
      <w:r w:rsidRPr="008D375D">
        <w:rPr>
          <w:rFonts w:asciiTheme="minorHAnsi" w:hAnsiTheme="minorHAnsi" w:cstheme="minorHAnsi"/>
        </w:rPr>
        <w:t>:</w:t>
      </w:r>
      <w:r w:rsidR="00D57CE8">
        <w:rPr>
          <w:rFonts w:asciiTheme="minorHAnsi" w:hAnsiTheme="minorHAnsi" w:cstheme="minorHAnsi"/>
        </w:rPr>
        <w:t xml:space="preserve"> </w:t>
      </w:r>
      <w:r w:rsidR="00D57CE8" w:rsidRPr="00AE3A5F">
        <w:rPr>
          <w:rFonts w:asciiTheme="minorHAnsi" w:hAnsiTheme="minorHAnsi" w:cstheme="minorHAnsi"/>
        </w:rPr>
        <w:t xml:space="preserve">The FRL for </w:t>
      </w:r>
      <w:r w:rsidR="00D57CE8">
        <w:rPr>
          <w:rFonts w:asciiTheme="minorHAnsi" w:hAnsiTheme="minorHAnsi" w:cstheme="minorHAnsi"/>
        </w:rPr>
        <w:t xml:space="preserve">the </w:t>
      </w:r>
      <w:r w:rsidR="00D57CE8" w:rsidRPr="00AE3A5F">
        <w:rPr>
          <w:rFonts w:asciiTheme="minorHAnsi" w:hAnsiTheme="minorHAnsi" w:cstheme="minorHAnsi"/>
        </w:rPr>
        <w:t xml:space="preserve">percent of enforcement presence was a range of </w:t>
      </w:r>
      <w:r w:rsidR="00D57CE8" w:rsidRPr="00D57CE8">
        <w:rPr>
          <w:rFonts w:asciiTheme="minorHAnsi" w:hAnsiTheme="minorHAnsi" w:cstheme="minorHAnsi"/>
        </w:rPr>
        <w:t>0.75% to 1.25%.</w:t>
      </w:r>
      <w:r w:rsidR="00D26269">
        <w:rPr>
          <w:rFonts w:asciiTheme="minorHAnsi" w:hAnsiTheme="minorHAnsi" w:cstheme="minorHAnsi"/>
        </w:rPr>
        <w:t xml:space="preserve">  </w:t>
      </w:r>
      <w:r w:rsidR="00D57CE8" w:rsidRPr="00AE3A5F">
        <w:rPr>
          <w:rFonts w:asciiTheme="minorHAnsi" w:hAnsiTheme="minorHAnsi" w:cstheme="minorHAnsi"/>
        </w:rPr>
        <w:t xml:space="preserve">The State Plan’s percent of enforcement presence was </w:t>
      </w:r>
      <w:r w:rsidR="00D57CE8">
        <w:rPr>
          <w:rFonts w:asciiTheme="minorHAnsi" w:hAnsiTheme="minorHAnsi" w:cstheme="minorHAnsi"/>
        </w:rPr>
        <w:t>0.46</w:t>
      </w:r>
      <w:r w:rsidR="00D57CE8" w:rsidRPr="00AE3A5F">
        <w:rPr>
          <w:rFonts w:asciiTheme="minorHAnsi" w:hAnsiTheme="minorHAnsi" w:cstheme="minorHAnsi"/>
        </w:rPr>
        <w:t>%</w:t>
      </w:r>
      <w:r w:rsidR="00D57CE8">
        <w:rPr>
          <w:rFonts w:asciiTheme="minorHAnsi" w:hAnsiTheme="minorHAnsi" w:cstheme="minorHAnsi"/>
        </w:rPr>
        <w:t>,</w:t>
      </w:r>
      <w:r w:rsidR="00D57CE8" w:rsidRPr="00AE3A5F">
        <w:rPr>
          <w:rFonts w:asciiTheme="minorHAnsi" w:hAnsiTheme="minorHAnsi" w:cstheme="minorHAnsi"/>
        </w:rPr>
        <w:t xml:space="preserve"> which was </w:t>
      </w:r>
      <w:r w:rsidR="00D57CE8">
        <w:rPr>
          <w:rFonts w:asciiTheme="minorHAnsi" w:hAnsiTheme="minorHAnsi" w:cstheme="minorHAnsi"/>
        </w:rPr>
        <w:t>below</w:t>
      </w:r>
      <w:r w:rsidR="00D57CE8" w:rsidRPr="00AE3A5F">
        <w:rPr>
          <w:rFonts w:asciiTheme="minorHAnsi" w:hAnsiTheme="minorHAnsi" w:cstheme="minorHAnsi"/>
        </w:rPr>
        <w:t xml:space="preserve"> the FRL</w:t>
      </w:r>
      <w:r w:rsidR="00D57CE8">
        <w:rPr>
          <w:rFonts w:asciiTheme="minorHAnsi" w:hAnsiTheme="minorHAnsi" w:cstheme="minorHAnsi"/>
        </w:rPr>
        <w:t>.</w:t>
      </w:r>
    </w:p>
    <w:p w14:paraId="435EBD36" w14:textId="77777777" w:rsidR="00B66D12" w:rsidRPr="00C60AD2" w:rsidRDefault="00B66D12" w:rsidP="00B66D12">
      <w:pPr>
        <w:widowControl/>
        <w:autoSpaceDE/>
        <w:adjustRightInd/>
        <w:rPr>
          <w:rFonts w:asciiTheme="minorHAnsi" w:hAnsiTheme="minorHAnsi" w:cstheme="minorHAnsi"/>
          <w:color w:val="FF0000"/>
        </w:rPr>
      </w:pPr>
    </w:p>
    <w:p w14:paraId="5A0BC6B1" w14:textId="120D381F" w:rsidR="004C4E27" w:rsidRDefault="00B66D12" w:rsidP="007A71AC">
      <w:pPr>
        <w:widowControl/>
        <w:autoSpaceDE/>
        <w:autoSpaceDN/>
        <w:adjustRightInd/>
        <w:rPr>
          <w:rFonts w:cs="Calibri"/>
        </w:rPr>
      </w:pPr>
      <w:r w:rsidRPr="00C60AD2">
        <w:rPr>
          <w:rFonts w:asciiTheme="minorHAnsi" w:hAnsiTheme="minorHAnsi" w:cstheme="minorHAnsi"/>
          <w:u w:val="single"/>
        </w:rPr>
        <w:t>Explanation</w:t>
      </w:r>
      <w:r w:rsidRPr="008D375D">
        <w:rPr>
          <w:rFonts w:asciiTheme="minorHAnsi" w:hAnsiTheme="minorHAnsi" w:cstheme="minorHAnsi"/>
        </w:rPr>
        <w:t>:</w:t>
      </w:r>
      <w:r w:rsidRPr="00C60AD2">
        <w:rPr>
          <w:rFonts w:asciiTheme="minorHAnsi" w:hAnsiTheme="minorHAnsi" w:cstheme="minorHAnsi"/>
        </w:rPr>
        <w:t xml:space="preserve"> </w:t>
      </w:r>
      <w:r w:rsidR="00453CC5">
        <w:rPr>
          <w:rFonts w:asciiTheme="minorHAnsi" w:hAnsiTheme="minorHAnsi" w:cstheme="minorHAnsi"/>
        </w:rPr>
        <w:t>Wyoming OSHA’s</w:t>
      </w:r>
      <w:r w:rsidR="00001CA7" w:rsidRPr="002B58AF">
        <w:rPr>
          <w:rFonts w:asciiTheme="minorHAnsi" w:hAnsiTheme="minorHAnsi" w:cstheme="minorHAnsi"/>
        </w:rPr>
        <w:t xml:space="preserve"> percent of enforcement presence </w:t>
      </w:r>
      <w:r w:rsidR="0096698C">
        <w:rPr>
          <w:rFonts w:asciiTheme="minorHAnsi" w:hAnsiTheme="minorHAnsi" w:cstheme="minorHAnsi"/>
        </w:rPr>
        <w:t>was low</w:t>
      </w:r>
      <w:r w:rsidR="00001CA7" w:rsidRPr="002B58AF">
        <w:rPr>
          <w:rFonts w:asciiTheme="minorHAnsi" w:hAnsiTheme="minorHAnsi" w:cstheme="minorHAnsi"/>
        </w:rPr>
        <w:t xml:space="preserve"> for FY 2024.  </w:t>
      </w:r>
      <w:r w:rsidR="009A31B4" w:rsidRPr="002B58AF">
        <w:rPr>
          <w:rFonts w:asciiTheme="minorHAnsi" w:hAnsiTheme="minorHAnsi" w:cstheme="minorHAnsi"/>
        </w:rPr>
        <w:t>SAMM 17 measure</w:t>
      </w:r>
      <w:r w:rsidR="000E6E2E" w:rsidRPr="002B58AF">
        <w:rPr>
          <w:rFonts w:asciiTheme="minorHAnsi" w:hAnsiTheme="minorHAnsi" w:cstheme="minorHAnsi"/>
        </w:rPr>
        <w:t>d</w:t>
      </w:r>
      <w:r w:rsidR="009A31B4" w:rsidRPr="002B58AF">
        <w:rPr>
          <w:rFonts w:asciiTheme="minorHAnsi" w:hAnsiTheme="minorHAnsi" w:cstheme="minorHAnsi"/>
        </w:rPr>
        <w:t xml:space="preserve"> enforcement presence </w:t>
      </w:r>
      <w:r w:rsidR="001B6695" w:rsidRPr="002B58AF">
        <w:rPr>
          <w:rFonts w:asciiTheme="minorHAnsi" w:hAnsiTheme="minorHAnsi" w:cstheme="minorHAnsi"/>
        </w:rPr>
        <w:t xml:space="preserve">by calculating the number of private sector inspections </w:t>
      </w:r>
      <w:r w:rsidR="000E6E2E" w:rsidRPr="002B58AF">
        <w:rPr>
          <w:rFonts w:asciiTheme="minorHAnsi" w:hAnsiTheme="minorHAnsi" w:cstheme="minorHAnsi"/>
        </w:rPr>
        <w:t xml:space="preserve">during the fiscal year </w:t>
      </w:r>
      <w:r w:rsidR="001B6695" w:rsidRPr="002B58AF">
        <w:rPr>
          <w:rFonts w:asciiTheme="minorHAnsi" w:hAnsiTheme="minorHAnsi" w:cstheme="minorHAnsi"/>
        </w:rPr>
        <w:t xml:space="preserve">in contrast to the number of private sector establishments in the state.  </w:t>
      </w:r>
      <w:r w:rsidR="000E6E2E" w:rsidRPr="002B58AF">
        <w:rPr>
          <w:rFonts w:asciiTheme="minorHAnsi" w:hAnsiTheme="minorHAnsi" w:cstheme="minorHAnsi"/>
        </w:rPr>
        <w:t xml:space="preserve">The </w:t>
      </w:r>
      <w:r w:rsidR="00641B18">
        <w:rPr>
          <w:rFonts w:asciiTheme="minorHAnsi" w:hAnsiTheme="minorHAnsi" w:cstheme="minorHAnsi"/>
        </w:rPr>
        <w:t xml:space="preserve">State </w:t>
      </w:r>
      <w:r w:rsidR="00641B18">
        <w:rPr>
          <w:rFonts w:asciiTheme="minorHAnsi" w:hAnsiTheme="minorHAnsi" w:cstheme="minorHAnsi"/>
        </w:rPr>
        <w:lastRenderedPageBreak/>
        <w:t xml:space="preserve">Plan’s result for </w:t>
      </w:r>
      <w:r w:rsidR="000E6E2E" w:rsidRPr="002B58AF">
        <w:rPr>
          <w:rFonts w:asciiTheme="minorHAnsi" w:hAnsiTheme="minorHAnsi" w:cstheme="minorHAnsi"/>
        </w:rPr>
        <w:t>SAMM 17 in FY 2024</w:t>
      </w:r>
      <w:r w:rsidR="000A11FF" w:rsidRPr="002B58AF">
        <w:rPr>
          <w:rFonts w:asciiTheme="minorHAnsi" w:hAnsiTheme="minorHAnsi" w:cstheme="minorHAnsi"/>
        </w:rPr>
        <w:t xml:space="preserve"> </w:t>
      </w:r>
      <w:r w:rsidR="000E6E2E" w:rsidRPr="002B58AF">
        <w:rPr>
          <w:rFonts w:asciiTheme="minorHAnsi" w:hAnsiTheme="minorHAnsi" w:cstheme="minorHAnsi"/>
        </w:rPr>
        <w:t>was</w:t>
      </w:r>
      <w:r w:rsidR="000A11FF" w:rsidRPr="002B58AF">
        <w:rPr>
          <w:rFonts w:asciiTheme="minorHAnsi" w:hAnsiTheme="minorHAnsi" w:cstheme="minorHAnsi"/>
        </w:rPr>
        <w:t xml:space="preserve"> </w:t>
      </w:r>
      <w:r w:rsidR="00F763CE">
        <w:rPr>
          <w:rFonts w:asciiTheme="minorHAnsi" w:hAnsiTheme="minorHAnsi" w:cstheme="minorHAnsi"/>
        </w:rPr>
        <w:t>driven by</w:t>
      </w:r>
      <w:r w:rsidR="000A11FF" w:rsidRPr="002B58AF">
        <w:rPr>
          <w:rFonts w:asciiTheme="minorHAnsi" w:hAnsiTheme="minorHAnsi" w:cstheme="minorHAnsi"/>
        </w:rPr>
        <w:t xml:space="preserve"> the reduced number of safety inspections performed</w:t>
      </w:r>
      <w:r w:rsidR="008144E0">
        <w:rPr>
          <w:rFonts w:asciiTheme="minorHAnsi" w:hAnsiTheme="minorHAnsi" w:cstheme="minorHAnsi"/>
        </w:rPr>
        <w:t xml:space="preserve"> in the private sector</w:t>
      </w:r>
      <w:r w:rsidR="000A11FF" w:rsidRPr="002B58AF">
        <w:rPr>
          <w:rFonts w:asciiTheme="minorHAnsi" w:hAnsiTheme="minorHAnsi" w:cstheme="minorHAnsi"/>
        </w:rPr>
        <w:t xml:space="preserve"> during </w:t>
      </w:r>
      <w:r w:rsidR="00DD1501">
        <w:rPr>
          <w:rFonts w:asciiTheme="minorHAnsi" w:hAnsiTheme="minorHAnsi" w:cstheme="minorHAnsi"/>
        </w:rPr>
        <w:t>the fiscal year</w:t>
      </w:r>
      <w:r w:rsidR="00EE3F0F">
        <w:rPr>
          <w:rFonts w:asciiTheme="minorHAnsi" w:hAnsiTheme="minorHAnsi" w:cstheme="minorHAnsi"/>
        </w:rPr>
        <w:t xml:space="preserve">.  </w:t>
      </w:r>
      <w:r w:rsidR="00E92997">
        <w:rPr>
          <w:rFonts w:asciiTheme="minorHAnsi" w:hAnsiTheme="minorHAnsi" w:cstheme="minorHAnsi"/>
        </w:rPr>
        <w:t>O</w:t>
      </w:r>
      <w:r w:rsidR="00EE3F0F">
        <w:rPr>
          <w:rFonts w:asciiTheme="minorHAnsi" w:hAnsiTheme="minorHAnsi" w:cstheme="minorHAnsi"/>
        </w:rPr>
        <w:t>nly</w:t>
      </w:r>
      <w:r w:rsidR="000A11FF" w:rsidRPr="002B58AF">
        <w:rPr>
          <w:rFonts w:asciiTheme="minorHAnsi" w:hAnsiTheme="minorHAnsi" w:cstheme="minorHAnsi"/>
        </w:rPr>
        <w:t xml:space="preserve"> </w:t>
      </w:r>
      <w:r w:rsidR="00D171BF">
        <w:rPr>
          <w:rFonts w:asciiTheme="minorHAnsi" w:hAnsiTheme="minorHAnsi" w:cstheme="minorHAnsi"/>
        </w:rPr>
        <w:t>70</w:t>
      </w:r>
      <w:r w:rsidR="00EE3F0F">
        <w:rPr>
          <w:rFonts w:asciiTheme="minorHAnsi" w:hAnsiTheme="minorHAnsi" w:cstheme="minorHAnsi"/>
        </w:rPr>
        <w:t xml:space="preserve"> safety inspections were </w:t>
      </w:r>
      <w:r w:rsidR="00DC32D9">
        <w:rPr>
          <w:rFonts w:asciiTheme="minorHAnsi" w:hAnsiTheme="minorHAnsi" w:cstheme="minorHAnsi"/>
        </w:rPr>
        <w:t xml:space="preserve">conducted </w:t>
      </w:r>
      <w:r w:rsidR="00F734F5">
        <w:rPr>
          <w:rFonts w:asciiTheme="minorHAnsi" w:hAnsiTheme="minorHAnsi" w:cstheme="minorHAnsi"/>
        </w:rPr>
        <w:t>at</w:t>
      </w:r>
      <w:r w:rsidR="00DC32D9">
        <w:rPr>
          <w:rFonts w:asciiTheme="minorHAnsi" w:hAnsiTheme="minorHAnsi" w:cstheme="minorHAnsi"/>
        </w:rPr>
        <w:t xml:space="preserve"> private employer worksites</w:t>
      </w:r>
      <w:r w:rsidR="000A11FF" w:rsidRPr="002B58AF">
        <w:rPr>
          <w:rFonts w:asciiTheme="minorHAnsi" w:hAnsiTheme="minorHAnsi" w:cstheme="minorHAnsi"/>
        </w:rPr>
        <w:t xml:space="preserve">, </w:t>
      </w:r>
      <w:r w:rsidR="00F22356">
        <w:rPr>
          <w:rFonts w:asciiTheme="minorHAnsi" w:hAnsiTheme="minorHAnsi" w:cstheme="minorHAnsi"/>
        </w:rPr>
        <w:t xml:space="preserve">significantly fewer </w:t>
      </w:r>
      <w:r w:rsidR="000A11FF" w:rsidRPr="002B58AF">
        <w:rPr>
          <w:rFonts w:asciiTheme="minorHAnsi" w:hAnsiTheme="minorHAnsi" w:cstheme="minorHAnsi"/>
        </w:rPr>
        <w:t xml:space="preserve">than </w:t>
      </w:r>
      <w:r w:rsidR="000111A5">
        <w:rPr>
          <w:rFonts w:asciiTheme="minorHAnsi" w:hAnsiTheme="minorHAnsi" w:cstheme="minorHAnsi"/>
        </w:rPr>
        <w:t>in FY 2023</w:t>
      </w:r>
      <w:r w:rsidR="00BF5902" w:rsidRPr="002B58AF">
        <w:rPr>
          <w:rFonts w:asciiTheme="minorHAnsi" w:hAnsiTheme="minorHAnsi" w:cstheme="minorHAnsi"/>
        </w:rPr>
        <w:t xml:space="preserve">, </w:t>
      </w:r>
      <w:r w:rsidR="00DC32D9">
        <w:rPr>
          <w:rFonts w:asciiTheme="minorHAnsi" w:hAnsiTheme="minorHAnsi" w:cstheme="minorHAnsi"/>
        </w:rPr>
        <w:t xml:space="preserve">which had </w:t>
      </w:r>
      <w:r w:rsidR="00F6151B" w:rsidRPr="002B58AF">
        <w:rPr>
          <w:rFonts w:asciiTheme="minorHAnsi" w:hAnsiTheme="minorHAnsi" w:cstheme="minorHAnsi"/>
        </w:rPr>
        <w:t>1</w:t>
      </w:r>
      <w:r w:rsidR="00E3669C">
        <w:rPr>
          <w:rFonts w:asciiTheme="minorHAnsi" w:hAnsiTheme="minorHAnsi" w:cstheme="minorHAnsi"/>
        </w:rPr>
        <w:t>3</w:t>
      </w:r>
      <w:r w:rsidR="00FB3232">
        <w:rPr>
          <w:rFonts w:asciiTheme="minorHAnsi" w:hAnsiTheme="minorHAnsi" w:cstheme="minorHAnsi"/>
        </w:rPr>
        <w:t>2</w:t>
      </w:r>
      <w:r w:rsidR="00FF3CA4">
        <w:rPr>
          <w:rFonts w:asciiTheme="minorHAnsi" w:hAnsiTheme="minorHAnsi" w:cstheme="minorHAnsi"/>
        </w:rPr>
        <w:t>.</w:t>
      </w:r>
      <w:r w:rsidR="0043394E">
        <w:rPr>
          <w:rFonts w:asciiTheme="minorHAnsi" w:hAnsiTheme="minorHAnsi" w:cstheme="minorHAnsi"/>
        </w:rPr>
        <w:t xml:space="preserve">  The reduction </w:t>
      </w:r>
      <w:r w:rsidR="007B748E">
        <w:rPr>
          <w:rFonts w:asciiTheme="minorHAnsi" w:hAnsiTheme="minorHAnsi" w:cstheme="minorHAnsi"/>
        </w:rPr>
        <w:t>in enforcement presence</w:t>
      </w:r>
      <w:r w:rsidR="0084708A">
        <w:rPr>
          <w:rFonts w:asciiTheme="minorHAnsi" w:hAnsiTheme="minorHAnsi" w:cstheme="minorHAnsi"/>
        </w:rPr>
        <w:t xml:space="preserve"> in private industry</w:t>
      </w:r>
      <w:r w:rsidR="007B748E">
        <w:rPr>
          <w:rFonts w:asciiTheme="minorHAnsi" w:hAnsiTheme="minorHAnsi" w:cstheme="minorHAnsi"/>
        </w:rPr>
        <w:t xml:space="preserve"> is a </w:t>
      </w:r>
      <w:r w:rsidR="00504A59">
        <w:rPr>
          <w:rFonts w:asciiTheme="minorHAnsi" w:hAnsiTheme="minorHAnsi" w:cstheme="minorHAnsi"/>
        </w:rPr>
        <w:t>concern but</w:t>
      </w:r>
      <w:r w:rsidR="00EF51D7">
        <w:rPr>
          <w:rFonts w:asciiTheme="minorHAnsi" w:hAnsiTheme="minorHAnsi" w:cstheme="minorHAnsi"/>
        </w:rPr>
        <w:t xml:space="preserve"> </w:t>
      </w:r>
      <w:r w:rsidR="007B748E">
        <w:rPr>
          <w:rFonts w:asciiTheme="minorHAnsi" w:hAnsiTheme="minorHAnsi" w:cstheme="minorHAnsi"/>
        </w:rPr>
        <w:t>is not addressed as an observation</w:t>
      </w:r>
      <w:r w:rsidR="001621B6">
        <w:rPr>
          <w:rFonts w:asciiTheme="minorHAnsi" w:hAnsiTheme="minorHAnsi" w:cstheme="minorHAnsi"/>
        </w:rPr>
        <w:t xml:space="preserve"> </w:t>
      </w:r>
      <w:proofErr w:type="gramStart"/>
      <w:r w:rsidR="00EF51D7">
        <w:rPr>
          <w:rFonts w:asciiTheme="minorHAnsi" w:hAnsiTheme="minorHAnsi" w:cstheme="minorHAnsi"/>
        </w:rPr>
        <w:t>at this time</w:t>
      </w:r>
      <w:proofErr w:type="gramEnd"/>
      <w:r w:rsidR="001621B6">
        <w:rPr>
          <w:rFonts w:asciiTheme="minorHAnsi" w:hAnsiTheme="minorHAnsi" w:cstheme="minorHAnsi"/>
        </w:rPr>
        <w:t>.</w:t>
      </w:r>
    </w:p>
    <w:p w14:paraId="4DD4CBB7" w14:textId="77777777" w:rsidR="004C4E27" w:rsidRPr="001C1E47" w:rsidRDefault="004C4E27" w:rsidP="007A71AC">
      <w:pPr>
        <w:widowControl/>
        <w:autoSpaceDE/>
        <w:autoSpaceDN/>
        <w:adjustRightInd/>
        <w:rPr>
          <w:rFonts w:cs="Calibri"/>
        </w:rPr>
        <w:sectPr w:rsidR="004C4E27" w:rsidRPr="001C1E47" w:rsidSect="00783189">
          <w:footerReference w:type="default" r:id="rId10"/>
          <w:footerReference w:type="first" r:id="rId11"/>
          <w:pgSz w:w="12240" w:h="15840"/>
          <w:pgMar w:top="1440" w:right="1260" w:bottom="1260" w:left="1440" w:header="720" w:footer="526" w:gutter="0"/>
          <w:pgNumType w:start="1"/>
          <w:cols w:space="720"/>
          <w:titlePg/>
          <w:docGrid w:linePitch="360"/>
        </w:sectPr>
      </w:pPr>
    </w:p>
    <w:p w14:paraId="516D3ECD" w14:textId="77777777" w:rsidR="00B6741C" w:rsidRPr="0002572C" w:rsidRDefault="00B6741C" w:rsidP="006A2768">
      <w:pPr>
        <w:pStyle w:val="Heading3"/>
        <w:numPr>
          <w:ilvl w:val="0"/>
          <w:numId w:val="0"/>
        </w:numPr>
      </w:pPr>
      <w:bookmarkStart w:id="30" w:name="_Toc118905017"/>
      <w:bookmarkStart w:id="31" w:name="_Toc119418669"/>
      <w:r w:rsidRPr="0002572C">
        <w:lastRenderedPageBreak/>
        <w:t>Appendix A – New and Continued Findings and Recommendations</w:t>
      </w:r>
      <w:bookmarkEnd w:id="30"/>
      <w:bookmarkEnd w:id="31"/>
    </w:p>
    <w:p w14:paraId="670F195C" w14:textId="4B00169C" w:rsidR="00B6741C" w:rsidRDefault="00B6741C" w:rsidP="00B6741C">
      <w:r>
        <w:t xml:space="preserve">FY </w:t>
      </w:r>
      <w:r w:rsidRPr="00A8715B">
        <w:t>20</w:t>
      </w:r>
      <w:r w:rsidR="007D197A" w:rsidRPr="00A8715B">
        <w:t>24</w:t>
      </w:r>
      <w:r w:rsidRPr="00A8715B">
        <w:t xml:space="preserve"> </w:t>
      </w:r>
      <w:r w:rsidR="00A8715B" w:rsidRPr="00A8715B">
        <w:t>Wyoming OSHA</w:t>
      </w:r>
      <w:r w:rsidRPr="00A8715B">
        <w:t xml:space="preserve"> </w:t>
      </w:r>
      <w:r>
        <w:t>Follow-up FAME Report</w:t>
      </w:r>
    </w:p>
    <w:p w14:paraId="77980CE2" w14:textId="77777777" w:rsidR="000A134A" w:rsidRPr="001C1E47" w:rsidRDefault="000A134A" w:rsidP="007A71AC">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440"/>
        <w:gridCol w:w="4721"/>
        <w:gridCol w:w="4819"/>
        <w:gridCol w:w="1890"/>
      </w:tblGrid>
      <w:tr w:rsidR="00185C7D" w:rsidRPr="001C1E47" w14:paraId="0F6BB42C" w14:textId="77777777" w:rsidTr="00185C7D">
        <w:trPr>
          <w:trHeight w:val="350"/>
        </w:trPr>
        <w:tc>
          <w:tcPr>
            <w:tcW w:w="1440" w:type="dxa"/>
          </w:tcPr>
          <w:p w14:paraId="1F333F67" w14:textId="19BC54B9" w:rsidR="000A134A" w:rsidRPr="001C1E47" w:rsidRDefault="000A134A"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A8715B">
              <w:rPr>
                <w:rFonts w:cs="Calibri"/>
                <w:b/>
              </w:rPr>
              <w:t>24</w:t>
            </w:r>
            <w:r w:rsidRPr="001C1E47">
              <w:rPr>
                <w:rFonts w:cs="Calibri"/>
                <w:b/>
              </w:rPr>
              <w:t>-</w:t>
            </w:r>
            <w:r w:rsidR="00BB0343" w:rsidRPr="001C1E47">
              <w:rPr>
                <w:rFonts w:cs="Calibri"/>
                <w:b/>
              </w:rPr>
              <w:t>#</w:t>
            </w:r>
          </w:p>
        </w:tc>
        <w:tc>
          <w:tcPr>
            <w:tcW w:w="4721" w:type="dxa"/>
          </w:tcPr>
          <w:p w14:paraId="0C140B4B" w14:textId="77777777" w:rsidR="000A134A" w:rsidRPr="001C1E47" w:rsidRDefault="000A134A" w:rsidP="007A71AC">
            <w:pPr>
              <w:widowControl/>
              <w:autoSpaceDE/>
              <w:autoSpaceDN/>
              <w:adjustRightInd/>
              <w:jc w:val="center"/>
              <w:rPr>
                <w:rFonts w:cs="Calibri"/>
                <w:b/>
              </w:rPr>
            </w:pPr>
            <w:r w:rsidRPr="001C1E47">
              <w:rPr>
                <w:rFonts w:cs="Calibri"/>
                <w:b/>
              </w:rPr>
              <w:t>Finding</w:t>
            </w:r>
          </w:p>
        </w:tc>
        <w:tc>
          <w:tcPr>
            <w:tcW w:w="4819" w:type="dxa"/>
          </w:tcPr>
          <w:p w14:paraId="7801EA8C" w14:textId="77777777" w:rsidR="000A134A" w:rsidRPr="001C1E47" w:rsidRDefault="000A134A" w:rsidP="007A71AC">
            <w:pPr>
              <w:widowControl/>
              <w:autoSpaceDE/>
              <w:autoSpaceDN/>
              <w:adjustRightInd/>
              <w:jc w:val="center"/>
              <w:rPr>
                <w:rFonts w:cs="Calibri"/>
                <w:b/>
              </w:rPr>
            </w:pPr>
            <w:r w:rsidRPr="001C1E47">
              <w:rPr>
                <w:rFonts w:cs="Calibri"/>
                <w:b/>
              </w:rPr>
              <w:t>Recommendation</w:t>
            </w:r>
          </w:p>
        </w:tc>
        <w:tc>
          <w:tcPr>
            <w:tcW w:w="1890" w:type="dxa"/>
          </w:tcPr>
          <w:p w14:paraId="7C9006CD" w14:textId="34E44E29" w:rsidR="00BB0343" w:rsidRPr="001C1E47" w:rsidRDefault="00BB0343"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A8715B">
              <w:rPr>
                <w:rFonts w:cs="Calibri"/>
                <w:b/>
              </w:rPr>
              <w:t>23</w:t>
            </w:r>
            <w:r w:rsidRPr="001C1E47">
              <w:rPr>
                <w:rFonts w:cs="Calibri"/>
                <w:b/>
              </w:rPr>
              <w:t xml:space="preserve">-# or </w:t>
            </w:r>
          </w:p>
          <w:p w14:paraId="3C61CFBF" w14:textId="4E401BD0" w:rsidR="000A134A" w:rsidRPr="001C1E47" w:rsidRDefault="00BB0343"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A8715B">
              <w:rPr>
                <w:rFonts w:cs="Calibri"/>
                <w:b/>
              </w:rPr>
              <w:t>23</w:t>
            </w:r>
            <w:r w:rsidRPr="001C1E47">
              <w:rPr>
                <w:rFonts w:cs="Calibri"/>
                <w:b/>
              </w:rPr>
              <w:t>-OB-#</w:t>
            </w:r>
          </w:p>
        </w:tc>
      </w:tr>
      <w:tr w:rsidR="000A134A" w:rsidRPr="001C1E47" w14:paraId="103CA6F2" w14:textId="77777777" w:rsidTr="00185C7D">
        <w:tc>
          <w:tcPr>
            <w:tcW w:w="1440" w:type="dxa"/>
          </w:tcPr>
          <w:p w14:paraId="673AF147" w14:textId="16DE8076" w:rsidR="000A134A" w:rsidRPr="008D375D" w:rsidRDefault="00F36573" w:rsidP="007A71AC">
            <w:pPr>
              <w:widowControl/>
              <w:autoSpaceDE/>
              <w:autoSpaceDN/>
              <w:adjustRightInd/>
              <w:rPr>
                <w:rFonts w:cs="Calibri"/>
              </w:rPr>
            </w:pPr>
            <w:r w:rsidRPr="008D375D">
              <w:rPr>
                <w:rFonts w:asciiTheme="minorHAnsi" w:hAnsiTheme="minorHAnsi" w:cstheme="minorHAnsi"/>
              </w:rPr>
              <w:t>FY 2024-0</w:t>
            </w:r>
            <w:r w:rsidR="0021463C" w:rsidRPr="008D375D">
              <w:rPr>
                <w:rFonts w:asciiTheme="minorHAnsi" w:hAnsiTheme="minorHAnsi" w:cstheme="minorHAnsi"/>
              </w:rPr>
              <w:t>1</w:t>
            </w:r>
          </w:p>
        </w:tc>
        <w:tc>
          <w:tcPr>
            <w:tcW w:w="4721" w:type="dxa"/>
          </w:tcPr>
          <w:p w14:paraId="53C5489A" w14:textId="4F8D8ACC" w:rsidR="000A134A" w:rsidRPr="008D375D" w:rsidRDefault="00C52E9A" w:rsidP="007A71AC">
            <w:pPr>
              <w:widowControl/>
              <w:autoSpaceDE/>
              <w:autoSpaceDN/>
              <w:adjustRightInd/>
              <w:rPr>
                <w:rFonts w:cs="Calibri"/>
              </w:rPr>
            </w:pPr>
            <w:r w:rsidRPr="008D375D">
              <w:rPr>
                <w:rFonts w:asciiTheme="minorHAnsi" w:hAnsiTheme="minorHAnsi" w:cstheme="minorHAnsi"/>
              </w:rPr>
              <w:t>In FY 202</w:t>
            </w:r>
            <w:r w:rsidR="00FC5807" w:rsidRPr="008D375D">
              <w:rPr>
                <w:rFonts w:asciiTheme="minorHAnsi" w:hAnsiTheme="minorHAnsi" w:cstheme="minorHAnsi"/>
              </w:rPr>
              <w:t>4</w:t>
            </w:r>
            <w:r w:rsidRPr="008D375D">
              <w:rPr>
                <w:rFonts w:asciiTheme="minorHAnsi" w:hAnsiTheme="minorHAnsi" w:cstheme="minorHAnsi"/>
              </w:rPr>
              <w:t xml:space="preserve">, Wyoming OSHA’s health inspection in-compliance percentage of </w:t>
            </w:r>
            <w:r w:rsidR="008A1E3E" w:rsidRPr="008D375D">
              <w:rPr>
                <w:rFonts w:asciiTheme="minorHAnsi" w:hAnsiTheme="minorHAnsi" w:cstheme="minorHAnsi"/>
              </w:rPr>
              <w:t>81.25</w:t>
            </w:r>
            <w:r w:rsidRPr="008D375D">
              <w:rPr>
                <w:rFonts w:asciiTheme="minorHAnsi" w:hAnsiTheme="minorHAnsi" w:cstheme="minorHAnsi"/>
              </w:rPr>
              <w:t xml:space="preserve">% significantly exceeded the FRL range of </w:t>
            </w:r>
            <w:r w:rsidR="008A1E3E" w:rsidRPr="008D375D">
              <w:rPr>
                <w:rFonts w:asciiTheme="minorHAnsi" w:hAnsiTheme="minorHAnsi" w:cstheme="minorHAnsi"/>
              </w:rPr>
              <w:t>35.34</w:t>
            </w:r>
            <w:r w:rsidRPr="008D375D">
              <w:rPr>
                <w:rFonts w:asciiTheme="minorHAnsi" w:hAnsiTheme="minorHAnsi" w:cstheme="minorHAnsi"/>
              </w:rPr>
              <w:t xml:space="preserve">% to </w:t>
            </w:r>
            <w:r w:rsidR="008A1E3E" w:rsidRPr="008D375D">
              <w:rPr>
                <w:rFonts w:asciiTheme="minorHAnsi" w:hAnsiTheme="minorHAnsi" w:cstheme="minorHAnsi"/>
              </w:rPr>
              <w:t>53.01</w:t>
            </w:r>
            <w:r w:rsidRPr="008D375D">
              <w:rPr>
                <w:rFonts w:asciiTheme="minorHAnsi" w:hAnsiTheme="minorHAnsi" w:cstheme="minorHAnsi"/>
              </w:rPr>
              <w:t>%.</w:t>
            </w:r>
          </w:p>
        </w:tc>
        <w:tc>
          <w:tcPr>
            <w:tcW w:w="4819" w:type="dxa"/>
          </w:tcPr>
          <w:p w14:paraId="7375EF07" w14:textId="46F04FA5" w:rsidR="000A134A" w:rsidRPr="008D375D" w:rsidRDefault="00FF4B42" w:rsidP="007A71AC">
            <w:pPr>
              <w:widowControl/>
              <w:autoSpaceDE/>
              <w:autoSpaceDN/>
              <w:adjustRightInd/>
              <w:rPr>
                <w:rFonts w:asciiTheme="minorHAnsi" w:hAnsiTheme="minorHAnsi" w:cstheme="minorHAnsi"/>
              </w:rPr>
            </w:pPr>
            <w:r w:rsidRPr="008D375D">
              <w:rPr>
                <w:rFonts w:asciiTheme="minorHAnsi" w:hAnsiTheme="minorHAnsi" w:cstheme="minorHAnsi"/>
              </w:rPr>
              <w:t>Wyoming OSHA should determine the cause and take action to decrease its high in-compliance percentage for health inspections.</w:t>
            </w:r>
          </w:p>
        </w:tc>
        <w:tc>
          <w:tcPr>
            <w:tcW w:w="1890" w:type="dxa"/>
          </w:tcPr>
          <w:p w14:paraId="0E5FE764" w14:textId="44422A4E" w:rsidR="000A134A" w:rsidRPr="008D375D" w:rsidRDefault="000A134A" w:rsidP="007A71AC">
            <w:pPr>
              <w:widowControl/>
              <w:autoSpaceDE/>
              <w:autoSpaceDN/>
              <w:adjustRightInd/>
              <w:rPr>
                <w:rFonts w:cs="Calibri"/>
              </w:rPr>
            </w:pPr>
            <w:r w:rsidRPr="008D375D">
              <w:rPr>
                <w:rFonts w:cs="Calibri"/>
              </w:rPr>
              <w:t xml:space="preserve"> </w:t>
            </w:r>
            <w:r w:rsidR="002E57CB" w:rsidRPr="008D375D">
              <w:rPr>
                <w:rFonts w:asciiTheme="minorHAnsi" w:hAnsiTheme="minorHAnsi" w:cstheme="minorHAnsi"/>
              </w:rPr>
              <w:t>FY 2023-02</w:t>
            </w:r>
          </w:p>
        </w:tc>
      </w:tr>
    </w:tbl>
    <w:p w14:paraId="3C1E0E19" w14:textId="77777777" w:rsidR="000A134A" w:rsidRPr="001C1E47" w:rsidRDefault="000A134A" w:rsidP="007A71AC">
      <w:pPr>
        <w:widowControl/>
        <w:autoSpaceDE/>
        <w:autoSpaceDN/>
        <w:adjustRightInd/>
        <w:rPr>
          <w:rFonts w:cs="Calibri"/>
        </w:rPr>
      </w:pPr>
    </w:p>
    <w:p w14:paraId="680FA182" w14:textId="3CA8D751" w:rsidR="00115DF5" w:rsidRPr="00476C08" w:rsidRDefault="00115DF5" w:rsidP="007A71AC">
      <w:pPr>
        <w:widowControl/>
        <w:autoSpaceDE/>
        <w:autoSpaceDN/>
        <w:adjustRightInd/>
        <w:rPr>
          <w:rFonts w:cs="Calibri"/>
          <w:iCs/>
          <w:color w:val="0070C0"/>
        </w:rPr>
      </w:pPr>
    </w:p>
    <w:p w14:paraId="3AB3DC8E" w14:textId="77777777" w:rsidR="000A134A" w:rsidRPr="00476C08" w:rsidRDefault="000A134A" w:rsidP="007A71AC">
      <w:pPr>
        <w:widowControl/>
        <w:autoSpaceDE/>
        <w:autoSpaceDN/>
        <w:adjustRightInd/>
        <w:rPr>
          <w:rFonts w:cs="Calibri"/>
          <w:iCs/>
          <w:color w:val="0070C0"/>
        </w:rPr>
      </w:pPr>
    </w:p>
    <w:p w14:paraId="7C19C4AE" w14:textId="77777777" w:rsidR="00D86879" w:rsidRPr="001C1E47" w:rsidRDefault="00D86879" w:rsidP="007A71AC">
      <w:pPr>
        <w:widowControl/>
        <w:autoSpaceDE/>
        <w:autoSpaceDN/>
        <w:adjustRightInd/>
        <w:rPr>
          <w:rFonts w:cs="Calibri"/>
          <w:i/>
        </w:rPr>
      </w:pPr>
    </w:p>
    <w:p w14:paraId="039B49D1" w14:textId="77777777" w:rsidR="00D86879" w:rsidRPr="001C1E47" w:rsidRDefault="00D86879" w:rsidP="007A71AC">
      <w:pPr>
        <w:widowControl/>
        <w:autoSpaceDE/>
        <w:autoSpaceDN/>
        <w:adjustRightInd/>
        <w:rPr>
          <w:rFonts w:cs="Calibri"/>
          <w:i/>
        </w:rPr>
      </w:pPr>
    </w:p>
    <w:p w14:paraId="776B7B1D" w14:textId="77777777" w:rsidR="00D86879" w:rsidRPr="001C1E47" w:rsidRDefault="00D86879" w:rsidP="007A71AC">
      <w:pPr>
        <w:widowControl/>
        <w:autoSpaceDE/>
        <w:autoSpaceDN/>
        <w:adjustRightInd/>
        <w:rPr>
          <w:rFonts w:cs="Calibri"/>
          <w:i/>
        </w:rPr>
      </w:pPr>
    </w:p>
    <w:p w14:paraId="715EFD78" w14:textId="1F0847C7" w:rsidR="007349C7" w:rsidRDefault="007349C7">
      <w:pPr>
        <w:widowControl/>
        <w:autoSpaceDE/>
        <w:autoSpaceDN/>
        <w:adjustRightInd/>
        <w:rPr>
          <w:rFonts w:cs="Calibri"/>
          <w:i/>
        </w:rPr>
      </w:pPr>
      <w:r>
        <w:rPr>
          <w:rFonts w:cs="Calibri"/>
          <w:i/>
        </w:rPr>
        <w:br w:type="page"/>
      </w:r>
    </w:p>
    <w:p w14:paraId="1BB65BC9" w14:textId="77777777" w:rsidR="00D86879" w:rsidRPr="001C1E47" w:rsidRDefault="00D86879" w:rsidP="007A71AC">
      <w:pPr>
        <w:widowControl/>
        <w:autoSpaceDE/>
        <w:autoSpaceDN/>
        <w:adjustRightInd/>
        <w:rPr>
          <w:rFonts w:cs="Calibri"/>
          <w:i/>
        </w:rPr>
      </w:pPr>
    </w:p>
    <w:p w14:paraId="72DA695E" w14:textId="77777777" w:rsidR="00B6741C" w:rsidRPr="0002572C" w:rsidRDefault="00B6741C" w:rsidP="006A2768">
      <w:pPr>
        <w:pStyle w:val="Heading3"/>
        <w:numPr>
          <w:ilvl w:val="0"/>
          <w:numId w:val="0"/>
        </w:numPr>
      </w:pPr>
      <w:bookmarkStart w:id="32" w:name="_Toc118905018"/>
      <w:bookmarkStart w:id="33" w:name="_Toc119418670"/>
      <w:r w:rsidRPr="0002572C">
        <w:t>Appendix B – Observations Subject to Continued Monitoring</w:t>
      </w:r>
      <w:bookmarkEnd w:id="32"/>
      <w:bookmarkEnd w:id="33"/>
    </w:p>
    <w:p w14:paraId="73014EBD" w14:textId="408964E1" w:rsidR="00B6741C" w:rsidRPr="00F0678A" w:rsidRDefault="00B6741C" w:rsidP="0002572C">
      <w:r>
        <w:t xml:space="preserve">FY </w:t>
      </w:r>
      <w:r w:rsidRPr="00E321FB">
        <w:t>20</w:t>
      </w:r>
      <w:r w:rsidR="00E321FB" w:rsidRPr="00E321FB">
        <w:t>24</w:t>
      </w:r>
      <w:r w:rsidRPr="00E321FB">
        <w:t xml:space="preserve"> </w:t>
      </w:r>
      <w:r w:rsidR="00E321FB" w:rsidRPr="00E321FB">
        <w:t>Wyoming OSHA</w:t>
      </w:r>
      <w:r w:rsidRPr="00E321FB">
        <w:t xml:space="preserve"> </w:t>
      </w:r>
      <w:r>
        <w:t>Follow-up FAME Report</w:t>
      </w:r>
    </w:p>
    <w:p w14:paraId="75823E10" w14:textId="77777777" w:rsidR="00D86879" w:rsidRPr="001C1E47" w:rsidRDefault="00D86879" w:rsidP="007A71AC">
      <w:pPr>
        <w:widowControl/>
        <w:autoSpaceDE/>
        <w:autoSpaceDN/>
        <w:adjustRightInd/>
        <w:rPr>
          <w:rFonts w:cs="Calibri"/>
          <w:i/>
        </w:rPr>
      </w:pPr>
    </w:p>
    <w:p w14:paraId="2093D22B" w14:textId="77777777" w:rsidR="00D86879" w:rsidRPr="001C1E47" w:rsidRDefault="00D86879" w:rsidP="007A71AC">
      <w:pPr>
        <w:widowControl/>
        <w:autoSpaceDE/>
        <w:autoSpaceDN/>
        <w:adjustRightInd/>
        <w:rPr>
          <w:rFonts w:cs="Calibri"/>
          <w:i/>
        </w:rPr>
      </w:pPr>
    </w:p>
    <w:p w14:paraId="61F273E4" w14:textId="4BA1F7A9" w:rsidR="00492379" w:rsidRPr="001C1E47" w:rsidRDefault="00492379" w:rsidP="007A71AC">
      <w:pPr>
        <w:widowControl/>
        <w:autoSpaceDE/>
        <w:autoSpaceDN/>
        <w:adjustRightInd/>
        <w:rPr>
          <w:rFonts w:cs="Calibri"/>
          <w:i/>
        </w:rPr>
        <w:sectPr w:rsidR="00492379" w:rsidRPr="001C1E47" w:rsidSect="00DD7206">
          <w:headerReference w:type="default" r:id="rId12"/>
          <w:footerReference w:type="default" r:id="rId13"/>
          <w:headerReference w:type="first" r:id="rId14"/>
          <w:footerReference w:type="first" r:id="rId15"/>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2657"/>
        <w:gridCol w:w="2690"/>
        <w:gridCol w:w="2657"/>
        <w:gridCol w:w="2630"/>
        <w:gridCol w:w="2316"/>
      </w:tblGrid>
      <w:tr w:rsidR="00B6741C" w:rsidRPr="00984D66" w14:paraId="266E8016" w14:textId="4E26EFF8" w:rsidTr="00B6741C">
        <w:trPr>
          <w:cantSplit/>
          <w:tblHeader/>
        </w:trPr>
        <w:tc>
          <w:tcPr>
            <w:tcW w:w="2657" w:type="dxa"/>
          </w:tcPr>
          <w:p w14:paraId="5950BEA4" w14:textId="77777777" w:rsidR="00B6741C" w:rsidRPr="00984D66" w:rsidRDefault="00B6741C" w:rsidP="00B6741C">
            <w:pPr>
              <w:widowControl/>
              <w:autoSpaceDE/>
              <w:autoSpaceDN/>
              <w:adjustRightInd/>
              <w:rPr>
                <w:rFonts w:cs="Calibri"/>
                <w:b/>
              </w:rPr>
            </w:pPr>
            <w:r w:rsidRPr="00984D66">
              <w:rPr>
                <w:rFonts w:cs="Calibri"/>
                <w:b/>
              </w:rPr>
              <w:t>Observation #</w:t>
            </w:r>
          </w:p>
          <w:p w14:paraId="09AE72D2" w14:textId="0F4648DB" w:rsidR="00B6741C" w:rsidRPr="00984D66" w:rsidRDefault="00B6741C" w:rsidP="00B6741C">
            <w:pPr>
              <w:widowControl/>
              <w:autoSpaceDE/>
              <w:autoSpaceDN/>
              <w:adjustRightInd/>
              <w:rPr>
                <w:rFonts w:cs="Calibri"/>
                <w:b/>
              </w:rPr>
            </w:pPr>
            <w:r w:rsidRPr="00984D66">
              <w:rPr>
                <w:rFonts w:cs="Calibri"/>
                <w:b/>
              </w:rPr>
              <w:t>FY 20</w:t>
            </w:r>
            <w:r w:rsidR="00E321FB" w:rsidRPr="00984D66">
              <w:rPr>
                <w:rFonts w:cs="Calibri"/>
                <w:b/>
              </w:rPr>
              <w:t>24</w:t>
            </w:r>
            <w:r w:rsidRPr="00984D66">
              <w:rPr>
                <w:rFonts w:cs="Calibri"/>
                <w:b/>
              </w:rPr>
              <w:t>-OB-#</w:t>
            </w:r>
          </w:p>
          <w:p w14:paraId="07702D17" w14:textId="77777777" w:rsidR="00B6741C" w:rsidRPr="00984D66" w:rsidRDefault="00B6741C" w:rsidP="00B6741C">
            <w:pPr>
              <w:widowControl/>
              <w:autoSpaceDE/>
              <w:autoSpaceDN/>
              <w:adjustRightInd/>
              <w:rPr>
                <w:rFonts w:cs="Calibri"/>
                <w:i/>
              </w:rPr>
            </w:pPr>
          </w:p>
        </w:tc>
        <w:tc>
          <w:tcPr>
            <w:tcW w:w="2690" w:type="dxa"/>
          </w:tcPr>
          <w:p w14:paraId="5B8F9311" w14:textId="77777777" w:rsidR="00B6741C" w:rsidRPr="00984D66" w:rsidRDefault="00B6741C" w:rsidP="00B6741C">
            <w:pPr>
              <w:widowControl/>
              <w:autoSpaceDE/>
              <w:autoSpaceDN/>
              <w:adjustRightInd/>
              <w:rPr>
                <w:rFonts w:cs="Calibri"/>
                <w:b/>
              </w:rPr>
            </w:pPr>
            <w:r w:rsidRPr="00984D66">
              <w:rPr>
                <w:rFonts w:cs="Calibri"/>
                <w:b/>
              </w:rPr>
              <w:t>Observation#</w:t>
            </w:r>
          </w:p>
          <w:p w14:paraId="757E85A6" w14:textId="1F900D39" w:rsidR="00B6741C" w:rsidRPr="00984D66" w:rsidRDefault="00B6741C" w:rsidP="00B6741C">
            <w:pPr>
              <w:widowControl/>
              <w:autoSpaceDE/>
              <w:autoSpaceDN/>
              <w:adjustRightInd/>
              <w:rPr>
                <w:rFonts w:cs="Calibri"/>
                <w:i/>
              </w:rPr>
            </w:pPr>
            <w:r w:rsidRPr="00984D66">
              <w:rPr>
                <w:rFonts w:cs="Calibri"/>
                <w:b/>
              </w:rPr>
              <w:t>FY 20</w:t>
            </w:r>
            <w:r w:rsidR="00E321FB" w:rsidRPr="00984D66">
              <w:rPr>
                <w:rFonts w:cs="Calibri"/>
                <w:b/>
              </w:rPr>
              <w:t>23</w:t>
            </w:r>
            <w:r w:rsidRPr="00984D66">
              <w:rPr>
                <w:rFonts w:cs="Calibri"/>
                <w:b/>
              </w:rPr>
              <w:t xml:space="preserve">-OB-# </w:t>
            </w:r>
            <w:r w:rsidRPr="00984D66">
              <w:rPr>
                <w:rFonts w:cs="Calibri"/>
                <w:b/>
                <w:i/>
              </w:rPr>
              <w:t>or</w:t>
            </w:r>
            <w:r w:rsidRPr="00984D66">
              <w:rPr>
                <w:rFonts w:cs="Calibri"/>
                <w:b/>
              </w:rPr>
              <w:t xml:space="preserve"> FY 20</w:t>
            </w:r>
            <w:r w:rsidR="00E321FB" w:rsidRPr="00984D66">
              <w:rPr>
                <w:rFonts w:cs="Calibri"/>
                <w:b/>
              </w:rPr>
              <w:t>23</w:t>
            </w:r>
            <w:r w:rsidRPr="00984D66">
              <w:rPr>
                <w:rFonts w:cs="Calibri"/>
                <w:b/>
              </w:rPr>
              <w:t>-#</w:t>
            </w:r>
          </w:p>
        </w:tc>
        <w:tc>
          <w:tcPr>
            <w:tcW w:w="2657" w:type="dxa"/>
          </w:tcPr>
          <w:p w14:paraId="11DA1749" w14:textId="7AE042CC" w:rsidR="00B6741C" w:rsidRPr="00984D66" w:rsidRDefault="00B6741C" w:rsidP="00B6741C">
            <w:pPr>
              <w:widowControl/>
              <w:autoSpaceDE/>
              <w:autoSpaceDN/>
              <w:adjustRightInd/>
              <w:rPr>
                <w:rFonts w:cs="Calibri"/>
                <w:i/>
              </w:rPr>
            </w:pPr>
            <w:r w:rsidRPr="00984D66">
              <w:rPr>
                <w:rFonts w:cs="Calibri"/>
                <w:b/>
              </w:rPr>
              <w:t>Observation</w:t>
            </w:r>
          </w:p>
        </w:tc>
        <w:tc>
          <w:tcPr>
            <w:tcW w:w="2630" w:type="dxa"/>
          </w:tcPr>
          <w:p w14:paraId="76BC073C" w14:textId="70BBC1B0" w:rsidR="00B6741C" w:rsidRPr="00984D66" w:rsidRDefault="00B6741C" w:rsidP="00B6741C">
            <w:pPr>
              <w:widowControl/>
              <w:autoSpaceDE/>
              <w:autoSpaceDN/>
              <w:adjustRightInd/>
              <w:rPr>
                <w:rFonts w:cs="Calibri"/>
                <w:i/>
              </w:rPr>
            </w:pPr>
            <w:r w:rsidRPr="00984D66">
              <w:rPr>
                <w:rFonts w:cs="Calibri"/>
                <w:b/>
              </w:rPr>
              <w:t>Federal Monitoring Plan</w:t>
            </w:r>
          </w:p>
        </w:tc>
        <w:tc>
          <w:tcPr>
            <w:tcW w:w="2316" w:type="dxa"/>
          </w:tcPr>
          <w:p w14:paraId="46D0EE63" w14:textId="4A2BA825" w:rsidR="00B6741C" w:rsidRPr="00984D66" w:rsidRDefault="00B6741C" w:rsidP="00B6741C">
            <w:pPr>
              <w:widowControl/>
              <w:autoSpaceDE/>
              <w:autoSpaceDN/>
              <w:adjustRightInd/>
              <w:rPr>
                <w:rFonts w:cs="Calibri"/>
                <w:b/>
              </w:rPr>
            </w:pPr>
            <w:r w:rsidRPr="00984D66">
              <w:rPr>
                <w:rFonts w:cs="Calibri"/>
                <w:b/>
              </w:rPr>
              <w:t>Current Status</w:t>
            </w:r>
          </w:p>
        </w:tc>
      </w:tr>
      <w:tr w:rsidR="00B6741C" w:rsidRPr="00984D66" w14:paraId="715083EB" w14:textId="58561804" w:rsidTr="00B6741C">
        <w:trPr>
          <w:cantSplit/>
        </w:trPr>
        <w:tc>
          <w:tcPr>
            <w:tcW w:w="2657" w:type="dxa"/>
          </w:tcPr>
          <w:p w14:paraId="2398185C" w14:textId="3FE6D5A6" w:rsidR="00B35A25" w:rsidRPr="00504A59" w:rsidRDefault="00B35A25" w:rsidP="00B35A25">
            <w:pPr>
              <w:widowControl/>
              <w:autoSpaceDE/>
              <w:autoSpaceDN/>
              <w:adjustRightInd/>
              <w:rPr>
                <w:rFonts w:asciiTheme="minorHAnsi" w:hAnsiTheme="minorHAnsi" w:cstheme="minorHAnsi"/>
                <w:iCs/>
              </w:rPr>
            </w:pPr>
            <w:r w:rsidRPr="00504A59">
              <w:rPr>
                <w:rFonts w:asciiTheme="minorHAnsi" w:hAnsiTheme="minorHAnsi" w:cstheme="minorHAnsi"/>
                <w:iCs/>
              </w:rPr>
              <w:t>FY 2024-OB-0</w:t>
            </w:r>
            <w:r w:rsidR="00C654BB" w:rsidRPr="00504A59">
              <w:rPr>
                <w:rFonts w:asciiTheme="minorHAnsi" w:hAnsiTheme="minorHAnsi" w:cstheme="minorHAnsi"/>
                <w:iCs/>
              </w:rPr>
              <w:t>1</w:t>
            </w:r>
          </w:p>
          <w:p w14:paraId="7834860F" w14:textId="77777777" w:rsidR="00B6741C" w:rsidRPr="00504A59" w:rsidRDefault="00B6741C" w:rsidP="00B6741C">
            <w:pPr>
              <w:widowControl/>
              <w:autoSpaceDE/>
              <w:autoSpaceDN/>
              <w:adjustRightInd/>
              <w:rPr>
                <w:rFonts w:cs="Calibri"/>
                <w:iCs/>
                <w:color w:val="0070C0"/>
              </w:rPr>
            </w:pPr>
          </w:p>
        </w:tc>
        <w:tc>
          <w:tcPr>
            <w:tcW w:w="2690" w:type="dxa"/>
          </w:tcPr>
          <w:p w14:paraId="3D867C43" w14:textId="77777777" w:rsidR="00B35A25" w:rsidRPr="00504A59" w:rsidRDefault="00B35A25" w:rsidP="00B35A25">
            <w:pPr>
              <w:widowControl/>
              <w:autoSpaceDE/>
              <w:autoSpaceDN/>
              <w:adjustRightInd/>
              <w:rPr>
                <w:rFonts w:asciiTheme="minorHAnsi" w:hAnsiTheme="minorHAnsi" w:cstheme="minorHAnsi"/>
                <w:iCs/>
              </w:rPr>
            </w:pPr>
            <w:r w:rsidRPr="00504A59">
              <w:rPr>
                <w:rFonts w:asciiTheme="minorHAnsi" w:hAnsiTheme="minorHAnsi" w:cstheme="minorHAnsi"/>
                <w:iCs/>
              </w:rPr>
              <w:t>FY 2023-OB-01</w:t>
            </w:r>
          </w:p>
          <w:p w14:paraId="1207E4E3" w14:textId="77777777" w:rsidR="00B6741C" w:rsidRPr="00504A59" w:rsidRDefault="00B6741C" w:rsidP="00B6741C">
            <w:pPr>
              <w:widowControl/>
              <w:autoSpaceDE/>
              <w:autoSpaceDN/>
              <w:adjustRightInd/>
              <w:rPr>
                <w:rFonts w:cs="Calibri"/>
                <w:iCs/>
                <w:color w:val="0070C0"/>
              </w:rPr>
            </w:pPr>
          </w:p>
        </w:tc>
        <w:tc>
          <w:tcPr>
            <w:tcW w:w="2657" w:type="dxa"/>
          </w:tcPr>
          <w:p w14:paraId="53E4A09F" w14:textId="02A59514" w:rsidR="00B6741C" w:rsidRPr="00504A59" w:rsidRDefault="009367D9" w:rsidP="00B6741C">
            <w:pPr>
              <w:widowControl/>
              <w:autoSpaceDE/>
              <w:autoSpaceDN/>
              <w:adjustRightInd/>
              <w:rPr>
                <w:rFonts w:cs="Calibri"/>
                <w:iCs/>
                <w:color w:val="0070C0"/>
              </w:rPr>
            </w:pPr>
            <w:r w:rsidRPr="00504A59">
              <w:rPr>
                <w:rFonts w:asciiTheme="minorHAnsi" w:hAnsiTheme="minorHAnsi" w:cstheme="minorHAnsi"/>
              </w:rPr>
              <w:t>In FY 2023, three of nine (33.33%) case files reviewed did not contain documentation that all complaint or referral allegations were addressed.  Wyoming OSHA did not follow the guidance in its modified Chapter 9, Section I.H.5 of the FOM.</w:t>
            </w:r>
          </w:p>
        </w:tc>
        <w:tc>
          <w:tcPr>
            <w:tcW w:w="2630" w:type="dxa"/>
          </w:tcPr>
          <w:p w14:paraId="04F2CA88" w14:textId="34623C35" w:rsidR="00B6741C" w:rsidRPr="00504A59" w:rsidRDefault="004B5511" w:rsidP="00B6741C">
            <w:pPr>
              <w:widowControl/>
              <w:autoSpaceDE/>
              <w:autoSpaceDN/>
              <w:adjustRightInd/>
              <w:rPr>
                <w:rFonts w:cs="Calibri"/>
                <w:iCs/>
                <w:color w:val="0070C0"/>
              </w:rPr>
            </w:pPr>
            <w:r w:rsidRPr="00504A59">
              <w:rPr>
                <w:rFonts w:cs="Calibri"/>
                <w:iCs/>
              </w:rPr>
              <w:t>The OSHA Regional Office will monitor Wyoming OSHA’s performance in this area during quarterly meetings throughout FY 2025.</w:t>
            </w:r>
          </w:p>
        </w:tc>
        <w:tc>
          <w:tcPr>
            <w:tcW w:w="2316" w:type="dxa"/>
          </w:tcPr>
          <w:p w14:paraId="79E4394D" w14:textId="69407FCD" w:rsidR="00B6741C" w:rsidRPr="00504A59" w:rsidRDefault="00B6741C" w:rsidP="00B6741C">
            <w:pPr>
              <w:widowControl/>
              <w:autoSpaceDE/>
              <w:autoSpaceDN/>
              <w:adjustRightInd/>
              <w:rPr>
                <w:rFonts w:cs="Calibri"/>
                <w:iCs/>
                <w:color w:val="0070C0"/>
              </w:rPr>
            </w:pPr>
            <w:r w:rsidRPr="00504A59">
              <w:rPr>
                <w:rFonts w:cs="Calibri"/>
                <w:iCs/>
              </w:rPr>
              <w:t>Continued</w:t>
            </w:r>
          </w:p>
        </w:tc>
      </w:tr>
      <w:tr w:rsidR="00B6741C" w:rsidRPr="00984D66" w14:paraId="414575F4" w14:textId="437735BC" w:rsidTr="00B6741C">
        <w:trPr>
          <w:cantSplit/>
        </w:trPr>
        <w:tc>
          <w:tcPr>
            <w:tcW w:w="2657" w:type="dxa"/>
          </w:tcPr>
          <w:p w14:paraId="6D503B90" w14:textId="154E3BB1" w:rsidR="00E82B9A" w:rsidRPr="00504A59" w:rsidRDefault="00E82B9A" w:rsidP="00E82B9A">
            <w:pPr>
              <w:widowControl/>
              <w:autoSpaceDE/>
              <w:autoSpaceDN/>
              <w:adjustRightInd/>
              <w:rPr>
                <w:rFonts w:asciiTheme="minorHAnsi" w:hAnsiTheme="minorHAnsi" w:cstheme="minorHAnsi"/>
                <w:iCs/>
              </w:rPr>
            </w:pPr>
            <w:r w:rsidRPr="00504A59">
              <w:rPr>
                <w:rFonts w:asciiTheme="minorHAnsi" w:hAnsiTheme="minorHAnsi" w:cstheme="minorHAnsi"/>
                <w:iCs/>
              </w:rPr>
              <w:t>FY 2024-OB-0</w:t>
            </w:r>
            <w:r w:rsidR="00C654BB" w:rsidRPr="00504A59">
              <w:rPr>
                <w:rFonts w:asciiTheme="minorHAnsi" w:hAnsiTheme="minorHAnsi" w:cstheme="minorHAnsi"/>
                <w:iCs/>
              </w:rPr>
              <w:t>2</w:t>
            </w:r>
          </w:p>
          <w:p w14:paraId="38E1B745" w14:textId="77777777" w:rsidR="00B6741C" w:rsidRPr="00504A59" w:rsidRDefault="00B6741C" w:rsidP="00B6741C">
            <w:pPr>
              <w:widowControl/>
              <w:autoSpaceDE/>
              <w:autoSpaceDN/>
              <w:adjustRightInd/>
              <w:rPr>
                <w:rFonts w:cs="Calibri"/>
                <w:iCs/>
                <w:color w:val="0070C0"/>
              </w:rPr>
            </w:pPr>
          </w:p>
        </w:tc>
        <w:tc>
          <w:tcPr>
            <w:tcW w:w="2690" w:type="dxa"/>
          </w:tcPr>
          <w:p w14:paraId="4640B74B" w14:textId="76AD35E2" w:rsidR="00B6741C" w:rsidRPr="00504A59" w:rsidRDefault="002A312E" w:rsidP="00B6741C">
            <w:pPr>
              <w:widowControl/>
              <w:autoSpaceDE/>
              <w:autoSpaceDN/>
              <w:adjustRightInd/>
              <w:rPr>
                <w:rFonts w:cs="Calibri"/>
                <w:iCs/>
                <w:color w:val="0070C0"/>
              </w:rPr>
            </w:pPr>
            <w:r w:rsidRPr="00504A59">
              <w:rPr>
                <w:rFonts w:asciiTheme="minorHAnsi" w:hAnsiTheme="minorHAnsi" w:cstheme="minorHAnsi"/>
              </w:rPr>
              <w:t>FY 2023-OB-02</w:t>
            </w:r>
          </w:p>
        </w:tc>
        <w:tc>
          <w:tcPr>
            <w:tcW w:w="2657" w:type="dxa"/>
          </w:tcPr>
          <w:p w14:paraId="3BC4A14C" w14:textId="01397099" w:rsidR="00B6741C" w:rsidRPr="00504A59" w:rsidRDefault="00DA22D8" w:rsidP="00B6741C">
            <w:pPr>
              <w:widowControl/>
              <w:autoSpaceDE/>
              <w:autoSpaceDN/>
              <w:adjustRightInd/>
              <w:rPr>
                <w:rFonts w:cs="Calibri"/>
                <w:iCs/>
                <w:color w:val="0070C0"/>
              </w:rPr>
            </w:pPr>
            <w:r w:rsidRPr="00504A59">
              <w:rPr>
                <w:rFonts w:asciiTheme="minorHAnsi" w:hAnsiTheme="minorHAnsi" w:cstheme="minorHAnsi"/>
              </w:rPr>
              <w:t>In FY 2023, six of 18 (33.33%) complaint investigations reviewed were closed prior to completion of abatement.  Wyoming OSHA did not follow the guidance in its modified Chapter 9, Section I.I.9 of the FOM.</w:t>
            </w:r>
          </w:p>
        </w:tc>
        <w:tc>
          <w:tcPr>
            <w:tcW w:w="2630" w:type="dxa"/>
          </w:tcPr>
          <w:p w14:paraId="016CAD6A" w14:textId="3856F4DB" w:rsidR="00B6741C" w:rsidRPr="00504A59" w:rsidRDefault="004B5511" w:rsidP="00B6741C">
            <w:pPr>
              <w:widowControl/>
              <w:autoSpaceDE/>
              <w:autoSpaceDN/>
              <w:adjustRightInd/>
              <w:rPr>
                <w:rFonts w:cs="Calibri"/>
                <w:iCs/>
                <w:color w:val="0070C0"/>
              </w:rPr>
            </w:pPr>
            <w:r w:rsidRPr="00504A59">
              <w:rPr>
                <w:rFonts w:cs="Calibri"/>
                <w:iCs/>
              </w:rPr>
              <w:t>The OSHA Regional Office will monitor Wyoming OSHA’s performance in this area during quarterly meetings throughout FY 2025.</w:t>
            </w:r>
          </w:p>
        </w:tc>
        <w:tc>
          <w:tcPr>
            <w:tcW w:w="2316" w:type="dxa"/>
          </w:tcPr>
          <w:p w14:paraId="4F554364" w14:textId="78406817" w:rsidR="00B6741C" w:rsidRPr="00504A59" w:rsidRDefault="00E82B9A" w:rsidP="00B6741C">
            <w:pPr>
              <w:widowControl/>
              <w:autoSpaceDE/>
              <w:autoSpaceDN/>
              <w:adjustRightInd/>
              <w:rPr>
                <w:rFonts w:cs="Calibri"/>
                <w:iCs/>
                <w:color w:val="0070C0"/>
              </w:rPr>
            </w:pPr>
            <w:r w:rsidRPr="00504A59">
              <w:rPr>
                <w:rFonts w:cs="Calibri"/>
                <w:iCs/>
              </w:rPr>
              <w:t>Continued</w:t>
            </w:r>
          </w:p>
        </w:tc>
      </w:tr>
      <w:tr w:rsidR="002A312E" w:rsidRPr="00984D66" w14:paraId="7515D7E2" w14:textId="77777777" w:rsidTr="00B6741C">
        <w:trPr>
          <w:cantSplit/>
        </w:trPr>
        <w:tc>
          <w:tcPr>
            <w:tcW w:w="2657" w:type="dxa"/>
          </w:tcPr>
          <w:p w14:paraId="24FB60E6" w14:textId="4DD87513" w:rsidR="002A312E" w:rsidRPr="00504A59" w:rsidRDefault="002A312E" w:rsidP="002A312E">
            <w:pPr>
              <w:widowControl/>
              <w:autoSpaceDE/>
              <w:autoSpaceDN/>
              <w:adjustRightInd/>
              <w:rPr>
                <w:rFonts w:asciiTheme="minorHAnsi" w:hAnsiTheme="minorHAnsi" w:cstheme="minorHAnsi"/>
                <w:iCs/>
              </w:rPr>
            </w:pPr>
            <w:r w:rsidRPr="00504A59">
              <w:rPr>
                <w:rFonts w:asciiTheme="minorHAnsi" w:hAnsiTheme="minorHAnsi" w:cstheme="minorHAnsi"/>
                <w:iCs/>
              </w:rPr>
              <w:lastRenderedPageBreak/>
              <w:t>FY 2024-OB-0</w:t>
            </w:r>
            <w:r w:rsidR="00C654BB" w:rsidRPr="00504A59">
              <w:rPr>
                <w:rFonts w:asciiTheme="minorHAnsi" w:hAnsiTheme="minorHAnsi" w:cstheme="minorHAnsi"/>
                <w:iCs/>
              </w:rPr>
              <w:t>3</w:t>
            </w:r>
          </w:p>
          <w:p w14:paraId="6288F435" w14:textId="77777777" w:rsidR="002A312E" w:rsidRPr="00504A59" w:rsidRDefault="002A312E" w:rsidP="00E82B9A">
            <w:pPr>
              <w:widowControl/>
              <w:autoSpaceDE/>
              <w:autoSpaceDN/>
              <w:adjustRightInd/>
              <w:rPr>
                <w:rFonts w:asciiTheme="minorHAnsi" w:hAnsiTheme="minorHAnsi" w:cstheme="minorHAnsi"/>
                <w:iCs/>
              </w:rPr>
            </w:pPr>
          </w:p>
        </w:tc>
        <w:tc>
          <w:tcPr>
            <w:tcW w:w="2690" w:type="dxa"/>
          </w:tcPr>
          <w:p w14:paraId="3B0D935C" w14:textId="08B48CEE" w:rsidR="002A312E" w:rsidRPr="00504A59" w:rsidRDefault="00D3315D" w:rsidP="00B6741C">
            <w:pPr>
              <w:widowControl/>
              <w:autoSpaceDE/>
              <w:autoSpaceDN/>
              <w:adjustRightInd/>
              <w:rPr>
                <w:rFonts w:asciiTheme="minorHAnsi" w:hAnsiTheme="minorHAnsi" w:cstheme="minorHAnsi"/>
              </w:rPr>
            </w:pPr>
            <w:r w:rsidRPr="00504A59">
              <w:rPr>
                <w:rFonts w:asciiTheme="minorHAnsi" w:hAnsiTheme="minorHAnsi" w:cstheme="minorHAnsi"/>
              </w:rPr>
              <w:t>FY 2023-OB-03</w:t>
            </w:r>
          </w:p>
        </w:tc>
        <w:tc>
          <w:tcPr>
            <w:tcW w:w="2657" w:type="dxa"/>
          </w:tcPr>
          <w:p w14:paraId="12DAFECD" w14:textId="44F1B353" w:rsidR="002A312E" w:rsidRPr="00504A59" w:rsidRDefault="00D018CD" w:rsidP="00B6741C">
            <w:pPr>
              <w:widowControl/>
              <w:autoSpaceDE/>
              <w:autoSpaceDN/>
              <w:adjustRightInd/>
              <w:rPr>
                <w:rFonts w:asciiTheme="minorHAnsi" w:hAnsiTheme="minorHAnsi" w:cstheme="minorHAnsi"/>
              </w:rPr>
            </w:pPr>
            <w:bookmarkStart w:id="34" w:name="_Hlk188016980"/>
            <w:r w:rsidRPr="00504A59">
              <w:rPr>
                <w:rFonts w:asciiTheme="minorHAnsi" w:hAnsiTheme="minorHAnsi" w:cstheme="minorHAnsi"/>
                <w:iCs/>
              </w:rPr>
              <w:t>In FY 2023, of the six case files reviewed that resulted in violations, two (33.33%) did not contain documentation of worker interviews or statements regarding facts pertinent to a violation.  Wyoming OSHA did not follow the guidance in Chapter 5, Section VII.A; Chapter 3, Section VII.C; and Chapter 3, Section VII.I.5.b of the FOM.</w:t>
            </w:r>
            <w:bookmarkEnd w:id="34"/>
          </w:p>
        </w:tc>
        <w:tc>
          <w:tcPr>
            <w:tcW w:w="2630" w:type="dxa"/>
          </w:tcPr>
          <w:p w14:paraId="766DB1CC" w14:textId="3C97EBF8" w:rsidR="002A312E" w:rsidRPr="00504A59" w:rsidRDefault="004B5511" w:rsidP="00B6741C">
            <w:pPr>
              <w:widowControl/>
              <w:autoSpaceDE/>
              <w:autoSpaceDN/>
              <w:adjustRightInd/>
              <w:rPr>
                <w:rFonts w:cs="Calibri"/>
                <w:iCs/>
              </w:rPr>
            </w:pPr>
            <w:r w:rsidRPr="00504A59">
              <w:rPr>
                <w:rFonts w:cs="Calibri"/>
                <w:iCs/>
              </w:rPr>
              <w:t>The OSHA Regional Office will monitor Wyoming OSHA’s performance in this area during quarterly meetings throughout FY 2025.</w:t>
            </w:r>
          </w:p>
        </w:tc>
        <w:tc>
          <w:tcPr>
            <w:tcW w:w="2316" w:type="dxa"/>
          </w:tcPr>
          <w:p w14:paraId="694AC935" w14:textId="7BBD85A6" w:rsidR="002A312E" w:rsidRPr="00504A59" w:rsidRDefault="00B93AD3" w:rsidP="00B6741C">
            <w:pPr>
              <w:widowControl/>
              <w:autoSpaceDE/>
              <w:autoSpaceDN/>
              <w:adjustRightInd/>
              <w:rPr>
                <w:rFonts w:cs="Calibri"/>
                <w:iCs/>
              </w:rPr>
            </w:pPr>
            <w:r w:rsidRPr="00504A59">
              <w:rPr>
                <w:rFonts w:cs="Calibri"/>
                <w:iCs/>
              </w:rPr>
              <w:t>Continued</w:t>
            </w:r>
          </w:p>
        </w:tc>
      </w:tr>
      <w:tr w:rsidR="00B93AD3" w:rsidRPr="00984D66" w14:paraId="600F1818" w14:textId="77777777" w:rsidTr="00B6741C">
        <w:trPr>
          <w:cantSplit/>
        </w:trPr>
        <w:tc>
          <w:tcPr>
            <w:tcW w:w="2657" w:type="dxa"/>
          </w:tcPr>
          <w:p w14:paraId="2A09149C" w14:textId="7C7B533E" w:rsidR="00B93AD3" w:rsidRPr="00504A59" w:rsidRDefault="00B93AD3" w:rsidP="00B93AD3">
            <w:pPr>
              <w:widowControl/>
              <w:autoSpaceDE/>
              <w:autoSpaceDN/>
              <w:adjustRightInd/>
              <w:rPr>
                <w:rFonts w:asciiTheme="minorHAnsi" w:hAnsiTheme="minorHAnsi" w:cstheme="minorHAnsi"/>
                <w:iCs/>
              </w:rPr>
            </w:pPr>
            <w:r w:rsidRPr="00504A59">
              <w:rPr>
                <w:rFonts w:asciiTheme="minorHAnsi" w:hAnsiTheme="minorHAnsi" w:cstheme="minorHAnsi"/>
                <w:iCs/>
              </w:rPr>
              <w:t>FY 2024-OB-0</w:t>
            </w:r>
            <w:r w:rsidR="00C654BB" w:rsidRPr="00504A59">
              <w:rPr>
                <w:rFonts w:asciiTheme="minorHAnsi" w:hAnsiTheme="minorHAnsi" w:cstheme="minorHAnsi"/>
                <w:iCs/>
              </w:rPr>
              <w:t>4</w:t>
            </w:r>
          </w:p>
          <w:p w14:paraId="469C221B" w14:textId="77777777" w:rsidR="00B93AD3" w:rsidRPr="00504A59" w:rsidRDefault="00B93AD3" w:rsidP="002A312E">
            <w:pPr>
              <w:widowControl/>
              <w:autoSpaceDE/>
              <w:autoSpaceDN/>
              <w:adjustRightInd/>
              <w:rPr>
                <w:rFonts w:asciiTheme="minorHAnsi" w:hAnsiTheme="minorHAnsi" w:cstheme="minorHAnsi"/>
                <w:iCs/>
              </w:rPr>
            </w:pPr>
          </w:p>
        </w:tc>
        <w:tc>
          <w:tcPr>
            <w:tcW w:w="2690" w:type="dxa"/>
          </w:tcPr>
          <w:p w14:paraId="6ED544BD" w14:textId="38B15E75" w:rsidR="00B93AD3" w:rsidRPr="00504A59" w:rsidRDefault="0081560E" w:rsidP="00B6741C">
            <w:pPr>
              <w:widowControl/>
              <w:autoSpaceDE/>
              <w:autoSpaceDN/>
              <w:adjustRightInd/>
              <w:rPr>
                <w:rFonts w:asciiTheme="minorHAnsi" w:hAnsiTheme="minorHAnsi" w:cstheme="minorHAnsi"/>
              </w:rPr>
            </w:pPr>
            <w:r w:rsidRPr="00504A59">
              <w:rPr>
                <w:rFonts w:asciiTheme="minorHAnsi" w:hAnsiTheme="minorHAnsi" w:cstheme="minorHAnsi"/>
              </w:rPr>
              <w:t>FY 2023-OB-04</w:t>
            </w:r>
          </w:p>
        </w:tc>
        <w:tc>
          <w:tcPr>
            <w:tcW w:w="2657" w:type="dxa"/>
          </w:tcPr>
          <w:p w14:paraId="06BB0C30" w14:textId="729C9F92" w:rsidR="00B93AD3" w:rsidRPr="00504A59" w:rsidRDefault="00066173" w:rsidP="00B6741C">
            <w:pPr>
              <w:widowControl/>
              <w:autoSpaceDE/>
              <w:autoSpaceDN/>
              <w:adjustRightInd/>
              <w:rPr>
                <w:rFonts w:asciiTheme="minorHAnsi" w:hAnsiTheme="minorHAnsi" w:cstheme="minorHAnsi"/>
                <w:iCs/>
              </w:rPr>
            </w:pPr>
            <w:r w:rsidRPr="00504A59">
              <w:rPr>
                <w:rFonts w:asciiTheme="minorHAnsi" w:hAnsiTheme="minorHAnsi" w:cstheme="minorHAnsi"/>
                <w:iCs/>
              </w:rPr>
              <w:t xml:space="preserve">In FY 2023, two of nine (22.22%) administratively closed </w:t>
            </w:r>
            <w:r w:rsidR="002D6CDF" w:rsidRPr="00504A59">
              <w:rPr>
                <w:rFonts w:asciiTheme="minorHAnsi" w:hAnsiTheme="minorHAnsi" w:cstheme="minorHAnsi"/>
                <w:iCs/>
              </w:rPr>
              <w:t>w</w:t>
            </w:r>
            <w:r w:rsidRPr="00504A59">
              <w:rPr>
                <w:rFonts w:asciiTheme="minorHAnsi" w:hAnsiTheme="minorHAnsi" w:cstheme="minorHAnsi"/>
                <w:iCs/>
              </w:rPr>
              <w:t>histleblower cases contained sufficient information of prima facie cases, and Wyoming OSHA did not docket and investigate the cases.</w:t>
            </w:r>
          </w:p>
        </w:tc>
        <w:tc>
          <w:tcPr>
            <w:tcW w:w="2630" w:type="dxa"/>
          </w:tcPr>
          <w:p w14:paraId="50CF34ED" w14:textId="3EAD4AEA" w:rsidR="00B93AD3" w:rsidRPr="00504A59" w:rsidRDefault="004B5511" w:rsidP="00B6741C">
            <w:pPr>
              <w:widowControl/>
              <w:autoSpaceDE/>
              <w:autoSpaceDN/>
              <w:adjustRightInd/>
              <w:rPr>
                <w:rFonts w:cs="Calibri"/>
                <w:iCs/>
              </w:rPr>
            </w:pPr>
            <w:r w:rsidRPr="00504A59">
              <w:rPr>
                <w:rFonts w:cs="Calibri"/>
                <w:iCs/>
              </w:rPr>
              <w:t>The OSHA Regional Office will monitor Wyoming OSHA’s performance in this area during quarterly meetings throughout FY 2025.</w:t>
            </w:r>
          </w:p>
        </w:tc>
        <w:tc>
          <w:tcPr>
            <w:tcW w:w="2316" w:type="dxa"/>
          </w:tcPr>
          <w:p w14:paraId="382E375F" w14:textId="4A1A82C8" w:rsidR="00B93AD3" w:rsidRPr="00504A59" w:rsidRDefault="0081560E" w:rsidP="00B6741C">
            <w:pPr>
              <w:widowControl/>
              <w:autoSpaceDE/>
              <w:autoSpaceDN/>
              <w:adjustRightInd/>
              <w:rPr>
                <w:rFonts w:cs="Calibri"/>
                <w:iCs/>
              </w:rPr>
            </w:pPr>
            <w:r w:rsidRPr="00504A59">
              <w:rPr>
                <w:rFonts w:cs="Calibri"/>
                <w:iCs/>
              </w:rPr>
              <w:t>Continued</w:t>
            </w:r>
          </w:p>
        </w:tc>
      </w:tr>
      <w:tr w:rsidR="0081560E" w:rsidRPr="00984D66" w14:paraId="00ECCB5D" w14:textId="77777777" w:rsidTr="00B6741C">
        <w:trPr>
          <w:cantSplit/>
        </w:trPr>
        <w:tc>
          <w:tcPr>
            <w:tcW w:w="2657" w:type="dxa"/>
          </w:tcPr>
          <w:p w14:paraId="189CB491" w14:textId="78F0EBF3" w:rsidR="0081560E" w:rsidRPr="00504A59" w:rsidRDefault="000D73C4" w:rsidP="00B93AD3">
            <w:pPr>
              <w:widowControl/>
              <w:autoSpaceDE/>
              <w:autoSpaceDN/>
              <w:adjustRightInd/>
              <w:rPr>
                <w:rFonts w:asciiTheme="minorHAnsi" w:hAnsiTheme="minorHAnsi" w:cstheme="minorHAnsi"/>
                <w:iCs/>
              </w:rPr>
            </w:pPr>
            <w:r w:rsidRPr="00504A59">
              <w:rPr>
                <w:rFonts w:asciiTheme="minorHAnsi" w:hAnsiTheme="minorHAnsi" w:cstheme="minorHAnsi"/>
                <w:iCs/>
              </w:rPr>
              <w:lastRenderedPageBreak/>
              <w:t>FY</w:t>
            </w:r>
            <w:r w:rsidR="00884F33" w:rsidRPr="00504A59">
              <w:rPr>
                <w:rFonts w:asciiTheme="minorHAnsi" w:hAnsiTheme="minorHAnsi" w:cstheme="minorHAnsi"/>
                <w:iCs/>
              </w:rPr>
              <w:t xml:space="preserve"> 2024-OB-0</w:t>
            </w:r>
            <w:r w:rsidR="00C654BB" w:rsidRPr="00504A59">
              <w:rPr>
                <w:rFonts w:asciiTheme="minorHAnsi" w:hAnsiTheme="minorHAnsi" w:cstheme="minorHAnsi"/>
                <w:iCs/>
              </w:rPr>
              <w:t>5</w:t>
            </w:r>
          </w:p>
        </w:tc>
        <w:tc>
          <w:tcPr>
            <w:tcW w:w="2690" w:type="dxa"/>
          </w:tcPr>
          <w:p w14:paraId="4EC7E3FC" w14:textId="042450C9" w:rsidR="0081560E" w:rsidRPr="00504A59" w:rsidRDefault="00D92712" w:rsidP="00B6741C">
            <w:pPr>
              <w:widowControl/>
              <w:autoSpaceDE/>
              <w:autoSpaceDN/>
              <w:adjustRightInd/>
              <w:rPr>
                <w:rFonts w:asciiTheme="minorHAnsi" w:hAnsiTheme="minorHAnsi" w:cstheme="minorHAnsi"/>
              </w:rPr>
            </w:pPr>
            <w:r w:rsidRPr="00504A59">
              <w:rPr>
                <w:rFonts w:asciiTheme="minorHAnsi" w:hAnsiTheme="minorHAnsi" w:cstheme="minorHAnsi"/>
              </w:rPr>
              <w:t>FY 2023-OB-05</w:t>
            </w:r>
          </w:p>
        </w:tc>
        <w:tc>
          <w:tcPr>
            <w:tcW w:w="2657" w:type="dxa"/>
          </w:tcPr>
          <w:p w14:paraId="6582150F" w14:textId="2E910CF3" w:rsidR="0081560E" w:rsidRPr="00504A59" w:rsidRDefault="00D1187B" w:rsidP="00B6741C">
            <w:pPr>
              <w:widowControl/>
              <w:autoSpaceDE/>
              <w:autoSpaceDN/>
              <w:adjustRightInd/>
              <w:rPr>
                <w:rFonts w:asciiTheme="minorHAnsi" w:hAnsiTheme="minorHAnsi" w:cstheme="minorHAnsi"/>
                <w:iCs/>
              </w:rPr>
            </w:pPr>
            <w:r w:rsidRPr="00504A59">
              <w:rPr>
                <w:rFonts w:asciiTheme="minorHAnsi" w:hAnsiTheme="minorHAnsi" w:cstheme="minorHAnsi"/>
              </w:rPr>
              <w:t>In FY 2023, abatement of hazards was closed in five of twenty (25%) state and local government consultation visit files when abatement was not completed.  Wyoming OSHA did not follow the guidance in Chapter 4, Section IV.A.</w:t>
            </w:r>
            <w:proofErr w:type="gramStart"/>
            <w:r w:rsidRPr="00504A59">
              <w:rPr>
                <w:rFonts w:asciiTheme="minorHAnsi" w:hAnsiTheme="minorHAnsi" w:cstheme="minorHAnsi"/>
              </w:rPr>
              <w:t>2.b</w:t>
            </w:r>
            <w:proofErr w:type="gramEnd"/>
            <w:r w:rsidRPr="00504A59">
              <w:rPr>
                <w:rFonts w:asciiTheme="minorHAnsi" w:hAnsiTheme="minorHAnsi" w:cstheme="minorHAnsi"/>
              </w:rPr>
              <w:t xml:space="preserve"> and Chapter 4, Section IV.A.2.b.ii of the CPPM.</w:t>
            </w:r>
          </w:p>
        </w:tc>
        <w:tc>
          <w:tcPr>
            <w:tcW w:w="2630" w:type="dxa"/>
          </w:tcPr>
          <w:p w14:paraId="4A6ECA79" w14:textId="3CFADF30" w:rsidR="0081560E" w:rsidRPr="00504A59" w:rsidRDefault="004B5511" w:rsidP="00B6741C">
            <w:pPr>
              <w:widowControl/>
              <w:autoSpaceDE/>
              <w:autoSpaceDN/>
              <w:adjustRightInd/>
              <w:rPr>
                <w:rFonts w:cs="Calibri"/>
                <w:iCs/>
              </w:rPr>
            </w:pPr>
            <w:r w:rsidRPr="00504A59">
              <w:rPr>
                <w:rFonts w:cs="Calibri"/>
                <w:iCs/>
              </w:rPr>
              <w:t>The OSHA Regional Office will monitor Wyoming OSHA’s performance in this area during quarterly meetings throughout FY 2025.</w:t>
            </w:r>
          </w:p>
        </w:tc>
        <w:tc>
          <w:tcPr>
            <w:tcW w:w="2316" w:type="dxa"/>
          </w:tcPr>
          <w:p w14:paraId="175A5EA0" w14:textId="0A5908C5" w:rsidR="0081560E" w:rsidRPr="00504A59" w:rsidRDefault="00884F33" w:rsidP="00B6741C">
            <w:pPr>
              <w:widowControl/>
              <w:autoSpaceDE/>
              <w:autoSpaceDN/>
              <w:adjustRightInd/>
              <w:rPr>
                <w:rFonts w:cs="Calibri"/>
                <w:iCs/>
              </w:rPr>
            </w:pPr>
            <w:r w:rsidRPr="00504A59">
              <w:rPr>
                <w:rFonts w:cs="Calibri"/>
                <w:iCs/>
              </w:rPr>
              <w:t>Continued</w:t>
            </w:r>
          </w:p>
        </w:tc>
      </w:tr>
      <w:tr w:rsidR="00C654BB" w:rsidRPr="00984D66" w14:paraId="45280592" w14:textId="77777777" w:rsidTr="00B6741C">
        <w:trPr>
          <w:cantSplit/>
        </w:trPr>
        <w:tc>
          <w:tcPr>
            <w:tcW w:w="2657" w:type="dxa"/>
          </w:tcPr>
          <w:p w14:paraId="47BE66D4" w14:textId="37AF65E8" w:rsidR="00C654BB" w:rsidRPr="00504A59" w:rsidRDefault="00C654BB" w:rsidP="00B93AD3">
            <w:pPr>
              <w:widowControl/>
              <w:autoSpaceDE/>
              <w:autoSpaceDN/>
              <w:adjustRightInd/>
              <w:rPr>
                <w:rFonts w:asciiTheme="minorHAnsi" w:hAnsiTheme="minorHAnsi" w:cstheme="minorHAnsi"/>
                <w:iCs/>
              </w:rPr>
            </w:pPr>
            <w:r w:rsidRPr="00504A59">
              <w:rPr>
                <w:rFonts w:asciiTheme="minorHAnsi" w:hAnsiTheme="minorHAnsi" w:cstheme="minorHAnsi"/>
                <w:iCs/>
              </w:rPr>
              <w:t>FY 2024-OB-06</w:t>
            </w:r>
          </w:p>
        </w:tc>
        <w:tc>
          <w:tcPr>
            <w:tcW w:w="2690" w:type="dxa"/>
          </w:tcPr>
          <w:p w14:paraId="6E7BBEC3" w14:textId="77777777" w:rsidR="00C654BB" w:rsidRPr="00504A59" w:rsidRDefault="00C654BB" w:rsidP="00B6741C">
            <w:pPr>
              <w:widowControl/>
              <w:autoSpaceDE/>
              <w:autoSpaceDN/>
              <w:adjustRightInd/>
              <w:rPr>
                <w:rFonts w:asciiTheme="minorHAnsi" w:hAnsiTheme="minorHAnsi" w:cstheme="minorHAnsi"/>
              </w:rPr>
            </w:pPr>
          </w:p>
        </w:tc>
        <w:tc>
          <w:tcPr>
            <w:tcW w:w="2657" w:type="dxa"/>
          </w:tcPr>
          <w:p w14:paraId="1C522053" w14:textId="3980E216" w:rsidR="00C654BB" w:rsidRPr="00504A59" w:rsidRDefault="00311548" w:rsidP="00B6741C">
            <w:pPr>
              <w:widowControl/>
              <w:autoSpaceDE/>
              <w:autoSpaceDN/>
              <w:adjustRightInd/>
              <w:rPr>
                <w:rFonts w:asciiTheme="minorHAnsi" w:hAnsiTheme="minorHAnsi" w:cstheme="minorHAnsi"/>
              </w:rPr>
            </w:pPr>
            <w:r w:rsidRPr="00504A59">
              <w:rPr>
                <w:rFonts w:asciiTheme="minorHAnsi" w:hAnsiTheme="minorHAnsi" w:cstheme="minorHAnsi"/>
                <w:bCs/>
              </w:rPr>
              <w:t>In FY 2024, the State Plan’s number of safety inspections conducted was significantly below the FRL of 164 to 182 safety inspections.  Wyoming OSHA conducted 79 (45.66%) of the 173 planned safety inspections.</w:t>
            </w:r>
          </w:p>
        </w:tc>
        <w:tc>
          <w:tcPr>
            <w:tcW w:w="2630" w:type="dxa"/>
          </w:tcPr>
          <w:p w14:paraId="15AECFC5" w14:textId="60FEA5E1" w:rsidR="00C654BB" w:rsidRPr="00504A59" w:rsidRDefault="003D5B54" w:rsidP="00B6741C">
            <w:pPr>
              <w:widowControl/>
              <w:autoSpaceDE/>
              <w:autoSpaceDN/>
              <w:adjustRightInd/>
              <w:rPr>
                <w:rFonts w:cs="Calibri"/>
                <w:iCs/>
              </w:rPr>
            </w:pPr>
            <w:r w:rsidRPr="00504A59">
              <w:rPr>
                <w:rFonts w:cs="Calibri"/>
                <w:iCs/>
              </w:rPr>
              <w:t>The OSHA Regional Office will monitor Wyoming OSHA’s performance in this area during quarterly meetings throughout FY 2025.</w:t>
            </w:r>
          </w:p>
        </w:tc>
        <w:tc>
          <w:tcPr>
            <w:tcW w:w="2316" w:type="dxa"/>
          </w:tcPr>
          <w:p w14:paraId="6E657435" w14:textId="4B4808AA" w:rsidR="00C654BB" w:rsidRPr="00504A59" w:rsidRDefault="00C654BB" w:rsidP="00B6741C">
            <w:pPr>
              <w:widowControl/>
              <w:autoSpaceDE/>
              <w:autoSpaceDN/>
              <w:adjustRightInd/>
              <w:rPr>
                <w:rFonts w:cs="Calibri"/>
                <w:iCs/>
              </w:rPr>
            </w:pPr>
            <w:r w:rsidRPr="00504A59">
              <w:rPr>
                <w:rFonts w:cs="Calibri"/>
                <w:iCs/>
              </w:rPr>
              <w:t>New</w:t>
            </w:r>
          </w:p>
        </w:tc>
      </w:tr>
    </w:tbl>
    <w:p w14:paraId="2352A70A" w14:textId="7478DFBA" w:rsidR="00E759AB" w:rsidRPr="001C1E47" w:rsidRDefault="00E759AB" w:rsidP="007A71AC">
      <w:pPr>
        <w:widowControl/>
        <w:autoSpaceDE/>
        <w:autoSpaceDN/>
        <w:adjustRightInd/>
        <w:rPr>
          <w:rFonts w:cs="Calibri"/>
          <w:i/>
          <w:sz w:val="22"/>
          <w:szCs w:val="22"/>
        </w:rPr>
      </w:pPr>
    </w:p>
    <w:p w14:paraId="332D7830" w14:textId="77777777" w:rsidR="00DB1FB9" w:rsidRDefault="00DB1FB9" w:rsidP="00237624">
      <w:pPr>
        <w:widowControl/>
        <w:autoSpaceDE/>
        <w:autoSpaceDN/>
        <w:adjustRightInd/>
        <w:rPr>
          <w:rFonts w:cs="Calibri"/>
          <w:iCs/>
          <w:color w:val="0070C0"/>
        </w:rPr>
        <w:sectPr w:rsidR="00DB1FB9" w:rsidSect="00476C08">
          <w:headerReference w:type="first" r:id="rId16"/>
          <w:footerReference w:type="first" r:id="rId17"/>
          <w:type w:val="continuous"/>
          <w:pgSz w:w="15840" w:h="12240" w:orient="landscape"/>
          <w:pgMar w:top="1440" w:right="1440" w:bottom="1440" w:left="1440" w:header="720" w:footer="720" w:gutter="0"/>
          <w:cols w:space="720"/>
          <w:titlePg/>
          <w:docGrid w:linePitch="360"/>
        </w:sectPr>
      </w:pPr>
    </w:p>
    <w:p w14:paraId="01176981" w14:textId="68C0F87B" w:rsidR="00747710" w:rsidRPr="00CA30B9" w:rsidRDefault="00747710" w:rsidP="00CA30B9">
      <w:pPr>
        <w:rPr>
          <w:rFonts w:cs="Calibri"/>
          <w:b/>
          <w:bCs/>
          <w:sz w:val="28"/>
          <w:szCs w:val="28"/>
        </w:rPr>
      </w:pPr>
      <w:bookmarkStart w:id="35" w:name="_Toc118905019"/>
      <w:bookmarkStart w:id="36" w:name="_Toc119418671"/>
      <w:r w:rsidRPr="00CA30B9">
        <w:rPr>
          <w:rFonts w:cs="Calibri"/>
          <w:b/>
          <w:bCs/>
          <w:sz w:val="28"/>
          <w:szCs w:val="28"/>
        </w:rPr>
        <w:lastRenderedPageBreak/>
        <w:t>Appendix C - Status of FY 20</w:t>
      </w:r>
      <w:r w:rsidR="00334B59" w:rsidRPr="00CA30B9">
        <w:rPr>
          <w:rFonts w:cs="Calibri"/>
          <w:b/>
          <w:bCs/>
          <w:sz w:val="28"/>
          <w:szCs w:val="28"/>
        </w:rPr>
        <w:t>23</w:t>
      </w:r>
      <w:r w:rsidRPr="00CA30B9">
        <w:rPr>
          <w:rFonts w:cs="Calibri"/>
          <w:b/>
          <w:bCs/>
          <w:sz w:val="28"/>
          <w:szCs w:val="28"/>
        </w:rPr>
        <w:t xml:space="preserve"> Findings and Recommendations</w:t>
      </w:r>
      <w:bookmarkEnd w:id="35"/>
      <w:bookmarkEnd w:id="36"/>
    </w:p>
    <w:p w14:paraId="3D850E81" w14:textId="649DEBE2" w:rsidR="00747710" w:rsidRPr="00747710" w:rsidRDefault="00747710" w:rsidP="005367D5">
      <w:r w:rsidRPr="00747710">
        <w:t xml:space="preserve">FY </w:t>
      </w:r>
      <w:r w:rsidRPr="00384435">
        <w:t>20</w:t>
      </w:r>
      <w:r w:rsidR="00A86EA3" w:rsidRPr="00384435">
        <w:t>24</w:t>
      </w:r>
      <w:r w:rsidRPr="00384435">
        <w:t xml:space="preserve"> </w:t>
      </w:r>
      <w:r w:rsidR="00384435" w:rsidRPr="00384435">
        <w:t>Wyoming OSHA</w:t>
      </w:r>
      <w:r w:rsidRPr="00384435">
        <w:t xml:space="preserve"> </w:t>
      </w:r>
      <w:r w:rsidRPr="00747710">
        <w:t>Follow-up FAME Report</w:t>
      </w:r>
    </w:p>
    <w:p w14:paraId="45E6B5CB" w14:textId="3ED906A9" w:rsidR="005367D5" w:rsidRDefault="005367D5" w:rsidP="007A71AC">
      <w:pPr>
        <w:widowControl/>
        <w:autoSpaceDE/>
        <w:autoSpaceDN/>
        <w:adjustRightInd/>
        <w:rPr>
          <w:rFonts w:cs="Calibri"/>
          <w:iCs/>
        </w:rPr>
      </w:pPr>
    </w:p>
    <w:tbl>
      <w:tblPr>
        <w:tblStyle w:val="TableGridLight"/>
        <w:tblpPr w:leftFromText="180" w:rightFromText="180" w:vertAnchor="page" w:horzAnchor="page" w:tblpX="1202" w:tblpY="2409"/>
        <w:tblW w:w="13585" w:type="dxa"/>
        <w:tblLayout w:type="fixed"/>
        <w:tblLook w:val="00A0" w:firstRow="1" w:lastRow="0" w:firstColumn="1" w:lastColumn="0" w:noHBand="0" w:noVBand="0"/>
      </w:tblPr>
      <w:tblGrid>
        <w:gridCol w:w="1435"/>
        <w:gridCol w:w="2098"/>
        <w:gridCol w:w="2250"/>
        <w:gridCol w:w="4112"/>
        <w:gridCol w:w="1440"/>
        <w:gridCol w:w="2250"/>
      </w:tblGrid>
      <w:tr w:rsidR="005367D5" w:rsidRPr="001C1E47" w14:paraId="04152CB8" w14:textId="77777777" w:rsidTr="00504A59">
        <w:trPr>
          <w:trHeight w:val="412"/>
        </w:trPr>
        <w:tc>
          <w:tcPr>
            <w:tcW w:w="1435" w:type="dxa"/>
          </w:tcPr>
          <w:p w14:paraId="0FAB4AA2" w14:textId="5C50623B" w:rsidR="005367D5" w:rsidRPr="001C1E47" w:rsidRDefault="005367D5" w:rsidP="00D93CB3">
            <w:pPr>
              <w:rPr>
                <w:rFonts w:cs="Calibri"/>
                <w:b/>
              </w:rPr>
            </w:pPr>
            <w:r w:rsidRPr="001C1E47">
              <w:rPr>
                <w:rFonts w:cs="Calibri"/>
                <w:b/>
              </w:rPr>
              <w:t>FY 20</w:t>
            </w:r>
            <w:r w:rsidR="00384435" w:rsidRPr="00384435">
              <w:rPr>
                <w:rFonts w:cs="Calibri"/>
                <w:b/>
              </w:rPr>
              <w:t>23</w:t>
            </w:r>
            <w:r w:rsidRPr="001C1E47">
              <w:rPr>
                <w:rFonts w:cs="Calibri"/>
                <w:b/>
              </w:rPr>
              <w:t>-#</w:t>
            </w:r>
          </w:p>
        </w:tc>
        <w:tc>
          <w:tcPr>
            <w:tcW w:w="2098" w:type="dxa"/>
          </w:tcPr>
          <w:p w14:paraId="395AE41F" w14:textId="77777777" w:rsidR="005367D5" w:rsidRPr="001C1E47" w:rsidRDefault="005367D5" w:rsidP="00D93CB3">
            <w:pPr>
              <w:rPr>
                <w:rFonts w:cs="Calibri"/>
                <w:b/>
              </w:rPr>
            </w:pPr>
            <w:r w:rsidRPr="001C1E47">
              <w:rPr>
                <w:rFonts w:cs="Calibri"/>
                <w:b/>
              </w:rPr>
              <w:t>Finding</w:t>
            </w:r>
          </w:p>
        </w:tc>
        <w:tc>
          <w:tcPr>
            <w:tcW w:w="2250" w:type="dxa"/>
          </w:tcPr>
          <w:p w14:paraId="6EEE46BC" w14:textId="77777777" w:rsidR="005367D5" w:rsidRPr="001C1E47" w:rsidRDefault="005367D5" w:rsidP="00D93CB3">
            <w:pPr>
              <w:rPr>
                <w:rFonts w:cs="Calibri"/>
                <w:b/>
              </w:rPr>
            </w:pPr>
            <w:r w:rsidRPr="001C1E47">
              <w:rPr>
                <w:rFonts w:cs="Calibri"/>
                <w:b/>
              </w:rPr>
              <w:t>Recommendation</w:t>
            </w:r>
          </w:p>
        </w:tc>
        <w:tc>
          <w:tcPr>
            <w:tcW w:w="4112" w:type="dxa"/>
          </w:tcPr>
          <w:p w14:paraId="461C9375" w14:textId="77777777" w:rsidR="005367D5" w:rsidRPr="001C1E47" w:rsidRDefault="005367D5" w:rsidP="00D93CB3">
            <w:pPr>
              <w:rPr>
                <w:rFonts w:cs="Calibri"/>
                <w:b/>
              </w:rPr>
            </w:pPr>
            <w:r w:rsidRPr="001C1E47">
              <w:rPr>
                <w:rFonts w:cs="Calibri"/>
                <w:b/>
              </w:rPr>
              <w:t>State Plan Corrective Action</w:t>
            </w:r>
          </w:p>
        </w:tc>
        <w:tc>
          <w:tcPr>
            <w:tcW w:w="1440" w:type="dxa"/>
          </w:tcPr>
          <w:p w14:paraId="5151BE67" w14:textId="77777777" w:rsidR="005367D5" w:rsidRPr="001C1E47" w:rsidRDefault="005367D5" w:rsidP="00D93CB3">
            <w:pPr>
              <w:rPr>
                <w:rFonts w:cs="Calibri"/>
                <w:b/>
              </w:rPr>
            </w:pPr>
            <w:r w:rsidRPr="001C1E47">
              <w:rPr>
                <w:rFonts w:cs="Calibri"/>
                <w:b/>
              </w:rPr>
              <w:t>Completion Date</w:t>
            </w:r>
          </w:p>
        </w:tc>
        <w:tc>
          <w:tcPr>
            <w:tcW w:w="2250" w:type="dxa"/>
          </w:tcPr>
          <w:p w14:paraId="48025986" w14:textId="77777777" w:rsidR="005367D5" w:rsidRPr="001C1E47" w:rsidRDefault="005367D5" w:rsidP="00D93CB3">
            <w:pPr>
              <w:rPr>
                <w:rFonts w:cs="Calibri"/>
                <w:b/>
              </w:rPr>
            </w:pPr>
            <w:r w:rsidRPr="001C1E47">
              <w:rPr>
                <w:rFonts w:cs="Calibri"/>
                <w:b/>
              </w:rPr>
              <w:t xml:space="preserve">Current Status </w:t>
            </w:r>
          </w:p>
          <w:p w14:paraId="1D3136EF" w14:textId="77777777" w:rsidR="005367D5" w:rsidRPr="001C1E47" w:rsidRDefault="005367D5" w:rsidP="00D93CB3">
            <w:pPr>
              <w:rPr>
                <w:rFonts w:cs="Calibri"/>
                <w:b/>
              </w:rPr>
            </w:pPr>
            <w:r w:rsidRPr="001C1E47">
              <w:rPr>
                <w:rFonts w:cs="Calibri"/>
                <w:b/>
              </w:rPr>
              <w:t>and Date</w:t>
            </w:r>
          </w:p>
        </w:tc>
      </w:tr>
      <w:tr w:rsidR="005367D5" w:rsidRPr="001C1E47" w14:paraId="7244A508" w14:textId="77777777" w:rsidTr="00504A59">
        <w:trPr>
          <w:trHeight w:val="412"/>
        </w:trPr>
        <w:tc>
          <w:tcPr>
            <w:tcW w:w="1435" w:type="dxa"/>
          </w:tcPr>
          <w:p w14:paraId="3B6143AB" w14:textId="69EA09FC" w:rsidR="005367D5" w:rsidRPr="00605BF8" w:rsidRDefault="000E78E3" w:rsidP="000E78E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bCs/>
              </w:rPr>
            </w:pPr>
            <w:r w:rsidRPr="00605BF8">
              <w:rPr>
                <w:rFonts w:asciiTheme="minorHAnsi" w:hAnsiTheme="minorHAnsi" w:cstheme="minorHAnsi"/>
              </w:rPr>
              <w:t>FY 2023-01</w:t>
            </w:r>
            <w:r w:rsidR="005367D5" w:rsidRPr="00605BF8">
              <w:rPr>
                <w:rFonts w:eastAsia="PMingLiU" w:cs="Calibri"/>
                <w:b/>
                <w:bCs/>
              </w:rPr>
              <w:t> </w:t>
            </w:r>
          </w:p>
        </w:tc>
        <w:tc>
          <w:tcPr>
            <w:tcW w:w="2098" w:type="dxa"/>
          </w:tcPr>
          <w:p w14:paraId="1D6DD323" w14:textId="3154A6C1" w:rsidR="005367D5" w:rsidRPr="00605BF8" w:rsidRDefault="000E78E3" w:rsidP="000E78E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r w:rsidRPr="00605BF8">
              <w:rPr>
                <w:rFonts w:asciiTheme="minorHAnsi" w:hAnsiTheme="minorHAnsi" w:cstheme="minorHAnsi"/>
              </w:rPr>
              <w:t xml:space="preserve">In FY 2023, Wyoming OSHA’s safety inspection in-compliance percentage of 69.09% significantly exceeded the FRL range of 25.38% to 38.08%.  </w:t>
            </w:r>
            <w:r w:rsidR="005367D5" w:rsidRPr="00605BF8">
              <w:rPr>
                <w:rFonts w:eastAsia="PMingLiU" w:cs="Calibri"/>
                <w:b/>
              </w:rPr>
              <w:t> </w:t>
            </w:r>
          </w:p>
        </w:tc>
        <w:tc>
          <w:tcPr>
            <w:tcW w:w="2250" w:type="dxa"/>
          </w:tcPr>
          <w:p w14:paraId="19499B4B" w14:textId="5D3412C4" w:rsidR="005367D5" w:rsidRPr="00605BF8" w:rsidRDefault="000E78E3" w:rsidP="000E78E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r w:rsidRPr="00605BF8">
              <w:rPr>
                <w:rFonts w:asciiTheme="minorHAnsi" w:hAnsiTheme="minorHAnsi" w:cstheme="minorHAnsi"/>
              </w:rPr>
              <w:t>Wyoming OSHA should determine the cause and take action to decrease its high in-compliance percentage for safety inspections.</w:t>
            </w:r>
            <w:r w:rsidR="005367D5" w:rsidRPr="00605BF8">
              <w:rPr>
                <w:rFonts w:eastAsia="PMingLiU" w:cs="Calibri"/>
                <w:b/>
              </w:rPr>
              <w:t> </w:t>
            </w:r>
          </w:p>
        </w:tc>
        <w:tc>
          <w:tcPr>
            <w:tcW w:w="4112" w:type="dxa"/>
          </w:tcPr>
          <w:p w14:paraId="37D73ADA" w14:textId="168D8A27" w:rsidR="005367D5" w:rsidRPr="00605BF8" w:rsidRDefault="007803B2" w:rsidP="007803B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605BF8">
              <w:rPr>
                <w:rFonts w:asciiTheme="minorHAnsi" w:hAnsiTheme="minorHAnsi" w:cstheme="minorHAnsi"/>
              </w:rPr>
              <w:t xml:space="preserve">Wyoming OSHA analyzed the safety inspection data and found that a driver for the high in-compliance percentage was multi-employer worksite inspections.  </w:t>
            </w:r>
            <w:r w:rsidR="008C269E" w:rsidRPr="00605BF8">
              <w:rPr>
                <w:rFonts w:asciiTheme="minorHAnsi" w:hAnsiTheme="minorHAnsi" w:cstheme="minorHAnsi"/>
              </w:rPr>
              <w:t xml:space="preserve">The State </w:t>
            </w:r>
            <w:r w:rsidR="000136CB" w:rsidRPr="00605BF8">
              <w:rPr>
                <w:rFonts w:asciiTheme="minorHAnsi" w:hAnsiTheme="minorHAnsi" w:cstheme="minorHAnsi"/>
              </w:rPr>
              <w:t>Plan</w:t>
            </w:r>
            <w:r w:rsidRPr="00605BF8">
              <w:rPr>
                <w:rFonts w:asciiTheme="minorHAnsi" w:hAnsiTheme="minorHAnsi" w:cstheme="minorHAnsi"/>
              </w:rPr>
              <w:t xml:space="preserve"> retrained CSHOs on effective hazard recognition during programmed and unprogrammed inspections.  Case file review by management ensure</w:t>
            </w:r>
            <w:r w:rsidR="00E274E7" w:rsidRPr="00605BF8">
              <w:rPr>
                <w:rFonts w:asciiTheme="minorHAnsi" w:hAnsiTheme="minorHAnsi" w:cstheme="minorHAnsi"/>
              </w:rPr>
              <w:t>s</w:t>
            </w:r>
            <w:r w:rsidRPr="00605BF8">
              <w:rPr>
                <w:rFonts w:asciiTheme="minorHAnsi" w:hAnsiTheme="minorHAnsi" w:cstheme="minorHAnsi"/>
              </w:rPr>
              <w:t xml:space="preserve"> that hazard recognition during multi-employer worksite inspections remains effective.</w:t>
            </w:r>
            <w:r w:rsidR="005367D5" w:rsidRPr="00605BF8">
              <w:rPr>
                <w:rFonts w:asciiTheme="minorHAnsi" w:eastAsia="PMingLiU" w:hAnsiTheme="minorHAnsi" w:cstheme="minorHAnsi"/>
                <w:b/>
              </w:rPr>
              <w:t> </w:t>
            </w:r>
          </w:p>
        </w:tc>
        <w:tc>
          <w:tcPr>
            <w:tcW w:w="1440" w:type="dxa"/>
          </w:tcPr>
          <w:p w14:paraId="56F99649" w14:textId="4390ACB8" w:rsidR="005367D5" w:rsidRPr="00605BF8" w:rsidRDefault="00AD69CC"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bookmarkStart w:id="37" w:name="OLE_LINK1"/>
            <w:r w:rsidRPr="00605BF8">
              <w:rPr>
                <w:rFonts w:eastAsia="PMingLiU" w:cs="Calibri"/>
                <w:bCs/>
              </w:rPr>
              <w:t xml:space="preserve">July 30, </w:t>
            </w:r>
            <w:proofErr w:type="gramStart"/>
            <w:r w:rsidRPr="00605BF8">
              <w:rPr>
                <w:rFonts w:eastAsia="PMingLiU" w:cs="Calibri"/>
                <w:bCs/>
              </w:rPr>
              <w:t>2024</w:t>
            </w:r>
            <w:proofErr w:type="gramEnd"/>
            <w:r w:rsidR="005367D5" w:rsidRPr="00605BF8">
              <w:rPr>
                <w:rFonts w:eastAsia="PMingLiU" w:cs="Calibri"/>
                <w:bCs/>
              </w:rPr>
              <w:t> </w:t>
            </w:r>
            <w:bookmarkEnd w:id="37"/>
          </w:p>
        </w:tc>
        <w:tc>
          <w:tcPr>
            <w:tcW w:w="2250" w:type="dxa"/>
          </w:tcPr>
          <w:p w14:paraId="4007473C" w14:textId="09CEDC65" w:rsidR="005367D5" w:rsidRPr="00605BF8" w:rsidRDefault="001A12F6" w:rsidP="00616A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605BF8">
              <w:rPr>
                <w:rFonts w:eastAsia="PMingLiU" w:cs="Calibri"/>
                <w:bCs/>
              </w:rPr>
              <w:t>Completed</w:t>
            </w:r>
          </w:p>
        </w:tc>
      </w:tr>
      <w:tr w:rsidR="005367D5" w:rsidRPr="001C1E47" w14:paraId="4703F521" w14:textId="77777777" w:rsidTr="00504A59">
        <w:trPr>
          <w:trHeight w:val="385"/>
        </w:trPr>
        <w:tc>
          <w:tcPr>
            <w:tcW w:w="1435" w:type="dxa"/>
          </w:tcPr>
          <w:p w14:paraId="4E7C14BF" w14:textId="2A5CAF38" w:rsidR="005367D5" w:rsidRPr="00605BF8" w:rsidRDefault="000E78E3" w:rsidP="000E78E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bCs/>
              </w:rPr>
            </w:pPr>
            <w:r w:rsidRPr="00605BF8">
              <w:rPr>
                <w:rFonts w:asciiTheme="minorHAnsi" w:hAnsiTheme="minorHAnsi" w:cstheme="minorHAnsi"/>
              </w:rPr>
              <w:t>FY 2023-02</w:t>
            </w:r>
            <w:r w:rsidR="005367D5" w:rsidRPr="00605BF8">
              <w:rPr>
                <w:rFonts w:eastAsia="PMingLiU" w:cs="Calibri"/>
                <w:b/>
                <w:bCs/>
              </w:rPr>
              <w:t> </w:t>
            </w:r>
          </w:p>
        </w:tc>
        <w:tc>
          <w:tcPr>
            <w:tcW w:w="2098" w:type="dxa"/>
          </w:tcPr>
          <w:p w14:paraId="0934D282" w14:textId="704E66B3" w:rsidR="005367D5" w:rsidRPr="00605BF8" w:rsidRDefault="005A1123" w:rsidP="005A11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r w:rsidRPr="00605BF8">
              <w:rPr>
                <w:rFonts w:asciiTheme="minorHAnsi" w:hAnsiTheme="minorHAnsi" w:cstheme="minorHAnsi"/>
              </w:rPr>
              <w:t>In FY 2023, Wyoming OSHA’s health inspection in-compliance percentage of 72.73% significantly exceeded the FRL range of 35.06% to 52.58%.</w:t>
            </w:r>
            <w:r w:rsidR="005367D5" w:rsidRPr="00605BF8">
              <w:rPr>
                <w:rFonts w:eastAsia="PMingLiU" w:cs="Calibri"/>
                <w:b/>
              </w:rPr>
              <w:t> </w:t>
            </w:r>
          </w:p>
        </w:tc>
        <w:tc>
          <w:tcPr>
            <w:tcW w:w="2250" w:type="dxa"/>
          </w:tcPr>
          <w:p w14:paraId="4A7C8703" w14:textId="372EE5BF" w:rsidR="005367D5" w:rsidRPr="00605BF8" w:rsidRDefault="005A1123" w:rsidP="005A112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r w:rsidRPr="00605BF8">
              <w:rPr>
                <w:rFonts w:asciiTheme="minorHAnsi" w:hAnsiTheme="minorHAnsi" w:cstheme="minorHAnsi"/>
              </w:rPr>
              <w:t>Wyoming OSHA should determine the cause and take action to decrease its high in-compliance percentage for health inspections.</w:t>
            </w:r>
            <w:r w:rsidR="005367D5" w:rsidRPr="00605BF8">
              <w:rPr>
                <w:rFonts w:eastAsia="PMingLiU" w:cs="Calibri"/>
                <w:b/>
              </w:rPr>
              <w:t> </w:t>
            </w:r>
          </w:p>
        </w:tc>
        <w:tc>
          <w:tcPr>
            <w:tcW w:w="4112" w:type="dxa"/>
          </w:tcPr>
          <w:p w14:paraId="26546A5D" w14:textId="2E97BDD0" w:rsidR="005367D5" w:rsidRPr="00605BF8" w:rsidRDefault="00706D58" w:rsidP="00706D5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605BF8">
              <w:rPr>
                <w:rFonts w:eastAsia="PMingLiU" w:cs="Calibri"/>
                <w:bCs/>
              </w:rPr>
              <w:t xml:space="preserve">Wyoming OSHA analyzed the health inspection data and could not identify a single driver for the high in-compliance percentage.  </w:t>
            </w:r>
            <w:r w:rsidR="0061152F" w:rsidRPr="00605BF8">
              <w:rPr>
                <w:rFonts w:eastAsia="PMingLiU" w:cs="Calibri"/>
                <w:bCs/>
              </w:rPr>
              <w:t>The State Plan</w:t>
            </w:r>
            <w:r w:rsidRPr="00605BF8">
              <w:rPr>
                <w:rFonts w:eastAsia="PMingLiU" w:cs="Calibri"/>
                <w:bCs/>
              </w:rPr>
              <w:t xml:space="preserve"> retrained for hazard recognition to identify when and if an inspection should be expanded to address additional hazards observed.  </w:t>
            </w:r>
            <w:r w:rsidR="0061152F" w:rsidRPr="00605BF8">
              <w:rPr>
                <w:rFonts w:eastAsia="PMingLiU" w:cs="Calibri"/>
                <w:bCs/>
              </w:rPr>
              <w:t>The State Plan</w:t>
            </w:r>
            <w:r w:rsidRPr="00605BF8">
              <w:rPr>
                <w:rFonts w:eastAsia="PMingLiU" w:cs="Calibri"/>
                <w:bCs/>
              </w:rPr>
              <w:t xml:space="preserve"> </w:t>
            </w:r>
            <w:r w:rsidR="009B319D">
              <w:rPr>
                <w:rFonts w:eastAsia="PMingLiU" w:cs="Calibri"/>
                <w:bCs/>
              </w:rPr>
              <w:t>also</w:t>
            </w:r>
            <w:r w:rsidRPr="00605BF8">
              <w:rPr>
                <w:rFonts w:eastAsia="PMingLiU" w:cs="Calibri"/>
                <w:bCs/>
              </w:rPr>
              <w:t xml:space="preserve"> </w:t>
            </w:r>
            <w:r w:rsidR="00982ADD">
              <w:rPr>
                <w:rFonts w:eastAsia="PMingLiU" w:cs="Calibri"/>
                <w:bCs/>
              </w:rPr>
              <w:t>review</w:t>
            </w:r>
            <w:r w:rsidR="00081352">
              <w:rPr>
                <w:rFonts w:eastAsia="PMingLiU" w:cs="Calibri"/>
                <w:bCs/>
              </w:rPr>
              <w:t>s</w:t>
            </w:r>
            <w:r w:rsidR="00C754F6">
              <w:rPr>
                <w:rFonts w:eastAsia="PMingLiU" w:cs="Calibri"/>
                <w:bCs/>
              </w:rPr>
              <w:t xml:space="preserve"> </w:t>
            </w:r>
            <w:r w:rsidRPr="00605BF8">
              <w:rPr>
                <w:rFonts w:eastAsia="PMingLiU" w:cs="Calibri"/>
                <w:bCs/>
              </w:rPr>
              <w:t>case file</w:t>
            </w:r>
            <w:r w:rsidR="00C754F6">
              <w:rPr>
                <w:rFonts w:eastAsia="PMingLiU" w:cs="Calibri"/>
                <w:bCs/>
              </w:rPr>
              <w:t>s</w:t>
            </w:r>
            <w:r w:rsidRPr="00605BF8">
              <w:rPr>
                <w:rFonts w:eastAsia="PMingLiU" w:cs="Calibri"/>
                <w:bCs/>
              </w:rPr>
              <w:t xml:space="preserve"> to identify trends in in-compliance health cases</w:t>
            </w:r>
            <w:r w:rsidR="00026CEE">
              <w:rPr>
                <w:rFonts w:eastAsia="PMingLiU" w:cs="Calibri"/>
                <w:bCs/>
              </w:rPr>
              <w:t xml:space="preserve"> on a continuous basis</w:t>
            </w:r>
            <w:r w:rsidR="00C754F6">
              <w:rPr>
                <w:rFonts w:eastAsia="PMingLiU" w:cs="Calibri"/>
                <w:bCs/>
              </w:rPr>
              <w:t>.</w:t>
            </w:r>
            <w:r w:rsidRPr="00605BF8">
              <w:rPr>
                <w:rFonts w:eastAsia="PMingLiU" w:cs="Calibri"/>
                <w:bCs/>
              </w:rPr>
              <w:t xml:space="preserve"> </w:t>
            </w:r>
            <w:r w:rsidR="00026CEE">
              <w:rPr>
                <w:rFonts w:eastAsia="PMingLiU" w:cs="Calibri"/>
                <w:bCs/>
              </w:rPr>
              <w:t xml:space="preserve">  </w:t>
            </w:r>
            <w:r w:rsidR="003459EE">
              <w:rPr>
                <w:rFonts w:eastAsia="PMingLiU" w:cs="Calibri"/>
                <w:bCs/>
              </w:rPr>
              <w:t>Still</w:t>
            </w:r>
            <w:r w:rsidR="0098128E" w:rsidRPr="00605BF8">
              <w:rPr>
                <w:rFonts w:eastAsia="PMingLiU" w:cs="Calibri"/>
                <w:bCs/>
              </w:rPr>
              <w:t>,</w:t>
            </w:r>
            <w:r w:rsidR="00585B1A" w:rsidRPr="00605BF8">
              <w:rPr>
                <w:rFonts w:eastAsia="PMingLiU" w:cs="Calibri"/>
                <w:bCs/>
              </w:rPr>
              <w:t xml:space="preserve"> </w:t>
            </w:r>
            <w:r w:rsidR="00EB1889" w:rsidRPr="00605BF8">
              <w:rPr>
                <w:rFonts w:cs="Calibri"/>
              </w:rPr>
              <w:t xml:space="preserve">the </w:t>
            </w:r>
            <w:r w:rsidR="006C12AC" w:rsidRPr="00605BF8">
              <w:rPr>
                <w:rFonts w:eastAsia="PMingLiU" w:cs="Calibri"/>
                <w:bCs/>
              </w:rPr>
              <w:t xml:space="preserve">in-compliance percentage for FY 2024 was approximately eight percent </w:t>
            </w:r>
            <w:r w:rsidR="006124C9" w:rsidRPr="00605BF8">
              <w:rPr>
                <w:rFonts w:eastAsia="PMingLiU" w:cs="Calibri"/>
                <w:bCs/>
              </w:rPr>
              <w:t>higher</w:t>
            </w:r>
            <w:r w:rsidR="006C12AC" w:rsidRPr="00605BF8">
              <w:rPr>
                <w:rFonts w:eastAsia="PMingLiU" w:cs="Calibri"/>
                <w:bCs/>
              </w:rPr>
              <w:t xml:space="preserve"> than the percentage for FY 2023.</w:t>
            </w:r>
          </w:p>
        </w:tc>
        <w:tc>
          <w:tcPr>
            <w:tcW w:w="1440" w:type="dxa"/>
          </w:tcPr>
          <w:p w14:paraId="0F813752" w14:textId="3A67B2B5" w:rsidR="005367D5" w:rsidRPr="00605BF8" w:rsidRDefault="0050685E"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r w:rsidRPr="00605BF8">
              <w:rPr>
                <w:rFonts w:eastAsia="PMingLiU" w:cs="Calibri"/>
                <w:bCs/>
              </w:rPr>
              <w:t xml:space="preserve">Not </w:t>
            </w:r>
            <w:r w:rsidR="005179CD" w:rsidRPr="00605BF8">
              <w:rPr>
                <w:rFonts w:eastAsia="PMingLiU" w:cs="Calibri"/>
                <w:bCs/>
              </w:rPr>
              <w:t>Applicable</w:t>
            </w:r>
            <w:r w:rsidR="005367D5" w:rsidRPr="00605BF8">
              <w:rPr>
                <w:rFonts w:eastAsia="PMingLiU" w:cs="Calibri"/>
                <w:b/>
              </w:rPr>
              <w:t> </w:t>
            </w:r>
          </w:p>
        </w:tc>
        <w:tc>
          <w:tcPr>
            <w:tcW w:w="2250" w:type="dxa"/>
          </w:tcPr>
          <w:p w14:paraId="6B340DD8" w14:textId="69330AE1" w:rsidR="005367D5" w:rsidRPr="00605BF8" w:rsidRDefault="005179CD" w:rsidP="00616A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605BF8">
              <w:rPr>
                <w:rFonts w:eastAsia="PMingLiU" w:cs="Calibri"/>
                <w:bCs/>
              </w:rPr>
              <w:t>Open</w:t>
            </w:r>
            <w:r w:rsidR="00084F8C" w:rsidRPr="00605BF8">
              <w:rPr>
                <w:rFonts w:eastAsia="PMingLiU" w:cs="Calibri"/>
                <w:bCs/>
              </w:rPr>
              <w:t>, March 2025</w:t>
            </w:r>
            <w:r w:rsidR="005367D5" w:rsidRPr="00605BF8">
              <w:rPr>
                <w:rFonts w:eastAsia="PMingLiU" w:cs="Calibri"/>
                <w:bCs/>
              </w:rPr>
              <w:t> </w:t>
            </w:r>
          </w:p>
        </w:tc>
      </w:tr>
    </w:tbl>
    <w:p w14:paraId="5A163C8E" w14:textId="688DDB37" w:rsidR="000A134A" w:rsidRPr="008164E8" w:rsidRDefault="000A134A" w:rsidP="00AD69CC">
      <w:pPr>
        <w:widowControl/>
        <w:autoSpaceDE/>
        <w:autoSpaceDN/>
        <w:adjustRightInd/>
        <w:rPr>
          <w:rFonts w:cs="Calibri"/>
          <w:iCs/>
          <w:color w:val="0070C0"/>
        </w:rPr>
        <w:sectPr w:rsidR="000A134A" w:rsidRPr="008164E8" w:rsidSect="00476C08">
          <w:headerReference w:type="default" r:id="rId18"/>
          <w:headerReference w:type="first" r:id="rId19"/>
          <w:footerReference w:type="first" r:id="rId20"/>
          <w:pgSz w:w="15840" w:h="12240" w:orient="landscape"/>
          <w:pgMar w:top="1440" w:right="1440" w:bottom="1440" w:left="1440" w:header="630" w:footer="720" w:gutter="0"/>
          <w:cols w:space="720"/>
          <w:titlePg/>
          <w:docGrid w:linePitch="360"/>
        </w:sectPr>
      </w:pPr>
    </w:p>
    <w:p w14:paraId="1B0B407C" w14:textId="7A465D91" w:rsidR="00690C0D" w:rsidRPr="00D93CB3" w:rsidRDefault="00690C0D" w:rsidP="006A2768">
      <w:pPr>
        <w:pStyle w:val="Heading3"/>
        <w:numPr>
          <w:ilvl w:val="0"/>
          <w:numId w:val="0"/>
        </w:numPr>
        <w:rPr>
          <w:color w:val="0070C0"/>
        </w:rPr>
      </w:pPr>
      <w:bookmarkStart w:id="38" w:name="_Toc119418672"/>
      <w:r w:rsidRPr="008E4054">
        <w:lastRenderedPageBreak/>
        <w:t xml:space="preserve">Appendix D – </w:t>
      </w:r>
      <w:bookmarkStart w:id="39" w:name="_Hlk119349018"/>
      <w:r w:rsidRPr="008E4054">
        <w:t>FY 20</w:t>
      </w:r>
      <w:r w:rsidR="001A0F7F">
        <w:t>24</w:t>
      </w:r>
      <w:r w:rsidRPr="008E4054">
        <w:t xml:space="preserve"> State Activity Mandated Measures (SAMM) Report</w:t>
      </w:r>
      <w:bookmarkEnd w:id="38"/>
      <w:bookmarkEnd w:id="39"/>
    </w:p>
    <w:p w14:paraId="19B594E3" w14:textId="3B180E31" w:rsidR="00690C0D" w:rsidRPr="000767C0" w:rsidRDefault="00690C0D" w:rsidP="00476C08">
      <w:pPr>
        <w:pStyle w:val="Header"/>
      </w:pPr>
      <w:r w:rsidRPr="00042327">
        <w:t xml:space="preserve">FY </w:t>
      </w:r>
      <w:r>
        <w:t>20</w:t>
      </w:r>
      <w:r w:rsidR="001709C3" w:rsidRPr="001709C3">
        <w:t>24</w:t>
      </w:r>
      <w:r w:rsidRPr="001709C3">
        <w:t xml:space="preserve"> </w:t>
      </w:r>
      <w:r w:rsidR="001709C3">
        <w:t>Wyoming OSHA</w:t>
      </w:r>
      <w:r w:rsidRPr="00476C08">
        <w:rPr>
          <w:color w:val="0070C0"/>
        </w:rPr>
        <w:t xml:space="preserve"> </w:t>
      </w:r>
      <w:r>
        <w:t xml:space="preserve">Follow-up </w:t>
      </w:r>
      <w:r w:rsidRPr="00042327">
        <w:t>FAME Report</w:t>
      </w:r>
    </w:p>
    <w:p w14:paraId="221DF49F" w14:textId="77777777" w:rsidR="000A134A" w:rsidRPr="001C1E47" w:rsidRDefault="000A134A" w:rsidP="007A71AC">
      <w:pPr>
        <w:widowControl/>
        <w:autoSpaceDE/>
        <w:autoSpaceDN/>
        <w:adjustRightInd/>
        <w:rPr>
          <w:rFonts w:cs="Calibri"/>
          <w:b/>
          <w:color w:val="1F497D"/>
          <w:sz w:val="28"/>
          <w:szCs w:val="28"/>
        </w:rPr>
      </w:pPr>
    </w:p>
    <w:tbl>
      <w:tblPr>
        <w:tblStyle w:val="GridTable4"/>
        <w:tblW w:w="10350" w:type="dxa"/>
        <w:tblInd w:w="-365" w:type="dxa"/>
        <w:tblLook w:val="06A0" w:firstRow="1" w:lastRow="0" w:firstColumn="1" w:lastColumn="0" w:noHBand="1" w:noVBand="1"/>
        <w:tblCaption w:val="FY 20XX SAMM Report"/>
        <w:tblDescription w:val="Appendix D"/>
      </w:tblPr>
      <w:tblGrid>
        <w:gridCol w:w="966"/>
        <w:gridCol w:w="2439"/>
        <w:gridCol w:w="1310"/>
        <w:gridCol w:w="1289"/>
        <w:gridCol w:w="4346"/>
      </w:tblGrid>
      <w:tr w:rsidR="00634539" w:rsidRPr="00181CC5" w14:paraId="4B607DC1" w14:textId="77777777" w:rsidTr="00CE78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6" w:type="dxa"/>
            <w:tcBorders>
              <w:right w:val="single" w:sz="4" w:space="0" w:color="000000" w:themeColor="text1"/>
            </w:tcBorders>
            <w:shd w:val="clear" w:color="auto" w:fill="auto"/>
          </w:tcPr>
          <w:p w14:paraId="57458A14" w14:textId="77777777" w:rsidR="00634539" w:rsidRPr="00181CC5"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val="0"/>
                <w:color w:val="000000" w:themeColor="text1"/>
                <w:sz w:val="22"/>
                <w:szCs w:val="22"/>
              </w:rPr>
            </w:pPr>
            <w:bookmarkStart w:id="40" w:name="_Hlk179982501"/>
            <w:r w:rsidRPr="00181CC5">
              <w:rPr>
                <w:rFonts w:asciiTheme="minorHAnsi" w:eastAsia="PMingLiU" w:hAnsiTheme="minorHAnsi" w:cstheme="minorHAnsi"/>
                <w:bCs w:val="0"/>
                <w:color w:val="000000" w:themeColor="text1"/>
                <w:sz w:val="22"/>
                <w:szCs w:val="22"/>
              </w:rPr>
              <w:t>SAMM Number</w:t>
            </w:r>
          </w:p>
        </w:tc>
        <w:tc>
          <w:tcPr>
            <w:tcW w:w="2439" w:type="dxa"/>
            <w:tcBorders>
              <w:left w:val="single" w:sz="4" w:space="0" w:color="000000" w:themeColor="text1"/>
              <w:right w:val="single" w:sz="4" w:space="0" w:color="000000" w:themeColor="text1"/>
            </w:tcBorders>
            <w:shd w:val="clear" w:color="auto" w:fill="auto"/>
          </w:tcPr>
          <w:p w14:paraId="21CEF63D" w14:textId="77777777" w:rsidR="00634539" w:rsidRPr="00181CC5"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sz w:val="22"/>
                <w:szCs w:val="22"/>
              </w:rPr>
            </w:pPr>
            <w:r w:rsidRPr="00181CC5">
              <w:rPr>
                <w:rFonts w:asciiTheme="minorHAnsi" w:eastAsia="PMingLiU" w:hAnsiTheme="minorHAnsi" w:cstheme="minorHAnsi"/>
                <w:bCs w:val="0"/>
                <w:color w:val="000000" w:themeColor="text1"/>
                <w:sz w:val="22"/>
                <w:szCs w:val="22"/>
              </w:rPr>
              <w:t>SAMM Name</w:t>
            </w:r>
          </w:p>
        </w:tc>
        <w:tc>
          <w:tcPr>
            <w:tcW w:w="1310" w:type="dxa"/>
            <w:tcBorders>
              <w:left w:val="single" w:sz="4" w:space="0" w:color="000000" w:themeColor="text1"/>
              <w:right w:val="single" w:sz="4" w:space="0" w:color="000000" w:themeColor="text1"/>
            </w:tcBorders>
            <w:shd w:val="clear" w:color="auto" w:fill="auto"/>
          </w:tcPr>
          <w:p w14:paraId="1BC934E4" w14:textId="77777777" w:rsidR="00634539" w:rsidRPr="00181CC5"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sz w:val="22"/>
                <w:szCs w:val="22"/>
              </w:rPr>
            </w:pPr>
            <w:r w:rsidRPr="00181CC5">
              <w:rPr>
                <w:rFonts w:asciiTheme="minorHAnsi" w:eastAsia="PMingLiU" w:hAnsiTheme="minorHAnsi" w:cstheme="minorHAnsi"/>
                <w:bCs w:val="0"/>
                <w:color w:val="000000" w:themeColor="text1"/>
                <w:sz w:val="22"/>
                <w:szCs w:val="22"/>
              </w:rPr>
              <w:t>State Plan Data</w:t>
            </w:r>
          </w:p>
        </w:tc>
        <w:tc>
          <w:tcPr>
            <w:tcW w:w="1289" w:type="dxa"/>
            <w:tcBorders>
              <w:left w:val="single" w:sz="4" w:space="0" w:color="000000" w:themeColor="text1"/>
              <w:right w:val="single" w:sz="4" w:space="0" w:color="000000" w:themeColor="text1"/>
            </w:tcBorders>
            <w:shd w:val="clear" w:color="auto" w:fill="auto"/>
          </w:tcPr>
          <w:p w14:paraId="10FEC12F" w14:textId="77777777" w:rsidR="00634539" w:rsidRPr="00181CC5"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sz w:val="22"/>
                <w:szCs w:val="22"/>
              </w:rPr>
            </w:pPr>
            <w:r w:rsidRPr="00181CC5">
              <w:rPr>
                <w:rFonts w:asciiTheme="minorHAnsi" w:eastAsia="PMingLiU" w:hAnsiTheme="minorHAnsi" w:cstheme="minorHAnsi"/>
                <w:bCs w:val="0"/>
                <w:color w:val="000000" w:themeColor="text1"/>
                <w:sz w:val="22"/>
                <w:szCs w:val="22"/>
              </w:rPr>
              <w:t>Further Review Level</w:t>
            </w:r>
          </w:p>
        </w:tc>
        <w:tc>
          <w:tcPr>
            <w:tcW w:w="4346" w:type="dxa"/>
            <w:tcBorders>
              <w:left w:val="single" w:sz="4" w:space="0" w:color="000000" w:themeColor="text1"/>
            </w:tcBorders>
            <w:shd w:val="clear" w:color="auto" w:fill="auto"/>
          </w:tcPr>
          <w:p w14:paraId="1845DDF3" w14:textId="77777777" w:rsidR="00634539" w:rsidRPr="00181CC5"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sz w:val="22"/>
                <w:szCs w:val="22"/>
              </w:rPr>
            </w:pPr>
            <w:r w:rsidRPr="00181CC5">
              <w:rPr>
                <w:rFonts w:asciiTheme="minorHAnsi" w:eastAsia="PMingLiU" w:hAnsiTheme="minorHAnsi" w:cstheme="minorHAnsi"/>
                <w:bCs w:val="0"/>
                <w:color w:val="000000" w:themeColor="text1"/>
                <w:sz w:val="22"/>
                <w:szCs w:val="22"/>
              </w:rPr>
              <w:t>Notes</w:t>
            </w:r>
          </w:p>
        </w:tc>
      </w:tr>
      <w:tr w:rsidR="00634539" w:rsidRPr="00592097" w14:paraId="23E15083"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4FC54415"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sz w:val="22"/>
                <w:szCs w:val="22"/>
              </w:rPr>
            </w:pPr>
            <w:r w:rsidRPr="00592097">
              <w:rPr>
                <w:rFonts w:asciiTheme="minorHAnsi" w:eastAsia="PMingLiU" w:hAnsiTheme="minorHAnsi" w:cstheme="minorHAnsi"/>
                <w:sz w:val="22"/>
                <w:szCs w:val="22"/>
              </w:rPr>
              <w:t>1a</w:t>
            </w:r>
          </w:p>
        </w:tc>
        <w:tc>
          <w:tcPr>
            <w:tcW w:w="2439" w:type="dxa"/>
          </w:tcPr>
          <w:p w14:paraId="5DD1B3D7"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 xml:space="preserve">Average number of </w:t>
            </w:r>
            <w:proofErr w:type="gramStart"/>
            <w:r w:rsidRPr="00592097">
              <w:rPr>
                <w:rFonts w:asciiTheme="minorHAnsi" w:hAnsiTheme="minorHAnsi" w:cstheme="minorHAnsi"/>
                <w:sz w:val="22"/>
                <w:szCs w:val="22"/>
              </w:rPr>
              <w:t>work days</w:t>
            </w:r>
            <w:proofErr w:type="gramEnd"/>
            <w:r w:rsidRPr="00592097">
              <w:rPr>
                <w:rFonts w:asciiTheme="minorHAnsi" w:hAnsiTheme="minorHAnsi" w:cstheme="minorHAnsi"/>
                <w:sz w:val="22"/>
                <w:szCs w:val="22"/>
              </w:rPr>
              <w:t xml:space="preserve"> to initiate complaint inspections (state formula)</w:t>
            </w:r>
          </w:p>
        </w:tc>
        <w:tc>
          <w:tcPr>
            <w:tcW w:w="1310" w:type="dxa"/>
          </w:tcPr>
          <w:p w14:paraId="50ED339E" w14:textId="345E7984" w:rsidR="00634539" w:rsidRPr="00592097" w:rsidRDefault="00C65D5E"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16.96</w:t>
            </w:r>
          </w:p>
        </w:tc>
        <w:tc>
          <w:tcPr>
            <w:tcW w:w="1289" w:type="dxa"/>
          </w:tcPr>
          <w:p w14:paraId="36E21F8C" w14:textId="260C60C6" w:rsidR="00634539" w:rsidRPr="00592097" w:rsidRDefault="001709C3"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16</w:t>
            </w:r>
          </w:p>
        </w:tc>
        <w:tc>
          <w:tcPr>
            <w:tcW w:w="4346" w:type="dxa"/>
          </w:tcPr>
          <w:p w14:paraId="1BE10DF6"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The further review level is negotiated by OSHA and the State Plan.</w:t>
            </w:r>
          </w:p>
        </w:tc>
      </w:tr>
      <w:tr w:rsidR="00634539" w:rsidRPr="00592097" w14:paraId="6E87F5F9"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15DA89A2"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sz w:val="22"/>
                <w:szCs w:val="22"/>
              </w:rPr>
            </w:pPr>
            <w:r w:rsidRPr="00592097">
              <w:rPr>
                <w:rFonts w:asciiTheme="minorHAnsi" w:eastAsia="PMingLiU" w:hAnsiTheme="minorHAnsi" w:cstheme="minorHAnsi"/>
                <w:sz w:val="22"/>
                <w:szCs w:val="22"/>
              </w:rPr>
              <w:t>1b</w:t>
            </w:r>
          </w:p>
        </w:tc>
        <w:tc>
          <w:tcPr>
            <w:tcW w:w="2439" w:type="dxa"/>
          </w:tcPr>
          <w:p w14:paraId="7BDECFBC"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 xml:space="preserve">Average number of </w:t>
            </w:r>
            <w:proofErr w:type="gramStart"/>
            <w:r w:rsidRPr="00592097">
              <w:rPr>
                <w:rFonts w:asciiTheme="minorHAnsi" w:hAnsiTheme="minorHAnsi" w:cstheme="minorHAnsi"/>
                <w:sz w:val="22"/>
                <w:szCs w:val="22"/>
              </w:rPr>
              <w:t>work days</w:t>
            </w:r>
            <w:proofErr w:type="gramEnd"/>
            <w:r w:rsidRPr="00592097">
              <w:rPr>
                <w:rFonts w:asciiTheme="minorHAnsi" w:hAnsiTheme="minorHAnsi" w:cstheme="minorHAnsi"/>
                <w:sz w:val="22"/>
                <w:szCs w:val="22"/>
              </w:rPr>
              <w:t xml:space="preserve"> to initiate complaint inspections (federal formula)</w:t>
            </w:r>
          </w:p>
        </w:tc>
        <w:tc>
          <w:tcPr>
            <w:tcW w:w="1310" w:type="dxa"/>
          </w:tcPr>
          <w:p w14:paraId="2DD44EDE" w14:textId="2A73CF4D" w:rsidR="00634539" w:rsidRPr="00592097" w:rsidRDefault="00C65D5E"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8.53</w:t>
            </w:r>
          </w:p>
        </w:tc>
        <w:tc>
          <w:tcPr>
            <w:tcW w:w="1289" w:type="dxa"/>
          </w:tcPr>
          <w:p w14:paraId="44E25FF5" w14:textId="77777777" w:rsidR="00634539" w:rsidRPr="00592097" w:rsidRDefault="00634539"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N/A</w:t>
            </w:r>
          </w:p>
        </w:tc>
        <w:tc>
          <w:tcPr>
            <w:tcW w:w="4346" w:type="dxa"/>
          </w:tcPr>
          <w:p w14:paraId="3B881485"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This measure is for informational purposes only and is not a mandated measure.</w:t>
            </w:r>
          </w:p>
        </w:tc>
      </w:tr>
      <w:tr w:rsidR="00634539" w:rsidRPr="00592097" w14:paraId="7254895F"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70F4527B"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sz w:val="22"/>
                <w:szCs w:val="22"/>
              </w:rPr>
            </w:pPr>
            <w:r w:rsidRPr="00592097">
              <w:rPr>
                <w:rFonts w:asciiTheme="minorHAnsi" w:eastAsia="PMingLiU" w:hAnsiTheme="minorHAnsi" w:cstheme="minorHAnsi"/>
                <w:sz w:val="22"/>
                <w:szCs w:val="22"/>
              </w:rPr>
              <w:t>2a</w:t>
            </w:r>
          </w:p>
        </w:tc>
        <w:tc>
          <w:tcPr>
            <w:tcW w:w="2439" w:type="dxa"/>
          </w:tcPr>
          <w:p w14:paraId="680D30CB"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 xml:space="preserve">Average number of </w:t>
            </w:r>
            <w:proofErr w:type="gramStart"/>
            <w:r w:rsidRPr="00592097">
              <w:rPr>
                <w:rFonts w:asciiTheme="minorHAnsi" w:hAnsiTheme="minorHAnsi" w:cstheme="minorHAnsi"/>
                <w:sz w:val="22"/>
                <w:szCs w:val="22"/>
              </w:rPr>
              <w:t>work days</w:t>
            </w:r>
            <w:proofErr w:type="gramEnd"/>
            <w:r w:rsidRPr="00592097">
              <w:rPr>
                <w:rFonts w:asciiTheme="minorHAnsi" w:hAnsiTheme="minorHAnsi" w:cstheme="minorHAnsi"/>
                <w:sz w:val="22"/>
                <w:szCs w:val="22"/>
              </w:rPr>
              <w:t xml:space="preserve"> to initiate complaint investigations (state formula)</w:t>
            </w:r>
          </w:p>
        </w:tc>
        <w:tc>
          <w:tcPr>
            <w:tcW w:w="1310" w:type="dxa"/>
          </w:tcPr>
          <w:p w14:paraId="5D15BC2D" w14:textId="36C50109" w:rsidR="00634539" w:rsidRPr="00592097" w:rsidRDefault="00C65D5E"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4.95</w:t>
            </w:r>
          </w:p>
        </w:tc>
        <w:tc>
          <w:tcPr>
            <w:tcW w:w="1289" w:type="dxa"/>
          </w:tcPr>
          <w:p w14:paraId="25E101C9" w14:textId="48663A55" w:rsidR="00634539" w:rsidRPr="00592097" w:rsidRDefault="001709C3"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5</w:t>
            </w:r>
          </w:p>
        </w:tc>
        <w:tc>
          <w:tcPr>
            <w:tcW w:w="4346" w:type="dxa"/>
          </w:tcPr>
          <w:p w14:paraId="440E4407"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The further review level is negotiated by OSHA and the State Plan.</w:t>
            </w:r>
          </w:p>
        </w:tc>
      </w:tr>
      <w:tr w:rsidR="00634539" w:rsidRPr="00592097" w14:paraId="43AA3020"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3026F0A2"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sz w:val="22"/>
                <w:szCs w:val="22"/>
              </w:rPr>
            </w:pPr>
            <w:r w:rsidRPr="00592097">
              <w:rPr>
                <w:rFonts w:asciiTheme="minorHAnsi" w:eastAsia="PMingLiU" w:hAnsiTheme="minorHAnsi" w:cstheme="minorHAnsi"/>
                <w:sz w:val="22"/>
                <w:szCs w:val="22"/>
              </w:rPr>
              <w:t>2b</w:t>
            </w:r>
          </w:p>
        </w:tc>
        <w:tc>
          <w:tcPr>
            <w:tcW w:w="2439" w:type="dxa"/>
          </w:tcPr>
          <w:p w14:paraId="60EA38B6"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 xml:space="preserve">Average number of </w:t>
            </w:r>
            <w:proofErr w:type="gramStart"/>
            <w:r w:rsidRPr="00592097">
              <w:rPr>
                <w:rFonts w:asciiTheme="minorHAnsi" w:hAnsiTheme="minorHAnsi" w:cstheme="minorHAnsi"/>
                <w:sz w:val="22"/>
                <w:szCs w:val="22"/>
              </w:rPr>
              <w:t>work days</w:t>
            </w:r>
            <w:proofErr w:type="gramEnd"/>
            <w:r w:rsidRPr="00592097">
              <w:rPr>
                <w:rFonts w:asciiTheme="minorHAnsi" w:hAnsiTheme="minorHAnsi" w:cstheme="minorHAnsi"/>
                <w:sz w:val="22"/>
                <w:szCs w:val="22"/>
              </w:rPr>
              <w:t xml:space="preserve"> to initiate complaint investigations (federal formula)</w:t>
            </w:r>
          </w:p>
        </w:tc>
        <w:tc>
          <w:tcPr>
            <w:tcW w:w="1310" w:type="dxa"/>
          </w:tcPr>
          <w:p w14:paraId="148E915C" w14:textId="3C339C75" w:rsidR="00634539" w:rsidRPr="00592097" w:rsidRDefault="00CE56C9"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2.42</w:t>
            </w:r>
          </w:p>
        </w:tc>
        <w:tc>
          <w:tcPr>
            <w:tcW w:w="1289" w:type="dxa"/>
          </w:tcPr>
          <w:p w14:paraId="3C6B37D6" w14:textId="77777777" w:rsidR="00634539" w:rsidRPr="00592097" w:rsidRDefault="00634539"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N/A</w:t>
            </w:r>
          </w:p>
        </w:tc>
        <w:tc>
          <w:tcPr>
            <w:tcW w:w="4346" w:type="dxa"/>
          </w:tcPr>
          <w:p w14:paraId="7849D62B"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This measure is for informational purposes only and is not a mandated measure.</w:t>
            </w:r>
          </w:p>
        </w:tc>
      </w:tr>
      <w:tr w:rsidR="00634539" w:rsidRPr="00592097" w14:paraId="463E07C8"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730502E1"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sz w:val="22"/>
                <w:szCs w:val="22"/>
              </w:rPr>
            </w:pPr>
            <w:r w:rsidRPr="00592097">
              <w:rPr>
                <w:rFonts w:asciiTheme="minorHAnsi" w:eastAsia="PMingLiU" w:hAnsiTheme="minorHAnsi" w:cstheme="minorHAnsi"/>
                <w:sz w:val="22"/>
                <w:szCs w:val="22"/>
              </w:rPr>
              <w:t>3</w:t>
            </w:r>
          </w:p>
        </w:tc>
        <w:tc>
          <w:tcPr>
            <w:tcW w:w="2439" w:type="dxa"/>
          </w:tcPr>
          <w:p w14:paraId="224C67FA"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Percent of complaints and referrals responded to within one workday (imminent danger)</w:t>
            </w:r>
          </w:p>
        </w:tc>
        <w:tc>
          <w:tcPr>
            <w:tcW w:w="1310" w:type="dxa"/>
          </w:tcPr>
          <w:p w14:paraId="683DAD92" w14:textId="10307B22" w:rsidR="00634539" w:rsidRPr="00592097" w:rsidRDefault="00CE56C9"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100</w:t>
            </w:r>
            <w:r w:rsidR="00634539" w:rsidRPr="00592097">
              <w:rPr>
                <w:rFonts w:asciiTheme="minorHAnsi" w:hAnsiTheme="minorHAnsi" w:cstheme="minorHAnsi"/>
                <w:sz w:val="22"/>
                <w:szCs w:val="22"/>
              </w:rPr>
              <w:t>%</w:t>
            </w:r>
          </w:p>
        </w:tc>
        <w:tc>
          <w:tcPr>
            <w:tcW w:w="1289" w:type="dxa"/>
          </w:tcPr>
          <w:p w14:paraId="2138AC62" w14:textId="77777777" w:rsidR="00634539" w:rsidRPr="00592097" w:rsidRDefault="00634539"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100%</w:t>
            </w:r>
          </w:p>
        </w:tc>
        <w:tc>
          <w:tcPr>
            <w:tcW w:w="4346" w:type="dxa"/>
          </w:tcPr>
          <w:p w14:paraId="1639E620"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The further review level is fixed for all State Plans.</w:t>
            </w:r>
          </w:p>
        </w:tc>
      </w:tr>
      <w:tr w:rsidR="00634539" w:rsidRPr="00592097" w14:paraId="448E8EB5"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54BD594C"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sz w:val="22"/>
                <w:szCs w:val="22"/>
              </w:rPr>
            </w:pPr>
            <w:r w:rsidRPr="00592097">
              <w:rPr>
                <w:rFonts w:asciiTheme="minorHAnsi" w:eastAsia="PMingLiU" w:hAnsiTheme="minorHAnsi" w:cstheme="minorHAnsi"/>
                <w:sz w:val="22"/>
                <w:szCs w:val="22"/>
              </w:rPr>
              <w:t>4</w:t>
            </w:r>
          </w:p>
        </w:tc>
        <w:tc>
          <w:tcPr>
            <w:tcW w:w="2439" w:type="dxa"/>
          </w:tcPr>
          <w:p w14:paraId="7F17AA0C"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Number of denials where entry not obtained</w:t>
            </w:r>
          </w:p>
        </w:tc>
        <w:tc>
          <w:tcPr>
            <w:tcW w:w="1310" w:type="dxa"/>
          </w:tcPr>
          <w:p w14:paraId="49E38EB6" w14:textId="2EF0828C" w:rsidR="00634539" w:rsidRPr="00592097" w:rsidRDefault="00CE56C9"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0</w:t>
            </w:r>
          </w:p>
        </w:tc>
        <w:tc>
          <w:tcPr>
            <w:tcW w:w="1289" w:type="dxa"/>
          </w:tcPr>
          <w:p w14:paraId="39E6BBCD" w14:textId="77777777" w:rsidR="00634539" w:rsidRPr="00592097" w:rsidRDefault="00634539"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0</w:t>
            </w:r>
          </w:p>
        </w:tc>
        <w:tc>
          <w:tcPr>
            <w:tcW w:w="4346" w:type="dxa"/>
          </w:tcPr>
          <w:p w14:paraId="63BF7F96"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The further review level is fixed for all State Plans.</w:t>
            </w:r>
          </w:p>
        </w:tc>
      </w:tr>
      <w:tr w:rsidR="00CE7822" w:rsidRPr="00592097" w14:paraId="391899CE" w14:textId="77777777" w:rsidTr="00CE7822">
        <w:trPr>
          <w:trHeight w:val="854"/>
        </w:trPr>
        <w:tc>
          <w:tcPr>
            <w:cnfStyle w:val="001000000000" w:firstRow="0" w:lastRow="0" w:firstColumn="1" w:lastColumn="0" w:oddVBand="0" w:evenVBand="0" w:oddHBand="0" w:evenHBand="0" w:firstRowFirstColumn="0" w:firstRowLastColumn="0" w:lastRowFirstColumn="0" w:lastRowLastColumn="0"/>
            <w:tcW w:w="966" w:type="dxa"/>
          </w:tcPr>
          <w:p w14:paraId="2C05A134" w14:textId="77777777" w:rsidR="00CE7822" w:rsidRPr="00592097" w:rsidRDefault="00CE7822" w:rsidP="00CE782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sz w:val="22"/>
                <w:szCs w:val="22"/>
              </w:rPr>
            </w:pPr>
            <w:r w:rsidRPr="00592097">
              <w:rPr>
                <w:rFonts w:asciiTheme="minorHAnsi" w:eastAsia="PMingLiU" w:hAnsiTheme="minorHAnsi" w:cstheme="minorHAnsi"/>
                <w:sz w:val="22"/>
                <w:szCs w:val="22"/>
              </w:rPr>
              <w:t>5a</w:t>
            </w:r>
          </w:p>
        </w:tc>
        <w:tc>
          <w:tcPr>
            <w:tcW w:w="2439" w:type="dxa"/>
          </w:tcPr>
          <w:p w14:paraId="6F060D7F" w14:textId="77777777" w:rsidR="00CE7822" w:rsidRPr="00592097" w:rsidRDefault="00CE7822" w:rsidP="00CE782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Average number of violations per inspection with violations by violation type (SWRU)</w:t>
            </w:r>
          </w:p>
        </w:tc>
        <w:tc>
          <w:tcPr>
            <w:tcW w:w="1310" w:type="dxa"/>
          </w:tcPr>
          <w:p w14:paraId="5640B786" w14:textId="034A88C9" w:rsidR="00CE7822" w:rsidRPr="00592097" w:rsidRDefault="00CE7822"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1.59</w:t>
            </w:r>
          </w:p>
        </w:tc>
        <w:tc>
          <w:tcPr>
            <w:tcW w:w="1289" w:type="dxa"/>
          </w:tcPr>
          <w:p w14:paraId="1E7821DA" w14:textId="77777777" w:rsidR="00CE7822" w:rsidRPr="00592097" w:rsidRDefault="00CE7822" w:rsidP="00181C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+/- 20% of 1.74</w:t>
            </w:r>
          </w:p>
          <w:p w14:paraId="01B7645E" w14:textId="77777777" w:rsidR="00CE7822" w:rsidRPr="00592097" w:rsidRDefault="00CE7822" w:rsidP="00181C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B24EFBC" w14:textId="77777777" w:rsidR="00CE7822" w:rsidRPr="00592097" w:rsidRDefault="00CE7822"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tc>
        <w:tc>
          <w:tcPr>
            <w:tcW w:w="4346" w:type="dxa"/>
          </w:tcPr>
          <w:p w14:paraId="330DF263" w14:textId="46B57E3D" w:rsidR="00CE7822" w:rsidRPr="00592097" w:rsidRDefault="00CE7822" w:rsidP="00CE782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 xml:space="preserve">The further review level is based on a three-year national average.  The range of acceptable data not requiring further review is from 1.39 to 2.08 for SWRU. </w:t>
            </w:r>
          </w:p>
        </w:tc>
      </w:tr>
      <w:tr w:rsidR="00580596" w:rsidRPr="00592097" w14:paraId="0C0C34AD"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7FD14581" w14:textId="77777777" w:rsidR="00580596" w:rsidRPr="00592097" w:rsidRDefault="00580596" w:rsidP="0058059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sz w:val="22"/>
                <w:szCs w:val="22"/>
              </w:rPr>
            </w:pPr>
            <w:r w:rsidRPr="00592097">
              <w:rPr>
                <w:rFonts w:asciiTheme="minorHAnsi" w:eastAsia="PMingLiU" w:hAnsiTheme="minorHAnsi" w:cstheme="minorHAnsi"/>
                <w:sz w:val="22"/>
                <w:szCs w:val="22"/>
              </w:rPr>
              <w:t>5b</w:t>
            </w:r>
          </w:p>
        </w:tc>
        <w:tc>
          <w:tcPr>
            <w:tcW w:w="2439" w:type="dxa"/>
          </w:tcPr>
          <w:p w14:paraId="1A64659E" w14:textId="77777777" w:rsidR="00580596" w:rsidRPr="00592097" w:rsidRDefault="00580596" w:rsidP="0058059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Average number of violations per inspection with violations by violation type (other)</w:t>
            </w:r>
          </w:p>
        </w:tc>
        <w:tc>
          <w:tcPr>
            <w:tcW w:w="1310" w:type="dxa"/>
          </w:tcPr>
          <w:p w14:paraId="189B2CB4" w14:textId="3C93B224" w:rsidR="00580596" w:rsidRPr="00592097" w:rsidRDefault="00580596"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0.33</w:t>
            </w:r>
          </w:p>
        </w:tc>
        <w:tc>
          <w:tcPr>
            <w:tcW w:w="1289" w:type="dxa"/>
          </w:tcPr>
          <w:p w14:paraId="5EE5D491" w14:textId="77777777" w:rsidR="00580596" w:rsidRPr="00592097" w:rsidRDefault="00580596" w:rsidP="00181C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+/- 20% of 0.94</w:t>
            </w:r>
          </w:p>
          <w:p w14:paraId="10600A9C" w14:textId="583AB2AF" w:rsidR="00580596" w:rsidRPr="00592097" w:rsidRDefault="00580596"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tc>
        <w:tc>
          <w:tcPr>
            <w:tcW w:w="4346" w:type="dxa"/>
          </w:tcPr>
          <w:p w14:paraId="4F83BD91" w14:textId="74215750" w:rsidR="00580596" w:rsidRPr="00592097" w:rsidRDefault="00580596" w:rsidP="0058059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The further review level is based on a three-year national average.  The range of acceptable data not requiring further review is from 0.75 to 1.12 for OTS.</w:t>
            </w:r>
          </w:p>
        </w:tc>
      </w:tr>
      <w:tr w:rsidR="00C96159" w:rsidRPr="00592097" w14:paraId="73051CF9"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4B4D91E3" w14:textId="77777777" w:rsidR="00C96159" w:rsidRPr="00592097" w:rsidRDefault="00C96159" w:rsidP="00C961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sz w:val="22"/>
                <w:szCs w:val="22"/>
              </w:rPr>
            </w:pPr>
            <w:r w:rsidRPr="00592097">
              <w:rPr>
                <w:rFonts w:asciiTheme="minorHAnsi" w:eastAsia="PMingLiU" w:hAnsiTheme="minorHAnsi" w:cstheme="minorHAnsi"/>
                <w:sz w:val="22"/>
                <w:szCs w:val="22"/>
              </w:rPr>
              <w:t>6</w:t>
            </w:r>
          </w:p>
        </w:tc>
        <w:tc>
          <w:tcPr>
            <w:tcW w:w="2439" w:type="dxa"/>
          </w:tcPr>
          <w:p w14:paraId="79E27E6A" w14:textId="77777777" w:rsidR="00C96159" w:rsidRPr="00592097" w:rsidRDefault="00C96159" w:rsidP="00C961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Percent of total inspections in state and local government workplaces</w:t>
            </w:r>
          </w:p>
        </w:tc>
        <w:tc>
          <w:tcPr>
            <w:tcW w:w="1310" w:type="dxa"/>
          </w:tcPr>
          <w:p w14:paraId="01189742" w14:textId="5A3B199C" w:rsidR="00C96159" w:rsidRPr="00592097" w:rsidRDefault="00C96159"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13.54%</w:t>
            </w:r>
          </w:p>
        </w:tc>
        <w:tc>
          <w:tcPr>
            <w:tcW w:w="1289" w:type="dxa"/>
          </w:tcPr>
          <w:p w14:paraId="03700CE2" w14:textId="77777777" w:rsidR="00C96159" w:rsidRPr="00592097" w:rsidRDefault="00C96159" w:rsidP="00181C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+/- 5% of</w:t>
            </w:r>
          </w:p>
          <w:p w14:paraId="7678C0FD" w14:textId="7CAAF9B6" w:rsidR="00C96159" w:rsidRPr="00592097" w:rsidRDefault="00C96159"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Grant 2.13%</w:t>
            </w:r>
          </w:p>
        </w:tc>
        <w:tc>
          <w:tcPr>
            <w:tcW w:w="4346" w:type="dxa"/>
          </w:tcPr>
          <w:p w14:paraId="11909732" w14:textId="576A5C5D" w:rsidR="00C96159" w:rsidRPr="00592097" w:rsidRDefault="00C96159" w:rsidP="00C961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The further review level is based on a number negotiated by OSHA and the State Plan through the grant application.  The range of acceptable data not requiring further review is from 2.02% to 2.23%.</w:t>
            </w:r>
          </w:p>
        </w:tc>
      </w:tr>
      <w:tr w:rsidR="00634539" w:rsidRPr="00592097" w14:paraId="47E35DEE"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2635650F"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sz w:val="22"/>
                <w:szCs w:val="22"/>
              </w:rPr>
            </w:pPr>
            <w:r w:rsidRPr="00592097">
              <w:rPr>
                <w:rFonts w:asciiTheme="minorHAnsi" w:eastAsia="PMingLiU" w:hAnsiTheme="minorHAnsi" w:cstheme="minorHAnsi"/>
                <w:sz w:val="22"/>
                <w:szCs w:val="22"/>
              </w:rPr>
              <w:t>7a</w:t>
            </w:r>
          </w:p>
        </w:tc>
        <w:tc>
          <w:tcPr>
            <w:tcW w:w="2439" w:type="dxa"/>
          </w:tcPr>
          <w:p w14:paraId="6972B9CD" w14:textId="3BED009A"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Planned v. actual inspections (safety)</w:t>
            </w:r>
          </w:p>
        </w:tc>
        <w:tc>
          <w:tcPr>
            <w:tcW w:w="1310" w:type="dxa"/>
          </w:tcPr>
          <w:p w14:paraId="714EE701" w14:textId="667620FD" w:rsidR="00634539" w:rsidRPr="00592097" w:rsidRDefault="002C352E"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79</w:t>
            </w:r>
          </w:p>
        </w:tc>
        <w:tc>
          <w:tcPr>
            <w:tcW w:w="1289" w:type="dxa"/>
          </w:tcPr>
          <w:p w14:paraId="7B010307" w14:textId="5971ACB1" w:rsidR="00634539" w:rsidRPr="00592097" w:rsidRDefault="00634539" w:rsidP="00181C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+/- 5% of</w:t>
            </w:r>
          </w:p>
          <w:p w14:paraId="70DE1282" w14:textId="21151777" w:rsidR="00634539" w:rsidRPr="00592097" w:rsidRDefault="00D25628"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173</w:t>
            </w:r>
          </w:p>
        </w:tc>
        <w:tc>
          <w:tcPr>
            <w:tcW w:w="4346" w:type="dxa"/>
          </w:tcPr>
          <w:p w14:paraId="127905E2" w14:textId="0077A0D4"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 xml:space="preserve">The further review level is based on a number negotiated by OSHA and the State Plan through the grant application.  The range of acceptable data not requiring further review </w:t>
            </w:r>
            <w:r w:rsidRPr="00592097">
              <w:rPr>
                <w:rFonts w:asciiTheme="minorHAnsi" w:hAnsiTheme="minorHAnsi" w:cstheme="minorHAnsi"/>
                <w:sz w:val="22"/>
                <w:szCs w:val="22"/>
              </w:rPr>
              <w:lastRenderedPageBreak/>
              <w:t xml:space="preserve">is from </w:t>
            </w:r>
            <w:r w:rsidR="00866696" w:rsidRPr="00592097">
              <w:rPr>
                <w:rFonts w:asciiTheme="minorHAnsi" w:hAnsiTheme="minorHAnsi" w:cstheme="minorHAnsi"/>
                <w:sz w:val="22"/>
                <w:szCs w:val="22"/>
              </w:rPr>
              <w:t>164</w:t>
            </w:r>
            <w:r w:rsidRPr="00592097">
              <w:rPr>
                <w:rFonts w:asciiTheme="minorHAnsi" w:hAnsiTheme="minorHAnsi" w:cstheme="minorHAnsi"/>
                <w:sz w:val="22"/>
                <w:szCs w:val="22"/>
              </w:rPr>
              <w:t xml:space="preserve"> to </w:t>
            </w:r>
            <w:r w:rsidR="00866696" w:rsidRPr="00592097">
              <w:rPr>
                <w:rFonts w:asciiTheme="minorHAnsi" w:hAnsiTheme="minorHAnsi" w:cstheme="minorHAnsi"/>
                <w:sz w:val="22"/>
                <w:szCs w:val="22"/>
              </w:rPr>
              <w:t>182</w:t>
            </w:r>
            <w:r w:rsidRPr="00592097">
              <w:rPr>
                <w:rFonts w:asciiTheme="minorHAnsi" w:hAnsiTheme="minorHAnsi" w:cstheme="minorHAnsi"/>
                <w:sz w:val="22"/>
                <w:szCs w:val="22"/>
              </w:rPr>
              <w:t xml:space="preserve"> for safety.</w:t>
            </w:r>
          </w:p>
        </w:tc>
      </w:tr>
      <w:tr w:rsidR="00634539" w:rsidRPr="00592097" w14:paraId="41D7E5AF"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78976174"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val="0"/>
                <w:sz w:val="22"/>
                <w:szCs w:val="22"/>
              </w:rPr>
            </w:pPr>
            <w:r w:rsidRPr="00592097">
              <w:rPr>
                <w:rFonts w:asciiTheme="minorHAnsi" w:eastAsia="PMingLiU" w:hAnsiTheme="minorHAnsi" w:cstheme="minorHAnsi"/>
                <w:sz w:val="22"/>
                <w:szCs w:val="22"/>
              </w:rPr>
              <w:lastRenderedPageBreak/>
              <w:t>7b</w:t>
            </w:r>
          </w:p>
        </w:tc>
        <w:tc>
          <w:tcPr>
            <w:tcW w:w="2439" w:type="dxa"/>
          </w:tcPr>
          <w:p w14:paraId="628291DB" w14:textId="4C38D916"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Planned v. actual inspections (health)</w:t>
            </w:r>
          </w:p>
        </w:tc>
        <w:tc>
          <w:tcPr>
            <w:tcW w:w="1310" w:type="dxa"/>
          </w:tcPr>
          <w:p w14:paraId="46225BFE" w14:textId="1388CDC3" w:rsidR="00634539" w:rsidRPr="00592097" w:rsidRDefault="002C352E"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17</w:t>
            </w:r>
          </w:p>
        </w:tc>
        <w:tc>
          <w:tcPr>
            <w:tcW w:w="1289" w:type="dxa"/>
          </w:tcPr>
          <w:p w14:paraId="2F300C85" w14:textId="78FAE188" w:rsidR="00634539" w:rsidRPr="00592097" w:rsidRDefault="00634539" w:rsidP="00181C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+/- 5% of</w:t>
            </w:r>
          </w:p>
          <w:p w14:paraId="615D1DB6" w14:textId="2C313DEB" w:rsidR="00634539" w:rsidRPr="00592097" w:rsidRDefault="00D25628"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15</w:t>
            </w:r>
          </w:p>
        </w:tc>
        <w:tc>
          <w:tcPr>
            <w:tcW w:w="4346" w:type="dxa"/>
          </w:tcPr>
          <w:p w14:paraId="4C49AF53" w14:textId="2333225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 xml:space="preserve">The further review level is based on a number negotiated by OSHA and the State Plan through the grant application.  The range of acceptable data not requiring further review is from </w:t>
            </w:r>
            <w:r w:rsidR="00866696" w:rsidRPr="00592097">
              <w:rPr>
                <w:rFonts w:asciiTheme="minorHAnsi" w:hAnsiTheme="minorHAnsi" w:cstheme="minorHAnsi"/>
                <w:sz w:val="22"/>
                <w:szCs w:val="22"/>
              </w:rPr>
              <w:t>14</w:t>
            </w:r>
            <w:r w:rsidRPr="00592097">
              <w:rPr>
                <w:rFonts w:asciiTheme="minorHAnsi" w:hAnsiTheme="minorHAnsi" w:cstheme="minorHAnsi"/>
                <w:sz w:val="22"/>
                <w:szCs w:val="22"/>
              </w:rPr>
              <w:t xml:space="preserve"> to </w:t>
            </w:r>
            <w:r w:rsidR="00866696" w:rsidRPr="00592097">
              <w:rPr>
                <w:rFonts w:asciiTheme="minorHAnsi" w:hAnsiTheme="minorHAnsi" w:cstheme="minorHAnsi"/>
                <w:sz w:val="22"/>
                <w:szCs w:val="22"/>
              </w:rPr>
              <w:t>16</w:t>
            </w:r>
            <w:r w:rsidRPr="00592097">
              <w:rPr>
                <w:rFonts w:asciiTheme="minorHAnsi" w:hAnsiTheme="minorHAnsi" w:cstheme="minorHAnsi"/>
                <w:sz w:val="22"/>
                <w:szCs w:val="22"/>
              </w:rPr>
              <w:t xml:space="preserve"> for health.</w:t>
            </w:r>
          </w:p>
        </w:tc>
      </w:tr>
      <w:tr w:rsidR="00373E56" w:rsidRPr="00592097" w14:paraId="53F74F34"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6ED03957" w14:textId="675ACD4F" w:rsidR="00373E56" w:rsidRPr="00592097" w:rsidRDefault="00373E56" w:rsidP="00373E5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val="0"/>
                <w:sz w:val="22"/>
                <w:szCs w:val="22"/>
              </w:rPr>
            </w:pPr>
            <w:r w:rsidRPr="00592097">
              <w:rPr>
                <w:rFonts w:eastAsia="PMingLiU" w:cs="Calibri"/>
                <w:sz w:val="22"/>
                <w:szCs w:val="22"/>
              </w:rPr>
              <w:t>8</w:t>
            </w:r>
          </w:p>
        </w:tc>
        <w:tc>
          <w:tcPr>
            <w:tcW w:w="2439" w:type="dxa"/>
          </w:tcPr>
          <w:p w14:paraId="4534A70E" w14:textId="21833BBF" w:rsidR="00373E56" w:rsidRPr="00592097" w:rsidRDefault="00373E56" w:rsidP="00373E5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Average current serious penalty in private sector - total (1 to greater than 250 workers)</w:t>
            </w:r>
          </w:p>
        </w:tc>
        <w:tc>
          <w:tcPr>
            <w:tcW w:w="1310" w:type="dxa"/>
          </w:tcPr>
          <w:p w14:paraId="0FF9A605" w14:textId="4297E561" w:rsidR="00373E56" w:rsidRPr="00592097" w:rsidRDefault="00373E56" w:rsidP="00373E5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$5,594.12</w:t>
            </w:r>
          </w:p>
        </w:tc>
        <w:tc>
          <w:tcPr>
            <w:tcW w:w="1289" w:type="dxa"/>
          </w:tcPr>
          <w:p w14:paraId="58478FA8" w14:textId="1932D8B9" w:rsidR="00373E56" w:rsidRPr="00592097" w:rsidRDefault="00373E56" w:rsidP="0059209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+/- 25% of</w:t>
            </w:r>
          </w:p>
          <w:p w14:paraId="4C5EFC91" w14:textId="77777777" w:rsidR="00373E56" w:rsidRPr="00592097" w:rsidRDefault="00373E56" w:rsidP="00592097">
            <w:pPr>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$3,793.81</w:t>
            </w:r>
          </w:p>
          <w:p w14:paraId="7762D0CD" w14:textId="77777777" w:rsidR="00373E56" w:rsidRPr="00592097" w:rsidRDefault="00373E56" w:rsidP="00373E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4346" w:type="dxa"/>
          </w:tcPr>
          <w:p w14:paraId="24F13126" w14:textId="730C2D06" w:rsidR="00373E56" w:rsidRPr="00592097" w:rsidRDefault="00373E56" w:rsidP="00373E5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The further review level is based on a three-year national average.  The range of acceptable data not requiring further review is from $2,845.36 to $4,742.27.</w:t>
            </w:r>
          </w:p>
        </w:tc>
      </w:tr>
      <w:tr w:rsidR="00C331CD" w:rsidRPr="00592097" w14:paraId="4CF9D609"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0ABEB3DA" w14:textId="6677DDDD" w:rsidR="00C331CD" w:rsidRPr="00592097" w:rsidRDefault="00C331CD" w:rsidP="00C331C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val="0"/>
                <w:sz w:val="22"/>
                <w:szCs w:val="22"/>
              </w:rPr>
            </w:pPr>
            <w:r w:rsidRPr="00592097">
              <w:rPr>
                <w:rFonts w:asciiTheme="minorHAnsi" w:eastAsia="PMingLiU" w:hAnsiTheme="minorHAnsi" w:cstheme="minorHAnsi"/>
                <w:bCs w:val="0"/>
                <w:sz w:val="22"/>
                <w:szCs w:val="22"/>
              </w:rPr>
              <w:t>8a</w:t>
            </w:r>
          </w:p>
        </w:tc>
        <w:tc>
          <w:tcPr>
            <w:tcW w:w="2439" w:type="dxa"/>
          </w:tcPr>
          <w:p w14:paraId="51065DBA" w14:textId="2219DE72" w:rsidR="00C331CD" w:rsidRPr="00592097" w:rsidRDefault="00C331CD" w:rsidP="00C331C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Average current serious penalty in private sector</w:t>
            </w:r>
          </w:p>
          <w:p w14:paraId="7C4696DD" w14:textId="77777777" w:rsidR="00C331CD" w:rsidRPr="00592097" w:rsidRDefault="00C331CD" w:rsidP="00C331C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 xml:space="preserve"> (1-25 workers)</w:t>
            </w:r>
          </w:p>
        </w:tc>
        <w:tc>
          <w:tcPr>
            <w:tcW w:w="1310" w:type="dxa"/>
          </w:tcPr>
          <w:p w14:paraId="3B168483" w14:textId="336791FD" w:rsidR="00C331CD" w:rsidRPr="00592097" w:rsidRDefault="00C331CD"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$3,526.00</w:t>
            </w:r>
          </w:p>
        </w:tc>
        <w:tc>
          <w:tcPr>
            <w:tcW w:w="1289" w:type="dxa"/>
          </w:tcPr>
          <w:p w14:paraId="34260AB1" w14:textId="7DFBC16A" w:rsidR="00C331CD" w:rsidRPr="00592097" w:rsidRDefault="00C331CD" w:rsidP="00181C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+/- 25% of</w:t>
            </w:r>
          </w:p>
          <w:p w14:paraId="3274F82D" w14:textId="77777777" w:rsidR="00C331CD" w:rsidRPr="00592097" w:rsidRDefault="00C331CD" w:rsidP="00181C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$2,498.51</w:t>
            </w:r>
          </w:p>
          <w:p w14:paraId="4DC91B0C" w14:textId="77777777" w:rsidR="00C331CD" w:rsidRPr="00592097" w:rsidRDefault="00C331CD"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tc>
        <w:tc>
          <w:tcPr>
            <w:tcW w:w="4346" w:type="dxa"/>
          </w:tcPr>
          <w:p w14:paraId="371F75E0" w14:textId="588ECBAE" w:rsidR="00C331CD" w:rsidRPr="00592097" w:rsidRDefault="00C331CD" w:rsidP="00C331C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The further review level is based on a three-year national average.  The range of acceptable data not requiring further review is from $1,873.88 to $3,123.14.</w:t>
            </w:r>
          </w:p>
        </w:tc>
      </w:tr>
      <w:tr w:rsidR="00393135" w:rsidRPr="00592097" w14:paraId="2F293093"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2794F1EF" w14:textId="2CA9FA05" w:rsidR="00393135" w:rsidRPr="00592097" w:rsidRDefault="00393135" w:rsidP="0039313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val="0"/>
                <w:sz w:val="22"/>
                <w:szCs w:val="22"/>
              </w:rPr>
            </w:pPr>
            <w:r w:rsidRPr="00592097">
              <w:rPr>
                <w:rFonts w:asciiTheme="minorHAnsi" w:eastAsia="PMingLiU" w:hAnsiTheme="minorHAnsi" w:cstheme="minorHAnsi"/>
                <w:bCs w:val="0"/>
                <w:sz w:val="22"/>
                <w:szCs w:val="22"/>
              </w:rPr>
              <w:t>8b</w:t>
            </w:r>
          </w:p>
        </w:tc>
        <w:tc>
          <w:tcPr>
            <w:tcW w:w="2439" w:type="dxa"/>
          </w:tcPr>
          <w:p w14:paraId="18122F6D" w14:textId="1F874B64" w:rsidR="00393135" w:rsidRPr="00592097" w:rsidRDefault="00393135" w:rsidP="0039313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 xml:space="preserve">Average current serious penalty in private sector </w:t>
            </w:r>
          </w:p>
          <w:p w14:paraId="0CB214A9" w14:textId="77777777" w:rsidR="00393135" w:rsidRPr="00592097" w:rsidRDefault="00393135" w:rsidP="0039313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(26-100 workers</w:t>
            </w:r>
            <w:r w:rsidRPr="00592097">
              <w:rPr>
                <w:rFonts w:asciiTheme="minorHAnsi" w:hAnsiTheme="minorHAnsi" w:cstheme="minorHAnsi"/>
                <w:b/>
                <w:sz w:val="22"/>
                <w:szCs w:val="22"/>
              </w:rPr>
              <w:t>)</w:t>
            </w:r>
          </w:p>
        </w:tc>
        <w:tc>
          <w:tcPr>
            <w:tcW w:w="1310" w:type="dxa"/>
          </w:tcPr>
          <w:p w14:paraId="26CF4361" w14:textId="17B652E5" w:rsidR="00393135" w:rsidRPr="00592097" w:rsidRDefault="00393135"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$6,900.92</w:t>
            </w:r>
          </w:p>
        </w:tc>
        <w:tc>
          <w:tcPr>
            <w:tcW w:w="1289" w:type="dxa"/>
          </w:tcPr>
          <w:p w14:paraId="239012F1" w14:textId="3E37F6A5" w:rsidR="00393135" w:rsidRPr="00592097" w:rsidRDefault="00393135" w:rsidP="00181C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+/- 25% of</w:t>
            </w:r>
          </w:p>
          <w:p w14:paraId="69336EF5" w14:textId="77777777" w:rsidR="00393135" w:rsidRPr="00592097" w:rsidRDefault="00393135" w:rsidP="00181C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$4,322.61</w:t>
            </w:r>
          </w:p>
          <w:p w14:paraId="6AB595C0" w14:textId="77777777" w:rsidR="00393135" w:rsidRPr="00592097" w:rsidRDefault="00393135"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tc>
        <w:tc>
          <w:tcPr>
            <w:tcW w:w="4346" w:type="dxa"/>
          </w:tcPr>
          <w:p w14:paraId="533EE6CD" w14:textId="7BBE3748" w:rsidR="00393135" w:rsidRPr="00592097" w:rsidRDefault="00393135" w:rsidP="0039313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The further review level is based on a three-year national average.  The range of acceptable data not requiring further review is from $3,241.96 to $5,403.26.</w:t>
            </w:r>
          </w:p>
        </w:tc>
      </w:tr>
      <w:tr w:rsidR="00710BAF" w:rsidRPr="00592097" w14:paraId="786F3F1A"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5A3932AB" w14:textId="09079B61" w:rsidR="00710BAF" w:rsidRPr="00592097" w:rsidRDefault="00710BAF" w:rsidP="00710BA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val="0"/>
                <w:sz w:val="22"/>
                <w:szCs w:val="22"/>
              </w:rPr>
            </w:pPr>
            <w:r w:rsidRPr="00592097">
              <w:rPr>
                <w:rFonts w:asciiTheme="minorHAnsi" w:eastAsia="PMingLiU" w:hAnsiTheme="minorHAnsi" w:cstheme="minorHAnsi"/>
                <w:bCs w:val="0"/>
                <w:sz w:val="22"/>
                <w:szCs w:val="22"/>
              </w:rPr>
              <w:t>8c</w:t>
            </w:r>
          </w:p>
        </w:tc>
        <w:tc>
          <w:tcPr>
            <w:tcW w:w="2439" w:type="dxa"/>
          </w:tcPr>
          <w:p w14:paraId="5F59BDF5" w14:textId="617F69B6" w:rsidR="00710BAF" w:rsidRPr="00592097" w:rsidRDefault="00710BAF" w:rsidP="00710BA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Average current serious penalty in private sector</w:t>
            </w:r>
          </w:p>
          <w:p w14:paraId="10D9592B" w14:textId="77777777" w:rsidR="00710BAF" w:rsidRPr="00592097" w:rsidRDefault="00710BAF" w:rsidP="00710BA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(101-250 workers)</w:t>
            </w:r>
          </w:p>
        </w:tc>
        <w:tc>
          <w:tcPr>
            <w:tcW w:w="1310" w:type="dxa"/>
          </w:tcPr>
          <w:p w14:paraId="7D3E6F14" w14:textId="49BB275A" w:rsidR="00710BAF" w:rsidRPr="00592097" w:rsidRDefault="00710BAF"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$10,294.50</w:t>
            </w:r>
          </w:p>
        </w:tc>
        <w:tc>
          <w:tcPr>
            <w:tcW w:w="1289" w:type="dxa"/>
          </w:tcPr>
          <w:p w14:paraId="57C53638" w14:textId="03FDEA97" w:rsidR="00710BAF" w:rsidRPr="00592097" w:rsidRDefault="00710BAF" w:rsidP="00181C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+/- 25% of</w:t>
            </w:r>
          </w:p>
          <w:p w14:paraId="43BDED0B" w14:textId="77777777" w:rsidR="00710BAF" w:rsidRPr="00592097" w:rsidRDefault="00710BAF" w:rsidP="00181C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$6,114.84</w:t>
            </w:r>
          </w:p>
          <w:p w14:paraId="0194F828" w14:textId="77777777" w:rsidR="00710BAF" w:rsidRPr="00592097" w:rsidRDefault="00710BAF"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tc>
        <w:tc>
          <w:tcPr>
            <w:tcW w:w="4346" w:type="dxa"/>
          </w:tcPr>
          <w:p w14:paraId="4B00CAC2" w14:textId="4F69322D" w:rsidR="00710BAF" w:rsidRPr="00592097" w:rsidRDefault="00710BAF" w:rsidP="00710BA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The further review level is based on a three-year national average.  The range of acceptable data not requiring further review is from $4,586.13 to $7,643.55.</w:t>
            </w:r>
          </w:p>
        </w:tc>
      </w:tr>
      <w:tr w:rsidR="00145C4B" w:rsidRPr="00592097" w14:paraId="44B346AD"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5ED4D0D0" w14:textId="6EE4B3D9" w:rsidR="00145C4B" w:rsidRPr="00592097" w:rsidRDefault="00145C4B" w:rsidP="00145C4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val="0"/>
                <w:sz w:val="22"/>
                <w:szCs w:val="22"/>
              </w:rPr>
            </w:pPr>
            <w:r w:rsidRPr="00592097">
              <w:rPr>
                <w:rFonts w:asciiTheme="minorHAnsi" w:eastAsia="PMingLiU" w:hAnsiTheme="minorHAnsi" w:cstheme="minorHAnsi"/>
                <w:bCs w:val="0"/>
                <w:sz w:val="22"/>
                <w:szCs w:val="22"/>
              </w:rPr>
              <w:t>8d</w:t>
            </w:r>
          </w:p>
        </w:tc>
        <w:tc>
          <w:tcPr>
            <w:tcW w:w="2439" w:type="dxa"/>
          </w:tcPr>
          <w:p w14:paraId="255BABE2" w14:textId="5EA04150" w:rsidR="00145C4B" w:rsidRPr="00592097" w:rsidRDefault="00145C4B" w:rsidP="00145C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Average current serious penalty in private sector</w:t>
            </w:r>
          </w:p>
          <w:p w14:paraId="48DDBB4B" w14:textId="77777777" w:rsidR="00145C4B" w:rsidRPr="00592097" w:rsidRDefault="00145C4B" w:rsidP="00145C4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(greater than 250 workers)</w:t>
            </w:r>
          </w:p>
        </w:tc>
        <w:tc>
          <w:tcPr>
            <w:tcW w:w="1310" w:type="dxa"/>
          </w:tcPr>
          <w:p w14:paraId="7D66FCF1" w14:textId="60C2922B" w:rsidR="00145C4B" w:rsidRPr="00592097" w:rsidRDefault="00145C4B"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$8,662.64</w:t>
            </w:r>
          </w:p>
        </w:tc>
        <w:tc>
          <w:tcPr>
            <w:tcW w:w="1289" w:type="dxa"/>
          </w:tcPr>
          <w:p w14:paraId="5B19C81E" w14:textId="3F1D63BE" w:rsidR="00145C4B" w:rsidRPr="00592097" w:rsidRDefault="00145C4B" w:rsidP="00181C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+/- 25% of</w:t>
            </w:r>
          </w:p>
          <w:p w14:paraId="071F14AC" w14:textId="77777777" w:rsidR="00145C4B" w:rsidRPr="00592097" w:rsidRDefault="00145C4B" w:rsidP="00181C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$7,533.58</w:t>
            </w:r>
          </w:p>
          <w:p w14:paraId="3FB5515E" w14:textId="77777777" w:rsidR="00145C4B" w:rsidRPr="00592097" w:rsidRDefault="00145C4B"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tc>
        <w:tc>
          <w:tcPr>
            <w:tcW w:w="4346" w:type="dxa"/>
          </w:tcPr>
          <w:p w14:paraId="29FF5D83" w14:textId="23E4B130" w:rsidR="00145C4B" w:rsidRPr="00592097" w:rsidRDefault="00145C4B" w:rsidP="00145C4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The further review level is based on a three-year national average.  The range of acceptable data not requiring further review is from $5,650.19 to $9,416.98.</w:t>
            </w:r>
          </w:p>
        </w:tc>
      </w:tr>
      <w:tr w:rsidR="00046417" w:rsidRPr="00592097" w14:paraId="6F99001F"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2CAB3DC1" w14:textId="77777777" w:rsidR="00046417" w:rsidRPr="00592097" w:rsidRDefault="00046417" w:rsidP="0004641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sz w:val="22"/>
                <w:szCs w:val="22"/>
              </w:rPr>
            </w:pPr>
            <w:r w:rsidRPr="00592097">
              <w:rPr>
                <w:rFonts w:asciiTheme="minorHAnsi" w:eastAsia="PMingLiU" w:hAnsiTheme="minorHAnsi" w:cstheme="minorHAnsi"/>
                <w:sz w:val="22"/>
                <w:szCs w:val="22"/>
              </w:rPr>
              <w:t>9a</w:t>
            </w:r>
          </w:p>
        </w:tc>
        <w:tc>
          <w:tcPr>
            <w:tcW w:w="2439" w:type="dxa"/>
          </w:tcPr>
          <w:p w14:paraId="406CE5F6" w14:textId="77777777" w:rsidR="00046417" w:rsidRPr="00592097" w:rsidRDefault="00046417" w:rsidP="0004641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Percent in compliance (safety)</w:t>
            </w:r>
          </w:p>
        </w:tc>
        <w:tc>
          <w:tcPr>
            <w:tcW w:w="1310" w:type="dxa"/>
          </w:tcPr>
          <w:p w14:paraId="2CBEE7D5" w14:textId="50498EC6" w:rsidR="00046417" w:rsidRPr="00592097" w:rsidRDefault="00046417"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39.39%</w:t>
            </w:r>
          </w:p>
        </w:tc>
        <w:tc>
          <w:tcPr>
            <w:tcW w:w="1289" w:type="dxa"/>
          </w:tcPr>
          <w:p w14:paraId="393DA58D" w14:textId="77777777" w:rsidR="00046417" w:rsidRPr="00592097" w:rsidRDefault="00046417" w:rsidP="00181C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+/- 20% of</w:t>
            </w:r>
          </w:p>
          <w:p w14:paraId="0A52EE0A" w14:textId="0D04D55D" w:rsidR="00046417" w:rsidRPr="00592097" w:rsidRDefault="00046417"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32.83%</w:t>
            </w:r>
          </w:p>
        </w:tc>
        <w:tc>
          <w:tcPr>
            <w:tcW w:w="4346" w:type="dxa"/>
          </w:tcPr>
          <w:p w14:paraId="2A829BA0" w14:textId="1B926091" w:rsidR="00046417" w:rsidRPr="00592097" w:rsidRDefault="00046417" w:rsidP="0004641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The further review level is based on a three-year national average.  The range of acceptable data not requiring further review is from 26.27% to 39.40% for safety.</w:t>
            </w:r>
          </w:p>
        </w:tc>
      </w:tr>
      <w:tr w:rsidR="00A249F1" w:rsidRPr="00592097" w14:paraId="3EB76E55"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5BA68B8A" w14:textId="77777777" w:rsidR="00A249F1" w:rsidRPr="00592097" w:rsidRDefault="00A249F1" w:rsidP="00A249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sz w:val="22"/>
                <w:szCs w:val="22"/>
              </w:rPr>
            </w:pPr>
            <w:r w:rsidRPr="00592097">
              <w:rPr>
                <w:rFonts w:asciiTheme="minorHAnsi" w:eastAsia="PMingLiU" w:hAnsiTheme="minorHAnsi" w:cstheme="minorHAnsi"/>
                <w:sz w:val="22"/>
                <w:szCs w:val="22"/>
              </w:rPr>
              <w:t>9b</w:t>
            </w:r>
          </w:p>
        </w:tc>
        <w:tc>
          <w:tcPr>
            <w:tcW w:w="2439" w:type="dxa"/>
          </w:tcPr>
          <w:p w14:paraId="1F4404BA" w14:textId="77777777" w:rsidR="00A249F1" w:rsidRPr="00592097" w:rsidRDefault="00A249F1" w:rsidP="00A249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Percent in compliance (health)</w:t>
            </w:r>
          </w:p>
        </w:tc>
        <w:tc>
          <w:tcPr>
            <w:tcW w:w="1310" w:type="dxa"/>
          </w:tcPr>
          <w:p w14:paraId="0F761403" w14:textId="01941526" w:rsidR="00A249F1" w:rsidRPr="00592097" w:rsidRDefault="00A249F1"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81.25%</w:t>
            </w:r>
          </w:p>
        </w:tc>
        <w:tc>
          <w:tcPr>
            <w:tcW w:w="1289" w:type="dxa"/>
          </w:tcPr>
          <w:p w14:paraId="53D37D7C" w14:textId="77777777" w:rsidR="00A249F1" w:rsidRPr="00592097" w:rsidRDefault="00A249F1" w:rsidP="00181C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+/- 20% of</w:t>
            </w:r>
          </w:p>
          <w:p w14:paraId="203D8062" w14:textId="7381DF87" w:rsidR="00A249F1" w:rsidRPr="00592097" w:rsidRDefault="00A249F1"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44.18%</w:t>
            </w:r>
          </w:p>
        </w:tc>
        <w:tc>
          <w:tcPr>
            <w:tcW w:w="4346" w:type="dxa"/>
          </w:tcPr>
          <w:p w14:paraId="7272F1E9" w14:textId="5494D5F3" w:rsidR="00A249F1" w:rsidRPr="00592097" w:rsidRDefault="00A249F1" w:rsidP="00A249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 xml:space="preserve">The further review level is based on a three-year national average.  The range of acceptable data not requiring further review is from </w:t>
            </w:r>
            <w:bookmarkStart w:id="41" w:name="OLE_LINK4"/>
            <w:r w:rsidRPr="00592097">
              <w:rPr>
                <w:rFonts w:asciiTheme="minorHAnsi" w:hAnsiTheme="minorHAnsi" w:cstheme="minorHAnsi"/>
                <w:sz w:val="22"/>
                <w:szCs w:val="22"/>
              </w:rPr>
              <w:t>35.34% to 53.01</w:t>
            </w:r>
            <w:bookmarkEnd w:id="41"/>
            <w:r w:rsidRPr="00592097">
              <w:rPr>
                <w:rFonts w:asciiTheme="minorHAnsi" w:hAnsiTheme="minorHAnsi" w:cstheme="minorHAnsi"/>
                <w:sz w:val="22"/>
                <w:szCs w:val="22"/>
              </w:rPr>
              <w:t>% for health.</w:t>
            </w:r>
          </w:p>
        </w:tc>
      </w:tr>
      <w:tr w:rsidR="00634539" w:rsidRPr="00592097" w14:paraId="6BD622B6"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1E1081EE"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sz w:val="22"/>
                <w:szCs w:val="22"/>
              </w:rPr>
            </w:pPr>
            <w:r w:rsidRPr="00592097">
              <w:rPr>
                <w:rFonts w:asciiTheme="minorHAnsi" w:eastAsia="PMingLiU" w:hAnsiTheme="minorHAnsi" w:cstheme="minorHAnsi"/>
                <w:sz w:val="22"/>
                <w:szCs w:val="22"/>
              </w:rPr>
              <w:t>10</w:t>
            </w:r>
          </w:p>
        </w:tc>
        <w:tc>
          <w:tcPr>
            <w:tcW w:w="2439" w:type="dxa"/>
          </w:tcPr>
          <w:p w14:paraId="7A555323"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Percent of work-related fatalities responded to in one workday</w:t>
            </w:r>
          </w:p>
        </w:tc>
        <w:tc>
          <w:tcPr>
            <w:tcW w:w="1310" w:type="dxa"/>
          </w:tcPr>
          <w:p w14:paraId="36635117" w14:textId="7B808006" w:rsidR="00634539" w:rsidRPr="00592097" w:rsidRDefault="00310AC8"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75.00</w:t>
            </w:r>
            <w:r w:rsidR="00634539" w:rsidRPr="00592097">
              <w:rPr>
                <w:rFonts w:asciiTheme="minorHAnsi" w:eastAsia="PMingLiU" w:hAnsiTheme="minorHAnsi" w:cstheme="minorHAnsi"/>
                <w:sz w:val="22"/>
                <w:szCs w:val="22"/>
              </w:rPr>
              <w:t>%</w:t>
            </w:r>
          </w:p>
        </w:tc>
        <w:tc>
          <w:tcPr>
            <w:tcW w:w="1289" w:type="dxa"/>
          </w:tcPr>
          <w:p w14:paraId="1B2A9E13" w14:textId="77777777" w:rsidR="00634539" w:rsidRPr="00592097" w:rsidRDefault="00634539"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100%</w:t>
            </w:r>
          </w:p>
        </w:tc>
        <w:tc>
          <w:tcPr>
            <w:tcW w:w="4346" w:type="dxa"/>
          </w:tcPr>
          <w:p w14:paraId="4CFEF3A7"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The further review level is fixed for all State Plans.</w:t>
            </w:r>
          </w:p>
        </w:tc>
      </w:tr>
      <w:tr w:rsidR="00747109" w:rsidRPr="00592097" w14:paraId="040B9178"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29A1624F" w14:textId="1770BD81" w:rsidR="00747109" w:rsidRPr="00592097" w:rsidRDefault="00747109" w:rsidP="0074710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sz w:val="22"/>
                <w:szCs w:val="22"/>
              </w:rPr>
            </w:pPr>
            <w:r w:rsidRPr="00592097">
              <w:rPr>
                <w:rFonts w:asciiTheme="minorHAnsi" w:eastAsia="PMingLiU" w:hAnsiTheme="minorHAnsi" w:cstheme="minorHAnsi"/>
                <w:sz w:val="22"/>
                <w:szCs w:val="22"/>
              </w:rPr>
              <w:t>11a</w:t>
            </w:r>
          </w:p>
        </w:tc>
        <w:tc>
          <w:tcPr>
            <w:tcW w:w="2439" w:type="dxa"/>
          </w:tcPr>
          <w:p w14:paraId="2F452EBE" w14:textId="5B22C831" w:rsidR="00747109" w:rsidRPr="00592097" w:rsidRDefault="00747109" w:rsidP="0074710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Average lapse time (safety)</w:t>
            </w:r>
          </w:p>
        </w:tc>
        <w:tc>
          <w:tcPr>
            <w:tcW w:w="1310" w:type="dxa"/>
          </w:tcPr>
          <w:p w14:paraId="0C1EF1CA" w14:textId="6066E0D5" w:rsidR="00747109" w:rsidRPr="00592097" w:rsidRDefault="00747109"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76.68</w:t>
            </w:r>
          </w:p>
        </w:tc>
        <w:tc>
          <w:tcPr>
            <w:tcW w:w="1289" w:type="dxa"/>
          </w:tcPr>
          <w:p w14:paraId="65CC2DD5" w14:textId="77777777" w:rsidR="00747109" w:rsidRPr="00592097" w:rsidRDefault="00747109" w:rsidP="00181C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+/- 20% of 56.02</w:t>
            </w:r>
          </w:p>
          <w:p w14:paraId="1A2E7FCB" w14:textId="77777777" w:rsidR="00747109" w:rsidRPr="00592097" w:rsidRDefault="00747109" w:rsidP="00181C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4346" w:type="dxa"/>
          </w:tcPr>
          <w:p w14:paraId="04E94513" w14:textId="72602881" w:rsidR="00747109" w:rsidRPr="00592097" w:rsidRDefault="00747109" w:rsidP="0074710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The further review level is based on a three-year national average.  The range of acceptable data not requiring further review is from 44.82 to 67.23 for safety.</w:t>
            </w:r>
          </w:p>
        </w:tc>
      </w:tr>
      <w:tr w:rsidR="00330ED9" w:rsidRPr="00592097" w14:paraId="71994532"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4A315A6E" w14:textId="77777777" w:rsidR="00330ED9" w:rsidRPr="00592097" w:rsidRDefault="00330ED9" w:rsidP="00330ED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sz w:val="22"/>
                <w:szCs w:val="22"/>
              </w:rPr>
            </w:pPr>
            <w:r w:rsidRPr="00592097">
              <w:rPr>
                <w:rFonts w:asciiTheme="minorHAnsi" w:eastAsia="PMingLiU" w:hAnsiTheme="minorHAnsi" w:cstheme="minorHAnsi"/>
                <w:sz w:val="22"/>
                <w:szCs w:val="22"/>
              </w:rPr>
              <w:t>11b</w:t>
            </w:r>
          </w:p>
        </w:tc>
        <w:tc>
          <w:tcPr>
            <w:tcW w:w="2439" w:type="dxa"/>
          </w:tcPr>
          <w:p w14:paraId="62670A92" w14:textId="77777777" w:rsidR="00330ED9" w:rsidRPr="00592097" w:rsidRDefault="00330ED9" w:rsidP="00330ED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Average lapse time (health)</w:t>
            </w:r>
          </w:p>
        </w:tc>
        <w:tc>
          <w:tcPr>
            <w:tcW w:w="1310" w:type="dxa"/>
          </w:tcPr>
          <w:p w14:paraId="260D705D" w14:textId="042CEEA0" w:rsidR="00330ED9" w:rsidRPr="00592097" w:rsidRDefault="00330ED9"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69.00</w:t>
            </w:r>
          </w:p>
        </w:tc>
        <w:tc>
          <w:tcPr>
            <w:tcW w:w="1289" w:type="dxa"/>
          </w:tcPr>
          <w:p w14:paraId="38A0AB66" w14:textId="77777777" w:rsidR="00330ED9" w:rsidRPr="00592097" w:rsidRDefault="00330ED9" w:rsidP="00181C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+/- 20% of 67.21</w:t>
            </w:r>
          </w:p>
          <w:p w14:paraId="4447221B" w14:textId="232AB64F" w:rsidR="00330ED9" w:rsidRPr="00592097" w:rsidRDefault="00330ED9"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tc>
        <w:tc>
          <w:tcPr>
            <w:tcW w:w="4346" w:type="dxa"/>
          </w:tcPr>
          <w:p w14:paraId="77F448C9" w14:textId="48889A81" w:rsidR="00330ED9" w:rsidRPr="00592097" w:rsidRDefault="00330ED9" w:rsidP="00330ED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 xml:space="preserve">The further review level is based on a three-year national average.  The range of acceptable data not requiring further review </w:t>
            </w:r>
            <w:r w:rsidRPr="00592097">
              <w:rPr>
                <w:rFonts w:asciiTheme="minorHAnsi" w:hAnsiTheme="minorHAnsi" w:cstheme="minorHAnsi"/>
                <w:sz w:val="22"/>
                <w:szCs w:val="22"/>
              </w:rPr>
              <w:lastRenderedPageBreak/>
              <w:t>is from 53.77 to 80.65 for health.</w:t>
            </w:r>
          </w:p>
        </w:tc>
      </w:tr>
      <w:tr w:rsidR="00C62161" w:rsidRPr="00592097" w14:paraId="13BCA211"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20008ADF" w14:textId="77777777" w:rsidR="00C62161" w:rsidRPr="00592097" w:rsidRDefault="00C62161" w:rsidP="00C6216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sz w:val="22"/>
                <w:szCs w:val="22"/>
              </w:rPr>
            </w:pPr>
            <w:r w:rsidRPr="00592097">
              <w:rPr>
                <w:rFonts w:asciiTheme="minorHAnsi" w:eastAsia="PMingLiU" w:hAnsiTheme="minorHAnsi" w:cstheme="minorHAnsi"/>
                <w:sz w:val="22"/>
                <w:szCs w:val="22"/>
              </w:rPr>
              <w:lastRenderedPageBreak/>
              <w:t>12</w:t>
            </w:r>
          </w:p>
        </w:tc>
        <w:tc>
          <w:tcPr>
            <w:tcW w:w="2439" w:type="dxa"/>
          </w:tcPr>
          <w:p w14:paraId="4FDC62A7" w14:textId="77777777" w:rsidR="00C62161" w:rsidRPr="00592097" w:rsidRDefault="00C62161" w:rsidP="00C6216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Percent penalty retained</w:t>
            </w:r>
          </w:p>
        </w:tc>
        <w:tc>
          <w:tcPr>
            <w:tcW w:w="1310" w:type="dxa"/>
          </w:tcPr>
          <w:p w14:paraId="54C1921C" w14:textId="44B2CED3" w:rsidR="00C62161" w:rsidRPr="00592097" w:rsidRDefault="00C62161"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90.15%</w:t>
            </w:r>
          </w:p>
        </w:tc>
        <w:tc>
          <w:tcPr>
            <w:tcW w:w="1289" w:type="dxa"/>
          </w:tcPr>
          <w:p w14:paraId="2F5CF247" w14:textId="77777777" w:rsidR="00C62161" w:rsidRPr="00592097" w:rsidRDefault="00C62161" w:rsidP="00181C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+/- 15% of</w:t>
            </w:r>
          </w:p>
          <w:p w14:paraId="5AD20280" w14:textId="1BC7659D" w:rsidR="00C62161" w:rsidRPr="00592097" w:rsidRDefault="00C62161"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70.81%</w:t>
            </w:r>
          </w:p>
        </w:tc>
        <w:tc>
          <w:tcPr>
            <w:tcW w:w="4346" w:type="dxa"/>
          </w:tcPr>
          <w:p w14:paraId="45B6E003" w14:textId="37585A06" w:rsidR="00C62161" w:rsidRPr="00592097" w:rsidRDefault="00C62161" w:rsidP="00C6216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The further review level is based on a three-year national average.  The range of acceptable data not requiring further review is from 60.19% to 81.44%.</w:t>
            </w:r>
          </w:p>
        </w:tc>
      </w:tr>
      <w:tr w:rsidR="00634539" w:rsidRPr="00592097" w14:paraId="2EAC34D6"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46A22AE3"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sz w:val="22"/>
                <w:szCs w:val="22"/>
              </w:rPr>
            </w:pPr>
            <w:r w:rsidRPr="00592097">
              <w:rPr>
                <w:rFonts w:asciiTheme="minorHAnsi" w:eastAsia="PMingLiU" w:hAnsiTheme="minorHAnsi" w:cstheme="minorHAnsi"/>
                <w:sz w:val="22"/>
                <w:szCs w:val="22"/>
              </w:rPr>
              <w:t>13</w:t>
            </w:r>
          </w:p>
        </w:tc>
        <w:tc>
          <w:tcPr>
            <w:tcW w:w="2439" w:type="dxa"/>
          </w:tcPr>
          <w:p w14:paraId="56540F98"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Percent of initial inspections with worker walk-around representation or worker interview</w:t>
            </w:r>
          </w:p>
        </w:tc>
        <w:tc>
          <w:tcPr>
            <w:tcW w:w="1310" w:type="dxa"/>
          </w:tcPr>
          <w:p w14:paraId="71E71ED8" w14:textId="50B07BF5" w:rsidR="00634539" w:rsidRPr="00592097" w:rsidRDefault="00310AC8"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100</w:t>
            </w:r>
            <w:r w:rsidR="00634539" w:rsidRPr="00592097">
              <w:rPr>
                <w:rFonts w:asciiTheme="minorHAnsi" w:hAnsiTheme="minorHAnsi" w:cstheme="minorHAnsi"/>
                <w:sz w:val="22"/>
                <w:szCs w:val="22"/>
              </w:rPr>
              <w:t>%</w:t>
            </w:r>
          </w:p>
        </w:tc>
        <w:tc>
          <w:tcPr>
            <w:tcW w:w="1289" w:type="dxa"/>
          </w:tcPr>
          <w:p w14:paraId="4A97427F" w14:textId="77777777" w:rsidR="00634539" w:rsidRPr="00592097" w:rsidRDefault="00634539"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100%</w:t>
            </w:r>
          </w:p>
        </w:tc>
        <w:tc>
          <w:tcPr>
            <w:tcW w:w="4346" w:type="dxa"/>
          </w:tcPr>
          <w:p w14:paraId="27DEF00F" w14:textId="77777777" w:rsidR="00634539" w:rsidRPr="00592097" w:rsidRDefault="0063453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The further review level is fixed for all State Plans.</w:t>
            </w:r>
          </w:p>
        </w:tc>
      </w:tr>
      <w:tr w:rsidR="00311C09" w:rsidRPr="00592097" w14:paraId="0083664F"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1F73B0DD" w14:textId="77777777" w:rsidR="00311C09" w:rsidRPr="00592097" w:rsidRDefault="00311C09" w:rsidP="00311C0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sz w:val="22"/>
                <w:szCs w:val="22"/>
              </w:rPr>
            </w:pPr>
            <w:r w:rsidRPr="00592097">
              <w:rPr>
                <w:rFonts w:asciiTheme="minorHAnsi" w:eastAsia="PMingLiU" w:hAnsiTheme="minorHAnsi" w:cstheme="minorHAnsi"/>
                <w:sz w:val="22"/>
                <w:szCs w:val="22"/>
              </w:rPr>
              <w:t>14</w:t>
            </w:r>
          </w:p>
        </w:tc>
        <w:tc>
          <w:tcPr>
            <w:tcW w:w="2439" w:type="dxa"/>
          </w:tcPr>
          <w:p w14:paraId="3454CDD3" w14:textId="7CE1911E" w:rsidR="00311C09" w:rsidRPr="00592097" w:rsidRDefault="00311C09" w:rsidP="00311C0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Percent of 11(c) investigations completed within 90 days</w:t>
            </w:r>
          </w:p>
        </w:tc>
        <w:tc>
          <w:tcPr>
            <w:tcW w:w="1310" w:type="dxa"/>
          </w:tcPr>
          <w:p w14:paraId="3468F2B1" w14:textId="4F8CADBC" w:rsidR="00311C09" w:rsidRPr="00592097" w:rsidRDefault="00311C09"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N/A</w:t>
            </w:r>
          </w:p>
        </w:tc>
        <w:tc>
          <w:tcPr>
            <w:tcW w:w="1289" w:type="dxa"/>
          </w:tcPr>
          <w:p w14:paraId="39333E60" w14:textId="2416AF95" w:rsidR="00311C09" w:rsidRPr="00592097" w:rsidRDefault="00311C09"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N/A</w:t>
            </w:r>
          </w:p>
        </w:tc>
        <w:tc>
          <w:tcPr>
            <w:tcW w:w="4346" w:type="dxa"/>
          </w:tcPr>
          <w:p w14:paraId="7DECCD0D" w14:textId="3FF33D28" w:rsidR="00311C09" w:rsidRPr="00592097" w:rsidRDefault="00311C09" w:rsidP="00311C0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This measure is not being reported for FY 2024 due to the transition to the new SAMM measures starting in FY 2025.</w:t>
            </w:r>
          </w:p>
        </w:tc>
      </w:tr>
      <w:tr w:rsidR="00311C09" w:rsidRPr="00592097" w14:paraId="570F3912"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4BF89E78" w14:textId="77777777" w:rsidR="00311C09" w:rsidRPr="00592097" w:rsidRDefault="00311C09" w:rsidP="00311C0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sz w:val="22"/>
                <w:szCs w:val="22"/>
              </w:rPr>
            </w:pPr>
            <w:r w:rsidRPr="00592097">
              <w:rPr>
                <w:rFonts w:asciiTheme="minorHAnsi" w:eastAsia="PMingLiU" w:hAnsiTheme="minorHAnsi" w:cstheme="minorHAnsi"/>
                <w:sz w:val="22"/>
                <w:szCs w:val="22"/>
              </w:rPr>
              <w:t>15</w:t>
            </w:r>
          </w:p>
        </w:tc>
        <w:tc>
          <w:tcPr>
            <w:tcW w:w="2439" w:type="dxa"/>
          </w:tcPr>
          <w:p w14:paraId="1BE43D29" w14:textId="06F6AE7E" w:rsidR="00311C09" w:rsidRPr="00592097" w:rsidRDefault="00311C09" w:rsidP="00311C0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Percent of 11(c) complaints that are meritorious</w:t>
            </w:r>
          </w:p>
        </w:tc>
        <w:tc>
          <w:tcPr>
            <w:tcW w:w="1310" w:type="dxa"/>
          </w:tcPr>
          <w:p w14:paraId="1E0B0B7D" w14:textId="1290CCEC" w:rsidR="00311C09" w:rsidRPr="00592097" w:rsidRDefault="00311C09"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N/A</w:t>
            </w:r>
          </w:p>
        </w:tc>
        <w:tc>
          <w:tcPr>
            <w:tcW w:w="1289" w:type="dxa"/>
          </w:tcPr>
          <w:p w14:paraId="147E9AB5" w14:textId="5477D863" w:rsidR="00311C09" w:rsidRPr="00592097" w:rsidRDefault="00311C09"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N/A</w:t>
            </w:r>
          </w:p>
        </w:tc>
        <w:tc>
          <w:tcPr>
            <w:tcW w:w="4346" w:type="dxa"/>
          </w:tcPr>
          <w:p w14:paraId="5801C5D4" w14:textId="2EE17619" w:rsidR="00311C09" w:rsidRPr="00592097" w:rsidRDefault="00311C09" w:rsidP="00311C0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This measure is not being reported for FY 2024 due to the transition to the new SAMM measures starting in FY 2025.</w:t>
            </w:r>
          </w:p>
        </w:tc>
      </w:tr>
      <w:tr w:rsidR="00311C09" w:rsidRPr="00592097" w14:paraId="06EFF7B6"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7E0D4652" w14:textId="77777777" w:rsidR="00311C09" w:rsidRPr="00592097" w:rsidRDefault="00311C09" w:rsidP="00311C0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sz w:val="22"/>
                <w:szCs w:val="22"/>
              </w:rPr>
            </w:pPr>
            <w:r w:rsidRPr="00592097">
              <w:rPr>
                <w:rFonts w:asciiTheme="minorHAnsi" w:eastAsia="PMingLiU" w:hAnsiTheme="minorHAnsi" w:cstheme="minorHAnsi"/>
                <w:sz w:val="22"/>
                <w:szCs w:val="22"/>
              </w:rPr>
              <w:t>16</w:t>
            </w:r>
          </w:p>
        </w:tc>
        <w:tc>
          <w:tcPr>
            <w:tcW w:w="2439" w:type="dxa"/>
          </w:tcPr>
          <w:p w14:paraId="5E4FAF60" w14:textId="34750733" w:rsidR="00311C09" w:rsidRPr="00592097" w:rsidRDefault="00311C09" w:rsidP="00311C0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Average number of calendar days to complete an 11(c) investigation</w:t>
            </w:r>
          </w:p>
        </w:tc>
        <w:tc>
          <w:tcPr>
            <w:tcW w:w="1310" w:type="dxa"/>
          </w:tcPr>
          <w:p w14:paraId="3207CBD2" w14:textId="11636CBB" w:rsidR="00311C09" w:rsidRPr="00592097" w:rsidRDefault="00311C09"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N/A</w:t>
            </w:r>
          </w:p>
        </w:tc>
        <w:tc>
          <w:tcPr>
            <w:tcW w:w="1289" w:type="dxa"/>
            <w:shd w:val="clear" w:color="auto" w:fill="auto"/>
          </w:tcPr>
          <w:p w14:paraId="7022F7E0" w14:textId="43E3F96A" w:rsidR="00311C09" w:rsidRPr="00592097" w:rsidRDefault="00311C09"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N/A</w:t>
            </w:r>
          </w:p>
        </w:tc>
        <w:tc>
          <w:tcPr>
            <w:tcW w:w="4346" w:type="dxa"/>
          </w:tcPr>
          <w:p w14:paraId="088C3C3F" w14:textId="4F1A6CB5" w:rsidR="00311C09" w:rsidRPr="00592097" w:rsidRDefault="00311C09" w:rsidP="00311C0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eastAsia="PMingLiU" w:hAnsiTheme="minorHAnsi" w:cstheme="minorHAnsi"/>
                <w:sz w:val="22"/>
                <w:szCs w:val="22"/>
              </w:rPr>
              <w:t>This measure is not being reported for FY 2024 due to the transition to the new SAMM measures starting in FY 2025.</w:t>
            </w:r>
          </w:p>
        </w:tc>
      </w:tr>
      <w:tr w:rsidR="006C123E" w:rsidRPr="00592097" w14:paraId="464BCA80" w14:textId="77777777" w:rsidTr="00CE7822">
        <w:tc>
          <w:tcPr>
            <w:cnfStyle w:val="001000000000" w:firstRow="0" w:lastRow="0" w:firstColumn="1" w:lastColumn="0" w:oddVBand="0" w:evenVBand="0" w:oddHBand="0" w:evenHBand="0" w:firstRowFirstColumn="0" w:firstRowLastColumn="0" w:lastRowFirstColumn="0" w:lastRowLastColumn="0"/>
            <w:tcW w:w="966" w:type="dxa"/>
          </w:tcPr>
          <w:p w14:paraId="3EFEA4C9" w14:textId="77777777" w:rsidR="006C123E" w:rsidRPr="00592097" w:rsidRDefault="006C123E" w:rsidP="006C123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sz w:val="22"/>
                <w:szCs w:val="22"/>
              </w:rPr>
            </w:pPr>
            <w:r w:rsidRPr="00592097">
              <w:rPr>
                <w:rFonts w:asciiTheme="minorHAnsi" w:eastAsia="PMingLiU" w:hAnsiTheme="minorHAnsi" w:cstheme="minorHAnsi"/>
                <w:sz w:val="22"/>
                <w:szCs w:val="22"/>
              </w:rPr>
              <w:t>17</w:t>
            </w:r>
          </w:p>
        </w:tc>
        <w:tc>
          <w:tcPr>
            <w:tcW w:w="2439" w:type="dxa"/>
          </w:tcPr>
          <w:p w14:paraId="4A04782E" w14:textId="77777777" w:rsidR="006C123E" w:rsidRPr="00592097" w:rsidRDefault="006C123E" w:rsidP="006C123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bookmarkStart w:id="42" w:name="OLE_LINK2"/>
            <w:r w:rsidRPr="00592097">
              <w:rPr>
                <w:rFonts w:asciiTheme="minorHAnsi" w:hAnsiTheme="minorHAnsi" w:cstheme="minorHAnsi"/>
                <w:sz w:val="22"/>
                <w:szCs w:val="22"/>
              </w:rPr>
              <w:t>Percent of enforcement presence</w:t>
            </w:r>
            <w:bookmarkEnd w:id="42"/>
          </w:p>
        </w:tc>
        <w:tc>
          <w:tcPr>
            <w:tcW w:w="1310" w:type="dxa"/>
          </w:tcPr>
          <w:p w14:paraId="2883494A" w14:textId="292379AE" w:rsidR="006C123E" w:rsidRPr="00592097" w:rsidRDefault="006C123E"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0.46%</w:t>
            </w:r>
          </w:p>
        </w:tc>
        <w:tc>
          <w:tcPr>
            <w:tcW w:w="1289" w:type="dxa"/>
          </w:tcPr>
          <w:p w14:paraId="7F964C2C" w14:textId="77777777" w:rsidR="006C123E" w:rsidRPr="00592097" w:rsidRDefault="006C123E" w:rsidP="00181C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92097">
              <w:rPr>
                <w:rFonts w:asciiTheme="minorHAnsi" w:hAnsiTheme="minorHAnsi" w:cstheme="minorHAnsi"/>
                <w:sz w:val="22"/>
                <w:szCs w:val="22"/>
              </w:rPr>
              <w:t>+/- 25% of</w:t>
            </w:r>
          </w:p>
          <w:p w14:paraId="315D63EF" w14:textId="43F534C9" w:rsidR="006C123E" w:rsidRPr="00592097" w:rsidRDefault="006C123E" w:rsidP="00181C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1.00%</w:t>
            </w:r>
          </w:p>
        </w:tc>
        <w:tc>
          <w:tcPr>
            <w:tcW w:w="4346" w:type="dxa"/>
          </w:tcPr>
          <w:p w14:paraId="66CFA076" w14:textId="0AE82590" w:rsidR="006C123E" w:rsidRPr="00592097" w:rsidRDefault="006C123E" w:rsidP="006C123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592097">
              <w:rPr>
                <w:rFonts w:asciiTheme="minorHAnsi" w:hAnsiTheme="minorHAnsi" w:cstheme="minorHAnsi"/>
                <w:sz w:val="22"/>
                <w:szCs w:val="22"/>
              </w:rPr>
              <w:t xml:space="preserve">The further review level is based on a three-year national average.  The range of acceptable data not requiring further review is from </w:t>
            </w:r>
            <w:bookmarkStart w:id="43" w:name="_Hlk187926444"/>
            <w:r w:rsidRPr="00592097">
              <w:rPr>
                <w:rFonts w:asciiTheme="minorHAnsi" w:hAnsiTheme="minorHAnsi" w:cstheme="minorHAnsi"/>
                <w:sz w:val="22"/>
                <w:szCs w:val="22"/>
              </w:rPr>
              <w:t>0.75% to 1.25%.</w:t>
            </w:r>
            <w:bookmarkEnd w:id="43"/>
          </w:p>
        </w:tc>
      </w:tr>
      <w:bookmarkEnd w:id="40"/>
    </w:tbl>
    <w:p w14:paraId="723E33DA" w14:textId="77777777" w:rsidR="005128CD" w:rsidRPr="00592097" w:rsidRDefault="005128CD" w:rsidP="007A71AC">
      <w:pPr>
        <w:widowControl/>
        <w:autoSpaceDE/>
        <w:autoSpaceDN/>
        <w:adjustRightInd/>
        <w:rPr>
          <w:rFonts w:asciiTheme="minorHAnsi" w:hAnsiTheme="minorHAnsi" w:cstheme="minorHAnsi"/>
          <w:b/>
          <w:color w:val="1F497D"/>
          <w:sz w:val="22"/>
          <w:szCs w:val="22"/>
        </w:rPr>
      </w:pPr>
    </w:p>
    <w:p w14:paraId="0A470C61" w14:textId="40A9680D" w:rsidR="005128CD" w:rsidRPr="00EF2F88" w:rsidRDefault="009C4199" w:rsidP="00EF2F88">
      <w:pPr>
        <w:widowControl/>
        <w:autoSpaceDE/>
        <w:autoSpaceDN/>
        <w:adjustRightInd/>
        <w:spacing w:after="160" w:line="259" w:lineRule="auto"/>
        <w:rPr>
          <w:rFonts w:asciiTheme="minorHAnsi" w:eastAsia="Calibri" w:hAnsiTheme="minorHAnsi" w:cstheme="minorHAnsi"/>
          <w:sz w:val="22"/>
          <w:szCs w:val="22"/>
        </w:rPr>
        <w:sectPr w:rsidR="005128CD" w:rsidRPr="00EF2F88" w:rsidSect="00476C08">
          <w:headerReference w:type="default" r:id="rId21"/>
          <w:footerReference w:type="default" r:id="rId22"/>
          <w:pgSz w:w="12240" w:h="15840" w:code="1"/>
          <w:pgMar w:top="1440" w:right="1440" w:bottom="1440" w:left="1440" w:header="720" w:footer="720" w:gutter="0"/>
          <w:cols w:space="720"/>
          <w:noEndnote/>
          <w:docGrid w:linePitch="326"/>
        </w:sectPr>
      </w:pPr>
      <w:r w:rsidRPr="00592097">
        <w:rPr>
          <w:rFonts w:asciiTheme="minorHAnsi" w:eastAsia="Calibri" w:hAnsiTheme="minorHAnsi" w:cstheme="minorHAnsi"/>
          <w:sz w:val="22"/>
          <w:szCs w:val="22"/>
        </w:rPr>
        <w:t>NOTE: The national averages in this report are three-year rolling averages.  Unless otherwise noted, the data contained in this Appendix D is pulled from the State Activity Mandated Measures (SAMM) Report in OIS and the State Plan WebIMIS report run on November 12, 2024, as part of OSHA’s official end-of-year data ru</w:t>
      </w:r>
      <w:r w:rsidR="00EF2F88">
        <w:rPr>
          <w:rFonts w:asciiTheme="minorHAnsi" w:eastAsia="Calibri" w:hAnsiTheme="minorHAnsi" w:cstheme="minorHAnsi"/>
          <w:sz w:val="22"/>
          <w:szCs w:val="22"/>
        </w:rPr>
        <w:t>n.</w:t>
      </w:r>
    </w:p>
    <w:p w14:paraId="6573BAF6" w14:textId="3FAD77B0" w:rsidR="00634539" w:rsidRPr="001C1E47" w:rsidRDefault="00634539" w:rsidP="00634539">
      <w:pPr>
        <w:tabs>
          <w:tab w:val="left" w:pos="3405"/>
        </w:tabs>
        <w:rPr>
          <w:rFonts w:cs="Calibri"/>
        </w:rPr>
      </w:pPr>
    </w:p>
    <w:sectPr w:rsidR="00634539" w:rsidRPr="001C1E47" w:rsidSect="005128CD">
      <w:headerReference w:type="default" r:id="rId23"/>
      <w:footerReference w:type="default" r:id="rId24"/>
      <w:type w:val="continuous"/>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A48FC" w14:textId="77777777" w:rsidR="002438D4" w:rsidRDefault="002438D4" w:rsidP="00C872A0">
      <w:r>
        <w:separator/>
      </w:r>
    </w:p>
  </w:endnote>
  <w:endnote w:type="continuationSeparator" w:id="0">
    <w:p w14:paraId="0DF13CD6" w14:textId="77777777" w:rsidR="002438D4" w:rsidRDefault="002438D4" w:rsidP="00C872A0">
      <w:r>
        <w:continuationSeparator/>
      </w:r>
    </w:p>
  </w:endnote>
  <w:endnote w:type="continuationNotice" w:id="1">
    <w:p w14:paraId="6EACCA20" w14:textId="77777777" w:rsidR="002438D4" w:rsidRDefault="00243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432793"/>
      <w:docPartObj>
        <w:docPartGallery w:val="Page Numbers (Bottom of Page)"/>
        <w:docPartUnique/>
      </w:docPartObj>
    </w:sdtPr>
    <w:sdtEndPr>
      <w:rPr>
        <w:noProof/>
      </w:rPr>
    </w:sdtEndPr>
    <w:sdtContent>
      <w:p w14:paraId="11289CDA" w14:textId="0C5A4EA1" w:rsidR="00A1156F" w:rsidRDefault="00A1156F">
        <w:pPr>
          <w:pStyle w:val="Footer"/>
          <w:jc w:val="right"/>
        </w:pPr>
        <w:r>
          <w:fldChar w:fldCharType="begin"/>
        </w:r>
        <w:r>
          <w:instrText xml:space="preserve"> PAGE   \* MERGEFORMAT </w:instrText>
        </w:r>
        <w:r>
          <w:fldChar w:fldCharType="separate"/>
        </w:r>
        <w:r w:rsidR="002E4122">
          <w:rPr>
            <w:noProof/>
          </w:rPr>
          <w:t>13</w:t>
        </w:r>
        <w:r>
          <w:rPr>
            <w:noProof/>
          </w:rPr>
          <w:fldChar w:fldCharType="end"/>
        </w:r>
      </w:p>
    </w:sdtContent>
  </w:sdt>
  <w:p w14:paraId="758E56D4" w14:textId="4502FAB5" w:rsidR="00A1156F" w:rsidRDefault="00A1156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4D72" w14:textId="77777777" w:rsidR="00A1156F" w:rsidRDefault="00A1156F">
    <w:pPr>
      <w:pStyle w:val="Footer"/>
      <w:jc w:val="center"/>
    </w:pPr>
  </w:p>
  <w:p w14:paraId="0AB20AA6" w14:textId="77777777" w:rsidR="00A1156F" w:rsidRDefault="00A1156F"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48562"/>
      <w:docPartObj>
        <w:docPartGallery w:val="Page Numbers (Bottom of Page)"/>
        <w:docPartUnique/>
      </w:docPartObj>
    </w:sdtPr>
    <w:sdtEndPr>
      <w:rPr>
        <w:noProof/>
      </w:rPr>
    </w:sdtEndPr>
    <w:sdtContent>
      <w:p w14:paraId="4BC72A5B" w14:textId="6BCECD67" w:rsidR="00A1156F" w:rsidRDefault="00A1156F">
        <w:pPr>
          <w:pStyle w:val="Footer"/>
          <w:jc w:val="right"/>
        </w:pPr>
        <w:r>
          <w:fldChar w:fldCharType="begin"/>
        </w:r>
        <w:r>
          <w:instrText xml:space="preserve"> PAGE   \* MERGEFORMAT </w:instrText>
        </w:r>
        <w:r>
          <w:fldChar w:fldCharType="separate"/>
        </w:r>
        <w:r w:rsidR="002E4122">
          <w:rPr>
            <w:noProof/>
          </w:rPr>
          <w:t>17</w:t>
        </w:r>
        <w:r>
          <w:rPr>
            <w:noProof/>
          </w:rPr>
          <w:fldChar w:fldCharType="end"/>
        </w:r>
      </w:p>
    </w:sdtContent>
  </w:sdt>
  <w:p w14:paraId="24A6DEBE" w14:textId="77777777" w:rsidR="00A1156F" w:rsidRDefault="00A1156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046971"/>
      <w:docPartObj>
        <w:docPartGallery w:val="Page Numbers (Bottom of Page)"/>
        <w:docPartUnique/>
      </w:docPartObj>
    </w:sdtPr>
    <w:sdtEndPr>
      <w:rPr>
        <w:noProof/>
      </w:rPr>
    </w:sdtEndPr>
    <w:sdtContent>
      <w:p w14:paraId="62D46706" w14:textId="5F8EF3CC" w:rsidR="00A1156F" w:rsidRDefault="00A1156F">
        <w:pPr>
          <w:pStyle w:val="Footer"/>
          <w:jc w:val="right"/>
        </w:pPr>
        <w:r>
          <w:fldChar w:fldCharType="begin"/>
        </w:r>
        <w:r>
          <w:instrText xml:space="preserve"> PAGE   \* MERGEFORMAT </w:instrText>
        </w:r>
        <w:r>
          <w:fldChar w:fldCharType="separate"/>
        </w:r>
        <w:r w:rsidR="002E4122">
          <w:rPr>
            <w:noProof/>
          </w:rPr>
          <w:t>14</w:t>
        </w:r>
        <w:r>
          <w:rPr>
            <w:noProof/>
          </w:rPr>
          <w:fldChar w:fldCharType="end"/>
        </w:r>
      </w:p>
    </w:sdtContent>
  </w:sdt>
  <w:p w14:paraId="59B6D71E" w14:textId="77777777" w:rsidR="00A1156F" w:rsidRDefault="00A115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0D64" w14:textId="77777777" w:rsidR="00A1156F" w:rsidRDefault="00A1156F">
    <w:pPr>
      <w:pStyle w:val="Footer"/>
      <w:jc w:val="center"/>
    </w:pPr>
    <w:r>
      <w:t>B-1</w:t>
    </w:r>
  </w:p>
  <w:p w14:paraId="1056AAF8" w14:textId="77777777" w:rsidR="00A1156F" w:rsidRDefault="00A115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072240"/>
      <w:docPartObj>
        <w:docPartGallery w:val="Page Numbers (Bottom of Page)"/>
        <w:docPartUnique/>
      </w:docPartObj>
    </w:sdtPr>
    <w:sdtEndPr>
      <w:rPr>
        <w:noProof/>
      </w:rPr>
    </w:sdtEndPr>
    <w:sdtContent>
      <w:p w14:paraId="7413F5BF" w14:textId="6DC9C3F1" w:rsidR="00A1156F" w:rsidRDefault="00A1156F">
        <w:pPr>
          <w:pStyle w:val="Footer"/>
          <w:jc w:val="right"/>
        </w:pPr>
        <w:r>
          <w:fldChar w:fldCharType="begin"/>
        </w:r>
        <w:r>
          <w:instrText xml:space="preserve"> PAGE   \* MERGEFORMAT </w:instrText>
        </w:r>
        <w:r>
          <w:fldChar w:fldCharType="separate"/>
        </w:r>
        <w:r w:rsidR="002E4122">
          <w:rPr>
            <w:noProof/>
          </w:rPr>
          <w:t>18</w:t>
        </w:r>
        <w:r>
          <w:rPr>
            <w:noProof/>
          </w:rPr>
          <w:fldChar w:fldCharType="end"/>
        </w:r>
      </w:p>
    </w:sdtContent>
  </w:sdt>
  <w:p w14:paraId="2409E6FE" w14:textId="77777777" w:rsidR="00A1156F" w:rsidRDefault="00A1156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475891"/>
      <w:docPartObj>
        <w:docPartGallery w:val="Page Numbers (Bottom of Page)"/>
        <w:docPartUnique/>
      </w:docPartObj>
    </w:sdtPr>
    <w:sdtEndPr>
      <w:rPr>
        <w:noProof/>
      </w:rPr>
    </w:sdtEndPr>
    <w:sdtContent>
      <w:p w14:paraId="2EB48E40" w14:textId="445F719E" w:rsidR="00A1156F" w:rsidRDefault="00A1156F">
        <w:pPr>
          <w:pStyle w:val="Footer"/>
          <w:jc w:val="right"/>
        </w:pPr>
        <w:r>
          <w:fldChar w:fldCharType="begin"/>
        </w:r>
        <w:r>
          <w:instrText xml:space="preserve"> PAGE   \* MERGEFORMAT </w:instrText>
        </w:r>
        <w:r>
          <w:fldChar w:fldCharType="separate"/>
        </w:r>
        <w:r w:rsidR="002E4122">
          <w:rPr>
            <w:noProof/>
          </w:rPr>
          <w:t>21</w:t>
        </w:r>
        <w:r>
          <w:rPr>
            <w:noProof/>
          </w:rPr>
          <w:fldChar w:fldCharType="end"/>
        </w:r>
      </w:p>
    </w:sdtContent>
  </w:sdt>
  <w:p w14:paraId="43E3659E" w14:textId="1668AEAF" w:rsidR="00A1156F" w:rsidRPr="00E20610" w:rsidRDefault="00A1156F" w:rsidP="00E2061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AADA" w14:textId="7AB042DC" w:rsidR="00A1156F" w:rsidRPr="000E07E7" w:rsidRDefault="00A1156F"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3F3A0" w14:textId="77777777" w:rsidR="002438D4" w:rsidRDefault="002438D4" w:rsidP="00C872A0">
      <w:r>
        <w:separator/>
      </w:r>
    </w:p>
  </w:footnote>
  <w:footnote w:type="continuationSeparator" w:id="0">
    <w:p w14:paraId="0F2B9868" w14:textId="77777777" w:rsidR="002438D4" w:rsidRDefault="002438D4" w:rsidP="00C872A0">
      <w:r>
        <w:continuationSeparator/>
      </w:r>
    </w:p>
  </w:footnote>
  <w:footnote w:type="continuationNotice" w:id="1">
    <w:p w14:paraId="280A2E20" w14:textId="77777777" w:rsidR="002438D4" w:rsidRDefault="00243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59F0" w14:textId="574F2C4F" w:rsidR="00A1156F" w:rsidRPr="00B6741C" w:rsidRDefault="00A1156F" w:rsidP="00B67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A15F" w14:textId="0461E266" w:rsidR="00A1156F" w:rsidRPr="00B6741C" w:rsidRDefault="00A1156F" w:rsidP="00B67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CA39" w14:textId="77777777" w:rsidR="00A1156F" w:rsidRPr="00283FF9" w:rsidRDefault="00A1156F" w:rsidP="00BC54A4">
    <w:pPr>
      <w:pStyle w:val="Heading2"/>
    </w:pPr>
    <w:r w:rsidRPr="00283FF9">
      <w:t>Appendix B – Observations and Federal Monitoring Plans</w:t>
    </w:r>
  </w:p>
  <w:p w14:paraId="5EEDD947" w14:textId="7B32B4C1" w:rsidR="00A1156F" w:rsidRDefault="00A1156F" w:rsidP="000A134A">
    <w:pPr>
      <w:jc w:val="center"/>
    </w:pPr>
    <w:r>
      <w:t>FY 2022 [</w:t>
    </w:r>
    <w:r>
      <w:rPr>
        <w:i/>
      </w:rPr>
      <w:t>State Plan Name</w:t>
    </w:r>
    <w:r w:rsidRPr="001056A7">
      <w:t>]</w:t>
    </w:r>
    <w:r w:rsidRPr="003E7A6E">
      <w:t xml:space="preserve"> </w:t>
    </w:r>
    <w:r>
      <w:t>Follow-up FAME Report</w:t>
    </w:r>
  </w:p>
  <w:p w14:paraId="65B55A33" w14:textId="77777777" w:rsidR="00A1156F" w:rsidRDefault="00A1156F" w:rsidP="000A134A">
    <w:pPr>
      <w:jc w:val="center"/>
    </w:pPr>
  </w:p>
  <w:p w14:paraId="79523575" w14:textId="77777777" w:rsidR="00A1156F" w:rsidRDefault="00A1156F" w:rsidP="000A134A">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B8D7" w14:textId="77777777" w:rsidR="00A1156F" w:rsidRDefault="00A1156F" w:rsidP="009A2ED6">
    <w:pPr>
      <w:pStyle w:val="Header"/>
      <w:jc w:val="center"/>
      <w:rPr>
        <w:b/>
      </w:rPr>
    </w:pPr>
  </w:p>
  <w:p w14:paraId="2DCFF2A3" w14:textId="77777777" w:rsidR="00A1156F" w:rsidRPr="009A2ED6" w:rsidRDefault="00A1156F" w:rsidP="009A2ED6">
    <w:pPr>
      <w:pStyle w:val="Header"/>
      <w:jc w:val="center"/>
      <w:rPr>
        <w:b/>
      </w:rPr>
    </w:pPr>
  </w:p>
  <w:p w14:paraId="1D9C2B96" w14:textId="77777777" w:rsidR="00A1156F" w:rsidRPr="000767C0" w:rsidRDefault="00A1156F" w:rsidP="009A2ED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92CC" w14:textId="0A117B51" w:rsidR="00A1156F" w:rsidRPr="006F2309" w:rsidRDefault="00A1156F" w:rsidP="006F2309">
    <w:pPr>
      <w:pStyle w:val="Header"/>
    </w:pPr>
    <w:r w:rsidRPr="006F2309">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A0A7" w14:textId="11A2137F" w:rsidR="00A1156F" w:rsidRPr="00D2585B" w:rsidRDefault="00A1156F" w:rsidP="00D258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E7B3" w14:textId="2FA7B352" w:rsidR="00A1156F" w:rsidRPr="000767C0" w:rsidRDefault="00A1156F"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E8935DA"/>
    <w:multiLevelType w:val="hybridMultilevel"/>
    <w:tmpl w:val="D2CA0744"/>
    <w:lvl w:ilvl="0" w:tplc="3D401F66">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B477B"/>
    <w:multiLevelType w:val="hybridMultilevel"/>
    <w:tmpl w:val="0F1E3E42"/>
    <w:lvl w:ilvl="0" w:tplc="ED8CD0EE">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95523AE"/>
    <w:multiLevelType w:val="hybridMultilevel"/>
    <w:tmpl w:val="0232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919557541">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195272883">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470509939">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407121669">
    <w:abstractNumId w:val="30"/>
  </w:num>
  <w:num w:numId="5" w16cid:durableId="1347974721">
    <w:abstractNumId w:val="28"/>
  </w:num>
  <w:num w:numId="6" w16cid:durableId="1857961660">
    <w:abstractNumId w:val="25"/>
  </w:num>
  <w:num w:numId="7" w16cid:durableId="628510673">
    <w:abstractNumId w:val="26"/>
  </w:num>
  <w:num w:numId="8" w16cid:durableId="1488208582">
    <w:abstractNumId w:val="29"/>
  </w:num>
  <w:num w:numId="9" w16cid:durableId="1462846100">
    <w:abstractNumId w:val="27"/>
  </w:num>
  <w:num w:numId="10" w16cid:durableId="629091058">
    <w:abstractNumId w:val="32"/>
  </w:num>
  <w:num w:numId="11" w16cid:durableId="354312115">
    <w:abstractNumId w:val="23"/>
  </w:num>
  <w:num w:numId="12" w16cid:durableId="227308056">
    <w:abstractNumId w:val="24"/>
  </w:num>
  <w:num w:numId="13" w16cid:durableId="1272205878">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1CA7"/>
    <w:rsid w:val="0000201A"/>
    <w:rsid w:val="00002100"/>
    <w:rsid w:val="00002805"/>
    <w:rsid w:val="00002B73"/>
    <w:rsid w:val="00002E9A"/>
    <w:rsid w:val="00003243"/>
    <w:rsid w:val="000036AB"/>
    <w:rsid w:val="00004200"/>
    <w:rsid w:val="0000422C"/>
    <w:rsid w:val="00007781"/>
    <w:rsid w:val="00011174"/>
    <w:rsid w:val="000111A5"/>
    <w:rsid w:val="0001161E"/>
    <w:rsid w:val="000116C0"/>
    <w:rsid w:val="000136CB"/>
    <w:rsid w:val="000149C1"/>
    <w:rsid w:val="00014C7A"/>
    <w:rsid w:val="00015DE9"/>
    <w:rsid w:val="00016214"/>
    <w:rsid w:val="00016803"/>
    <w:rsid w:val="0001706D"/>
    <w:rsid w:val="00017349"/>
    <w:rsid w:val="000208C7"/>
    <w:rsid w:val="00021274"/>
    <w:rsid w:val="000217D1"/>
    <w:rsid w:val="00021FE0"/>
    <w:rsid w:val="00022659"/>
    <w:rsid w:val="00022BEE"/>
    <w:rsid w:val="00023E67"/>
    <w:rsid w:val="000248F0"/>
    <w:rsid w:val="000254CD"/>
    <w:rsid w:val="0002572C"/>
    <w:rsid w:val="00025F57"/>
    <w:rsid w:val="00026CEE"/>
    <w:rsid w:val="00026D63"/>
    <w:rsid w:val="00027093"/>
    <w:rsid w:val="000304BB"/>
    <w:rsid w:val="000327A3"/>
    <w:rsid w:val="000331EB"/>
    <w:rsid w:val="000339AB"/>
    <w:rsid w:val="00033AED"/>
    <w:rsid w:val="0003442F"/>
    <w:rsid w:val="00034A4E"/>
    <w:rsid w:val="00035083"/>
    <w:rsid w:val="000355C1"/>
    <w:rsid w:val="0003567C"/>
    <w:rsid w:val="0003568A"/>
    <w:rsid w:val="00036865"/>
    <w:rsid w:val="00036BF8"/>
    <w:rsid w:val="00036EB4"/>
    <w:rsid w:val="00036F0D"/>
    <w:rsid w:val="00037146"/>
    <w:rsid w:val="00037688"/>
    <w:rsid w:val="00037F48"/>
    <w:rsid w:val="000404ED"/>
    <w:rsid w:val="00042327"/>
    <w:rsid w:val="00043515"/>
    <w:rsid w:val="00043ADB"/>
    <w:rsid w:val="00044436"/>
    <w:rsid w:val="000447C9"/>
    <w:rsid w:val="000449F8"/>
    <w:rsid w:val="00045124"/>
    <w:rsid w:val="00045479"/>
    <w:rsid w:val="00045BD6"/>
    <w:rsid w:val="00045C51"/>
    <w:rsid w:val="00046151"/>
    <w:rsid w:val="00046417"/>
    <w:rsid w:val="000468C6"/>
    <w:rsid w:val="00046BEE"/>
    <w:rsid w:val="00046E13"/>
    <w:rsid w:val="000470EE"/>
    <w:rsid w:val="0005007B"/>
    <w:rsid w:val="00050FEB"/>
    <w:rsid w:val="0005151B"/>
    <w:rsid w:val="000517FA"/>
    <w:rsid w:val="00051B7E"/>
    <w:rsid w:val="00052B36"/>
    <w:rsid w:val="00053A2C"/>
    <w:rsid w:val="00053E7F"/>
    <w:rsid w:val="00054135"/>
    <w:rsid w:val="00054416"/>
    <w:rsid w:val="000545B2"/>
    <w:rsid w:val="00054900"/>
    <w:rsid w:val="00055243"/>
    <w:rsid w:val="00055B40"/>
    <w:rsid w:val="00055F2C"/>
    <w:rsid w:val="000561AB"/>
    <w:rsid w:val="00056F70"/>
    <w:rsid w:val="000573D8"/>
    <w:rsid w:val="00057840"/>
    <w:rsid w:val="00057D83"/>
    <w:rsid w:val="0006064B"/>
    <w:rsid w:val="00060D39"/>
    <w:rsid w:val="00061215"/>
    <w:rsid w:val="00061875"/>
    <w:rsid w:val="00061C80"/>
    <w:rsid w:val="000625FB"/>
    <w:rsid w:val="0006398D"/>
    <w:rsid w:val="00065AB2"/>
    <w:rsid w:val="0006611A"/>
    <w:rsid w:val="00066173"/>
    <w:rsid w:val="00066A7B"/>
    <w:rsid w:val="00066C52"/>
    <w:rsid w:val="000701E4"/>
    <w:rsid w:val="0007073F"/>
    <w:rsid w:val="0007157F"/>
    <w:rsid w:val="00071E71"/>
    <w:rsid w:val="000724F1"/>
    <w:rsid w:val="0007306B"/>
    <w:rsid w:val="00074045"/>
    <w:rsid w:val="000743D1"/>
    <w:rsid w:val="000745E4"/>
    <w:rsid w:val="00074876"/>
    <w:rsid w:val="000760CB"/>
    <w:rsid w:val="00076601"/>
    <w:rsid w:val="000767C0"/>
    <w:rsid w:val="00077410"/>
    <w:rsid w:val="00077842"/>
    <w:rsid w:val="00081352"/>
    <w:rsid w:val="0008242F"/>
    <w:rsid w:val="00082595"/>
    <w:rsid w:val="00082B30"/>
    <w:rsid w:val="00083A76"/>
    <w:rsid w:val="00084F8C"/>
    <w:rsid w:val="00085230"/>
    <w:rsid w:val="0008640E"/>
    <w:rsid w:val="00086F2F"/>
    <w:rsid w:val="0008759E"/>
    <w:rsid w:val="00087EE9"/>
    <w:rsid w:val="00090155"/>
    <w:rsid w:val="0009027E"/>
    <w:rsid w:val="000902ED"/>
    <w:rsid w:val="0009134A"/>
    <w:rsid w:val="00091ABD"/>
    <w:rsid w:val="00091AE2"/>
    <w:rsid w:val="00091B54"/>
    <w:rsid w:val="000923E0"/>
    <w:rsid w:val="00092555"/>
    <w:rsid w:val="00092803"/>
    <w:rsid w:val="000929B5"/>
    <w:rsid w:val="00092F1B"/>
    <w:rsid w:val="00093239"/>
    <w:rsid w:val="00094075"/>
    <w:rsid w:val="0009535D"/>
    <w:rsid w:val="0009583F"/>
    <w:rsid w:val="00096432"/>
    <w:rsid w:val="000969E2"/>
    <w:rsid w:val="00097B54"/>
    <w:rsid w:val="00097C03"/>
    <w:rsid w:val="000A023E"/>
    <w:rsid w:val="000A11FF"/>
    <w:rsid w:val="000A134A"/>
    <w:rsid w:val="000A1A8D"/>
    <w:rsid w:val="000A1CE9"/>
    <w:rsid w:val="000A2DE7"/>
    <w:rsid w:val="000A3878"/>
    <w:rsid w:val="000A40EC"/>
    <w:rsid w:val="000A55DB"/>
    <w:rsid w:val="000A658C"/>
    <w:rsid w:val="000A7279"/>
    <w:rsid w:val="000A745C"/>
    <w:rsid w:val="000A7628"/>
    <w:rsid w:val="000A7A05"/>
    <w:rsid w:val="000B07D7"/>
    <w:rsid w:val="000B1A5B"/>
    <w:rsid w:val="000B1ECC"/>
    <w:rsid w:val="000B22E4"/>
    <w:rsid w:val="000B258D"/>
    <w:rsid w:val="000B37C6"/>
    <w:rsid w:val="000B3A37"/>
    <w:rsid w:val="000B440B"/>
    <w:rsid w:val="000B4852"/>
    <w:rsid w:val="000B5A71"/>
    <w:rsid w:val="000B6A8A"/>
    <w:rsid w:val="000B6CF2"/>
    <w:rsid w:val="000C04C6"/>
    <w:rsid w:val="000C0E15"/>
    <w:rsid w:val="000C0E53"/>
    <w:rsid w:val="000C12C6"/>
    <w:rsid w:val="000C1882"/>
    <w:rsid w:val="000C1ED8"/>
    <w:rsid w:val="000C295F"/>
    <w:rsid w:val="000C2E74"/>
    <w:rsid w:val="000C368E"/>
    <w:rsid w:val="000C38BD"/>
    <w:rsid w:val="000C4141"/>
    <w:rsid w:val="000C43DE"/>
    <w:rsid w:val="000C46E4"/>
    <w:rsid w:val="000C4A53"/>
    <w:rsid w:val="000C515B"/>
    <w:rsid w:val="000C5C82"/>
    <w:rsid w:val="000C6378"/>
    <w:rsid w:val="000C7C9A"/>
    <w:rsid w:val="000D1D75"/>
    <w:rsid w:val="000D343F"/>
    <w:rsid w:val="000D4560"/>
    <w:rsid w:val="000D4A64"/>
    <w:rsid w:val="000D6AFF"/>
    <w:rsid w:val="000D73C4"/>
    <w:rsid w:val="000D750A"/>
    <w:rsid w:val="000D7AAD"/>
    <w:rsid w:val="000E0408"/>
    <w:rsid w:val="000E07E7"/>
    <w:rsid w:val="000E086F"/>
    <w:rsid w:val="000E0DD1"/>
    <w:rsid w:val="000E1336"/>
    <w:rsid w:val="000E1AA2"/>
    <w:rsid w:val="000E1D78"/>
    <w:rsid w:val="000E20A2"/>
    <w:rsid w:val="000E46F3"/>
    <w:rsid w:val="000E4B7A"/>
    <w:rsid w:val="000E5791"/>
    <w:rsid w:val="000E5C64"/>
    <w:rsid w:val="000E6466"/>
    <w:rsid w:val="000E6E2E"/>
    <w:rsid w:val="000E78E3"/>
    <w:rsid w:val="000E7F42"/>
    <w:rsid w:val="000F1D68"/>
    <w:rsid w:val="000F1E49"/>
    <w:rsid w:val="000F2C96"/>
    <w:rsid w:val="000F3D54"/>
    <w:rsid w:val="000F46ED"/>
    <w:rsid w:val="000F4DA3"/>
    <w:rsid w:val="000F4F6B"/>
    <w:rsid w:val="000F5631"/>
    <w:rsid w:val="000F5A36"/>
    <w:rsid w:val="000F63C1"/>
    <w:rsid w:val="000F6A5C"/>
    <w:rsid w:val="000F7ECC"/>
    <w:rsid w:val="001027FB"/>
    <w:rsid w:val="001032C7"/>
    <w:rsid w:val="0010344E"/>
    <w:rsid w:val="001039FA"/>
    <w:rsid w:val="001053E4"/>
    <w:rsid w:val="001056A7"/>
    <w:rsid w:val="0011011A"/>
    <w:rsid w:val="00110CB0"/>
    <w:rsid w:val="001113A1"/>
    <w:rsid w:val="00112C81"/>
    <w:rsid w:val="00112D66"/>
    <w:rsid w:val="00112E15"/>
    <w:rsid w:val="0011326F"/>
    <w:rsid w:val="00114A21"/>
    <w:rsid w:val="00114EBB"/>
    <w:rsid w:val="00115206"/>
    <w:rsid w:val="0011522A"/>
    <w:rsid w:val="00115A64"/>
    <w:rsid w:val="00115B48"/>
    <w:rsid w:val="00115C5A"/>
    <w:rsid w:val="00115DF5"/>
    <w:rsid w:val="00116055"/>
    <w:rsid w:val="001170E4"/>
    <w:rsid w:val="00117115"/>
    <w:rsid w:val="001174A0"/>
    <w:rsid w:val="00117504"/>
    <w:rsid w:val="001206B1"/>
    <w:rsid w:val="00121540"/>
    <w:rsid w:val="0012164B"/>
    <w:rsid w:val="00122228"/>
    <w:rsid w:val="001226B4"/>
    <w:rsid w:val="0012279E"/>
    <w:rsid w:val="00122839"/>
    <w:rsid w:val="00122BD3"/>
    <w:rsid w:val="00122C5A"/>
    <w:rsid w:val="00123007"/>
    <w:rsid w:val="00123A35"/>
    <w:rsid w:val="00123AC4"/>
    <w:rsid w:val="0012483D"/>
    <w:rsid w:val="00125065"/>
    <w:rsid w:val="0012523A"/>
    <w:rsid w:val="00125345"/>
    <w:rsid w:val="001255CC"/>
    <w:rsid w:val="00125C8A"/>
    <w:rsid w:val="00126880"/>
    <w:rsid w:val="0013194D"/>
    <w:rsid w:val="00132016"/>
    <w:rsid w:val="00132862"/>
    <w:rsid w:val="00132F71"/>
    <w:rsid w:val="001330E6"/>
    <w:rsid w:val="001341FE"/>
    <w:rsid w:val="001342D5"/>
    <w:rsid w:val="00134F5C"/>
    <w:rsid w:val="00134F5D"/>
    <w:rsid w:val="001358F0"/>
    <w:rsid w:val="00136DA3"/>
    <w:rsid w:val="00136EAC"/>
    <w:rsid w:val="001376D1"/>
    <w:rsid w:val="001379EF"/>
    <w:rsid w:val="00140A6A"/>
    <w:rsid w:val="00140C21"/>
    <w:rsid w:val="00141758"/>
    <w:rsid w:val="0014199D"/>
    <w:rsid w:val="00141C25"/>
    <w:rsid w:val="00141E6F"/>
    <w:rsid w:val="00142198"/>
    <w:rsid w:val="00142273"/>
    <w:rsid w:val="00143ACD"/>
    <w:rsid w:val="0014420A"/>
    <w:rsid w:val="00144454"/>
    <w:rsid w:val="00144A53"/>
    <w:rsid w:val="00144C19"/>
    <w:rsid w:val="00144CFA"/>
    <w:rsid w:val="00145BC1"/>
    <w:rsid w:val="00145C4B"/>
    <w:rsid w:val="001469F6"/>
    <w:rsid w:val="001471B8"/>
    <w:rsid w:val="00147B01"/>
    <w:rsid w:val="00147F8B"/>
    <w:rsid w:val="00150011"/>
    <w:rsid w:val="00150AB3"/>
    <w:rsid w:val="00150F03"/>
    <w:rsid w:val="001515BB"/>
    <w:rsid w:val="00151BCC"/>
    <w:rsid w:val="00151CFD"/>
    <w:rsid w:val="00152207"/>
    <w:rsid w:val="00152BBD"/>
    <w:rsid w:val="00153B55"/>
    <w:rsid w:val="0015538A"/>
    <w:rsid w:val="00155591"/>
    <w:rsid w:val="0015651D"/>
    <w:rsid w:val="00156CD6"/>
    <w:rsid w:val="00156E0C"/>
    <w:rsid w:val="00157520"/>
    <w:rsid w:val="00161740"/>
    <w:rsid w:val="001621B6"/>
    <w:rsid w:val="0016336D"/>
    <w:rsid w:val="0016380E"/>
    <w:rsid w:val="00163E90"/>
    <w:rsid w:val="00164911"/>
    <w:rsid w:val="0016655A"/>
    <w:rsid w:val="001704E4"/>
    <w:rsid w:val="001709C3"/>
    <w:rsid w:val="00171378"/>
    <w:rsid w:val="00172085"/>
    <w:rsid w:val="00172F08"/>
    <w:rsid w:val="00173853"/>
    <w:rsid w:val="00175294"/>
    <w:rsid w:val="0017552C"/>
    <w:rsid w:val="00175C8F"/>
    <w:rsid w:val="00176DF8"/>
    <w:rsid w:val="001773BF"/>
    <w:rsid w:val="00177A1E"/>
    <w:rsid w:val="00177D70"/>
    <w:rsid w:val="001800F8"/>
    <w:rsid w:val="00181465"/>
    <w:rsid w:val="00181CC5"/>
    <w:rsid w:val="00182B5C"/>
    <w:rsid w:val="00182BCD"/>
    <w:rsid w:val="00182CE0"/>
    <w:rsid w:val="00182F95"/>
    <w:rsid w:val="00183203"/>
    <w:rsid w:val="00183439"/>
    <w:rsid w:val="001843E2"/>
    <w:rsid w:val="00184E43"/>
    <w:rsid w:val="00185850"/>
    <w:rsid w:val="00185C7D"/>
    <w:rsid w:val="001861B8"/>
    <w:rsid w:val="00187065"/>
    <w:rsid w:val="00187182"/>
    <w:rsid w:val="001902FE"/>
    <w:rsid w:val="00190C9F"/>
    <w:rsid w:val="00191B07"/>
    <w:rsid w:val="001927A4"/>
    <w:rsid w:val="00192881"/>
    <w:rsid w:val="00192C14"/>
    <w:rsid w:val="00192EA7"/>
    <w:rsid w:val="00193CFB"/>
    <w:rsid w:val="00193E53"/>
    <w:rsid w:val="001941DE"/>
    <w:rsid w:val="00195153"/>
    <w:rsid w:val="00195587"/>
    <w:rsid w:val="001958C8"/>
    <w:rsid w:val="00195BCC"/>
    <w:rsid w:val="00196264"/>
    <w:rsid w:val="001A0D34"/>
    <w:rsid w:val="001A0F7F"/>
    <w:rsid w:val="001A12F6"/>
    <w:rsid w:val="001A2967"/>
    <w:rsid w:val="001A335E"/>
    <w:rsid w:val="001A3671"/>
    <w:rsid w:val="001A3CA1"/>
    <w:rsid w:val="001A5A8D"/>
    <w:rsid w:val="001A6B79"/>
    <w:rsid w:val="001A7705"/>
    <w:rsid w:val="001A7BB9"/>
    <w:rsid w:val="001A7F60"/>
    <w:rsid w:val="001B0219"/>
    <w:rsid w:val="001B02D7"/>
    <w:rsid w:val="001B032C"/>
    <w:rsid w:val="001B04E9"/>
    <w:rsid w:val="001B0632"/>
    <w:rsid w:val="001B0AF1"/>
    <w:rsid w:val="001B1268"/>
    <w:rsid w:val="001B160F"/>
    <w:rsid w:val="001B1BF8"/>
    <w:rsid w:val="001B284A"/>
    <w:rsid w:val="001B2E64"/>
    <w:rsid w:val="001B313F"/>
    <w:rsid w:val="001B346B"/>
    <w:rsid w:val="001B3863"/>
    <w:rsid w:val="001B608E"/>
    <w:rsid w:val="001B6695"/>
    <w:rsid w:val="001B6DA7"/>
    <w:rsid w:val="001B74DB"/>
    <w:rsid w:val="001B7561"/>
    <w:rsid w:val="001B764D"/>
    <w:rsid w:val="001B77A2"/>
    <w:rsid w:val="001B7C56"/>
    <w:rsid w:val="001B7C82"/>
    <w:rsid w:val="001B7D9B"/>
    <w:rsid w:val="001C09BD"/>
    <w:rsid w:val="001C154D"/>
    <w:rsid w:val="001C1E47"/>
    <w:rsid w:val="001C2B11"/>
    <w:rsid w:val="001C2C96"/>
    <w:rsid w:val="001C3276"/>
    <w:rsid w:val="001C3FAF"/>
    <w:rsid w:val="001C408F"/>
    <w:rsid w:val="001C44E8"/>
    <w:rsid w:val="001C560E"/>
    <w:rsid w:val="001C58C2"/>
    <w:rsid w:val="001C5B81"/>
    <w:rsid w:val="001C620B"/>
    <w:rsid w:val="001D1819"/>
    <w:rsid w:val="001D1A16"/>
    <w:rsid w:val="001D27FE"/>
    <w:rsid w:val="001D3175"/>
    <w:rsid w:val="001D42F6"/>
    <w:rsid w:val="001D477B"/>
    <w:rsid w:val="001D48C2"/>
    <w:rsid w:val="001D4EEB"/>
    <w:rsid w:val="001D6530"/>
    <w:rsid w:val="001D681F"/>
    <w:rsid w:val="001D6D59"/>
    <w:rsid w:val="001D7428"/>
    <w:rsid w:val="001D7613"/>
    <w:rsid w:val="001E0080"/>
    <w:rsid w:val="001E0EFF"/>
    <w:rsid w:val="001E0FB5"/>
    <w:rsid w:val="001E1B35"/>
    <w:rsid w:val="001E1C59"/>
    <w:rsid w:val="001E1C5D"/>
    <w:rsid w:val="001E1FD1"/>
    <w:rsid w:val="001E2D62"/>
    <w:rsid w:val="001E2FBB"/>
    <w:rsid w:val="001E4163"/>
    <w:rsid w:val="001E4BC9"/>
    <w:rsid w:val="001E4D28"/>
    <w:rsid w:val="001E4F8A"/>
    <w:rsid w:val="001E5ABD"/>
    <w:rsid w:val="001E5C43"/>
    <w:rsid w:val="001E5FE4"/>
    <w:rsid w:val="001E7035"/>
    <w:rsid w:val="001E71BA"/>
    <w:rsid w:val="001F0B2D"/>
    <w:rsid w:val="001F0B51"/>
    <w:rsid w:val="001F1D8A"/>
    <w:rsid w:val="001F23F4"/>
    <w:rsid w:val="001F2C21"/>
    <w:rsid w:val="001F30D4"/>
    <w:rsid w:val="001F359C"/>
    <w:rsid w:val="001F3750"/>
    <w:rsid w:val="001F40E1"/>
    <w:rsid w:val="001F58B8"/>
    <w:rsid w:val="001F68C3"/>
    <w:rsid w:val="00200B55"/>
    <w:rsid w:val="00200D27"/>
    <w:rsid w:val="00200E48"/>
    <w:rsid w:val="002011AC"/>
    <w:rsid w:val="00201EB9"/>
    <w:rsid w:val="00202A89"/>
    <w:rsid w:val="00202BD7"/>
    <w:rsid w:val="00203755"/>
    <w:rsid w:val="002048CC"/>
    <w:rsid w:val="0020506D"/>
    <w:rsid w:val="00205391"/>
    <w:rsid w:val="002056CA"/>
    <w:rsid w:val="002057A1"/>
    <w:rsid w:val="00205A99"/>
    <w:rsid w:val="00205B95"/>
    <w:rsid w:val="0020733F"/>
    <w:rsid w:val="00207B94"/>
    <w:rsid w:val="00210157"/>
    <w:rsid w:val="00210E15"/>
    <w:rsid w:val="00211626"/>
    <w:rsid w:val="0021277A"/>
    <w:rsid w:val="00212BC7"/>
    <w:rsid w:val="0021380C"/>
    <w:rsid w:val="00213FCA"/>
    <w:rsid w:val="0021463C"/>
    <w:rsid w:val="00215A79"/>
    <w:rsid w:val="00216621"/>
    <w:rsid w:val="00216B0E"/>
    <w:rsid w:val="00216E44"/>
    <w:rsid w:val="00217433"/>
    <w:rsid w:val="00217437"/>
    <w:rsid w:val="00217E4D"/>
    <w:rsid w:val="0022017B"/>
    <w:rsid w:val="00221136"/>
    <w:rsid w:val="00222350"/>
    <w:rsid w:val="002231D3"/>
    <w:rsid w:val="002235F3"/>
    <w:rsid w:val="002247B1"/>
    <w:rsid w:val="002247E7"/>
    <w:rsid w:val="0022537C"/>
    <w:rsid w:val="00225790"/>
    <w:rsid w:val="00226544"/>
    <w:rsid w:val="0022685E"/>
    <w:rsid w:val="00227853"/>
    <w:rsid w:val="00227868"/>
    <w:rsid w:val="00230915"/>
    <w:rsid w:val="00230D53"/>
    <w:rsid w:val="0023191B"/>
    <w:rsid w:val="00231A43"/>
    <w:rsid w:val="00231CAB"/>
    <w:rsid w:val="002337B2"/>
    <w:rsid w:val="00233C64"/>
    <w:rsid w:val="00235EEE"/>
    <w:rsid w:val="00236CFC"/>
    <w:rsid w:val="00236F8C"/>
    <w:rsid w:val="00237624"/>
    <w:rsid w:val="002404BA"/>
    <w:rsid w:val="00240D37"/>
    <w:rsid w:val="002415C3"/>
    <w:rsid w:val="00241690"/>
    <w:rsid w:val="00241CD3"/>
    <w:rsid w:val="002427F7"/>
    <w:rsid w:val="00243015"/>
    <w:rsid w:val="0024338F"/>
    <w:rsid w:val="002438D4"/>
    <w:rsid w:val="002439A6"/>
    <w:rsid w:val="0024411E"/>
    <w:rsid w:val="00244D4B"/>
    <w:rsid w:val="002458E7"/>
    <w:rsid w:val="00246B96"/>
    <w:rsid w:val="00247607"/>
    <w:rsid w:val="00250901"/>
    <w:rsid w:val="002511A8"/>
    <w:rsid w:val="002511E9"/>
    <w:rsid w:val="002512E8"/>
    <w:rsid w:val="00251F5C"/>
    <w:rsid w:val="00251FA2"/>
    <w:rsid w:val="002523FB"/>
    <w:rsid w:val="002529E8"/>
    <w:rsid w:val="00252B00"/>
    <w:rsid w:val="0025316F"/>
    <w:rsid w:val="00253249"/>
    <w:rsid w:val="002536CB"/>
    <w:rsid w:val="0025526A"/>
    <w:rsid w:val="00255EA4"/>
    <w:rsid w:val="0026057B"/>
    <w:rsid w:val="00260A89"/>
    <w:rsid w:val="00260C26"/>
    <w:rsid w:val="00260C9F"/>
    <w:rsid w:val="00260FFF"/>
    <w:rsid w:val="00261A11"/>
    <w:rsid w:val="00262A51"/>
    <w:rsid w:val="00262DDC"/>
    <w:rsid w:val="00263045"/>
    <w:rsid w:val="00263479"/>
    <w:rsid w:val="0026412B"/>
    <w:rsid w:val="002642B2"/>
    <w:rsid w:val="002648FC"/>
    <w:rsid w:val="002652F8"/>
    <w:rsid w:val="00265778"/>
    <w:rsid w:val="002658D0"/>
    <w:rsid w:val="00265DD2"/>
    <w:rsid w:val="0026630F"/>
    <w:rsid w:val="0026653B"/>
    <w:rsid w:val="00267105"/>
    <w:rsid w:val="002679E5"/>
    <w:rsid w:val="00270695"/>
    <w:rsid w:val="002706E6"/>
    <w:rsid w:val="002707B8"/>
    <w:rsid w:val="0027084D"/>
    <w:rsid w:val="00270B07"/>
    <w:rsid w:val="00270BFF"/>
    <w:rsid w:val="00270E4A"/>
    <w:rsid w:val="00271DAA"/>
    <w:rsid w:val="00272078"/>
    <w:rsid w:val="002723AA"/>
    <w:rsid w:val="002725BC"/>
    <w:rsid w:val="00272E0D"/>
    <w:rsid w:val="002731DE"/>
    <w:rsid w:val="002735F9"/>
    <w:rsid w:val="00273CD1"/>
    <w:rsid w:val="00274463"/>
    <w:rsid w:val="0027482E"/>
    <w:rsid w:val="00274F17"/>
    <w:rsid w:val="0027502F"/>
    <w:rsid w:val="002760DA"/>
    <w:rsid w:val="00277C24"/>
    <w:rsid w:val="0028166F"/>
    <w:rsid w:val="00281733"/>
    <w:rsid w:val="0028174D"/>
    <w:rsid w:val="00281A30"/>
    <w:rsid w:val="002823D9"/>
    <w:rsid w:val="002831BE"/>
    <w:rsid w:val="002831C6"/>
    <w:rsid w:val="00283FF9"/>
    <w:rsid w:val="002868C8"/>
    <w:rsid w:val="002875B5"/>
    <w:rsid w:val="0028778C"/>
    <w:rsid w:val="00290796"/>
    <w:rsid w:val="00290B29"/>
    <w:rsid w:val="00290DE1"/>
    <w:rsid w:val="00292313"/>
    <w:rsid w:val="00294034"/>
    <w:rsid w:val="00294037"/>
    <w:rsid w:val="00294168"/>
    <w:rsid w:val="00294245"/>
    <w:rsid w:val="002948AE"/>
    <w:rsid w:val="00294FD0"/>
    <w:rsid w:val="002954DC"/>
    <w:rsid w:val="0029628D"/>
    <w:rsid w:val="0029647F"/>
    <w:rsid w:val="002966F6"/>
    <w:rsid w:val="00296B1E"/>
    <w:rsid w:val="00296E0C"/>
    <w:rsid w:val="00297118"/>
    <w:rsid w:val="00297ABC"/>
    <w:rsid w:val="002A0196"/>
    <w:rsid w:val="002A2105"/>
    <w:rsid w:val="002A2421"/>
    <w:rsid w:val="002A312E"/>
    <w:rsid w:val="002A39F7"/>
    <w:rsid w:val="002A40A1"/>
    <w:rsid w:val="002A40DA"/>
    <w:rsid w:val="002A4594"/>
    <w:rsid w:val="002A4934"/>
    <w:rsid w:val="002A50A7"/>
    <w:rsid w:val="002A5AF9"/>
    <w:rsid w:val="002A643B"/>
    <w:rsid w:val="002A65C4"/>
    <w:rsid w:val="002A6CAA"/>
    <w:rsid w:val="002A6EA8"/>
    <w:rsid w:val="002B020A"/>
    <w:rsid w:val="002B1C16"/>
    <w:rsid w:val="002B228C"/>
    <w:rsid w:val="002B334F"/>
    <w:rsid w:val="002B3E37"/>
    <w:rsid w:val="002B4100"/>
    <w:rsid w:val="002B4250"/>
    <w:rsid w:val="002B429D"/>
    <w:rsid w:val="002B43F3"/>
    <w:rsid w:val="002B4558"/>
    <w:rsid w:val="002B4830"/>
    <w:rsid w:val="002B4F49"/>
    <w:rsid w:val="002B5461"/>
    <w:rsid w:val="002B58AF"/>
    <w:rsid w:val="002B616F"/>
    <w:rsid w:val="002B63FA"/>
    <w:rsid w:val="002B6916"/>
    <w:rsid w:val="002B703C"/>
    <w:rsid w:val="002B7D36"/>
    <w:rsid w:val="002C11B6"/>
    <w:rsid w:val="002C1E78"/>
    <w:rsid w:val="002C21A1"/>
    <w:rsid w:val="002C352E"/>
    <w:rsid w:val="002C371F"/>
    <w:rsid w:val="002C4933"/>
    <w:rsid w:val="002C4E8C"/>
    <w:rsid w:val="002C5B6D"/>
    <w:rsid w:val="002C65D1"/>
    <w:rsid w:val="002D0261"/>
    <w:rsid w:val="002D1D1E"/>
    <w:rsid w:val="002D1D38"/>
    <w:rsid w:val="002D4569"/>
    <w:rsid w:val="002D473A"/>
    <w:rsid w:val="002D4F37"/>
    <w:rsid w:val="002D4F8D"/>
    <w:rsid w:val="002D54B7"/>
    <w:rsid w:val="002D5ECF"/>
    <w:rsid w:val="002D61CE"/>
    <w:rsid w:val="002D6B59"/>
    <w:rsid w:val="002D6CDF"/>
    <w:rsid w:val="002D6E03"/>
    <w:rsid w:val="002D6EA8"/>
    <w:rsid w:val="002D7394"/>
    <w:rsid w:val="002E030B"/>
    <w:rsid w:val="002E0335"/>
    <w:rsid w:val="002E1197"/>
    <w:rsid w:val="002E211F"/>
    <w:rsid w:val="002E397D"/>
    <w:rsid w:val="002E3D2B"/>
    <w:rsid w:val="002E4122"/>
    <w:rsid w:val="002E43B7"/>
    <w:rsid w:val="002E4405"/>
    <w:rsid w:val="002E4FDC"/>
    <w:rsid w:val="002E50F9"/>
    <w:rsid w:val="002E516E"/>
    <w:rsid w:val="002E57CB"/>
    <w:rsid w:val="002E5F0C"/>
    <w:rsid w:val="002E6386"/>
    <w:rsid w:val="002E6C0F"/>
    <w:rsid w:val="002E6E73"/>
    <w:rsid w:val="002E7363"/>
    <w:rsid w:val="002E777A"/>
    <w:rsid w:val="002E799C"/>
    <w:rsid w:val="002E7BF7"/>
    <w:rsid w:val="002E7DCF"/>
    <w:rsid w:val="002F02AF"/>
    <w:rsid w:val="002F0AF4"/>
    <w:rsid w:val="002F140C"/>
    <w:rsid w:val="002F148F"/>
    <w:rsid w:val="002F18D9"/>
    <w:rsid w:val="002F313C"/>
    <w:rsid w:val="002F42E7"/>
    <w:rsid w:val="002F478E"/>
    <w:rsid w:val="002F48D0"/>
    <w:rsid w:val="002F4FA0"/>
    <w:rsid w:val="002F5AC8"/>
    <w:rsid w:val="002F5F07"/>
    <w:rsid w:val="002F6C67"/>
    <w:rsid w:val="002F78C9"/>
    <w:rsid w:val="002F7F47"/>
    <w:rsid w:val="0030105C"/>
    <w:rsid w:val="00301649"/>
    <w:rsid w:val="00302E91"/>
    <w:rsid w:val="00303B28"/>
    <w:rsid w:val="00304846"/>
    <w:rsid w:val="00304930"/>
    <w:rsid w:val="003051BC"/>
    <w:rsid w:val="0030523E"/>
    <w:rsid w:val="003055E1"/>
    <w:rsid w:val="00306137"/>
    <w:rsid w:val="0030651B"/>
    <w:rsid w:val="00310A5E"/>
    <w:rsid w:val="00310AC8"/>
    <w:rsid w:val="00311548"/>
    <w:rsid w:val="00311C09"/>
    <w:rsid w:val="00312D97"/>
    <w:rsid w:val="00312FDE"/>
    <w:rsid w:val="003147CC"/>
    <w:rsid w:val="0031493F"/>
    <w:rsid w:val="00315E58"/>
    <w:rsid w:val="00315F4C"/>
    <w:rsid w:val="00320A32"/>
    <w:rsid w:val="003215E1"/>
    <w:rsid w:val="00322518"/>
    <w:rsid w:val="00322C51"/>
    <w:rsid w:val="003235C8"/>
    <w:rsid w:val="003249AC"/>
    <w:rsid w:val="0032597C"/>
    <w:rsid w:val="00325B1E"/>
    <w:rsid w:val="00325C03"/>
    <w:rsid w:val="00327337"/>
    <w:rsid w:val="0032782E"/>
    <w:rsid w:val="00327926"/>
    <w:rsid w:val="00327E12"/>
    <w:rsid w:val="003306BF"/>
    <w:rsid w:val="00330ED9"/>
    <w:rsid w:val="003318A1"/>
    <w:rsid w:val="00331F49"/>
    <w:rsid w:val="00334155"/>
    <w:rsid w:val="00334B59"/>
    <w:rsid w:val="0033563F"/>
    <w:rsid w:val="0033567A"/>
    <w:rsid w:val="00335B1A"/>
    <w:rsid w:val="00336613"/>
    <w:rsid w:val="00336A3A"/>
    <w:rsid w:val="00336D64"/>
    <w:rsid w:val="00336FF6"/>
    <w:rsid w:val="0033715B"/>
    <w:rsid w:val="003400CE"/>
    <w:rsid w:val="00340ED2"/>
    <w:rsid w:val="00341DD1"/>
    <w:rsid w:val="00343604"/>
    <w:rsid w:val="00344186"/>
    <w:rsid w:val="00344D3F"/>
    <w:rsid w:val="0034504D"/>
    <w:rsid w:val="00345174"/>
    <w:rsid w:val="0034562A"/>
    <w:rsid w:val="003459EE"/>
    <w:rsid w:val="003475EF"/>
    <w:rsid w:val="003478A8"/>
    <w:rsid w:val="0035098B"/>
    <w:rsid w:val="00351ABE"/>
    <w:rsid w:val="00351DAD"/>
    <w:rsid w:val="003532D2"/>
    <w:rsid w:val="00353F63"/>
    <w:rsid w:val="0035483B"/>
    <w:rsid w:val="0035620E"/>
    <w:rsid w:val="003566FD"/>
    <w:rsid w:val="0035765D"/>
    <w:rsid w:val="003607E4"/>
    <w:rsid w:val="00360CDE"/>
    <w:rsid w:val="00360E7D"/>
    <w:rsid w:val="00361409"/>
    <w:rsid w:val="00361410"/>
    <w:rsid w:val="00361DD2"/>
    <w:rsid w:val="003625AF"/>
    <w:rsid w:val="00363176"/>
    <w:rsid w:val="00363AF6"/>
    <w:rsid w:val="00363EDD"/>
    <w:rsid w:val="0036420B"/>
    <w:rsid w:val="0036449F"/>
    <w:rsid w:val="0036563C"/>
    <w:rsid w:val="00366FCA"/>
    <w:rsid w:val="003675BA"/>
    <w:rsid w:val="003676E2"/>
    <w:rsid w:val="00367963"/>
    <w:rsid w:val="00370835"/>
    <w:rsid w:val="00371330"/>
    <w:rsid w:val="003714A8"/>
    <w:rsid w:val="003719AE"/>
    <w:rsid w:val="00373067"/>
    <w:rsid w:val="00373624"/>
    <w:rsid w:val="0037391F"/>
    <w:rsid w:val="00373E56"/>
    <w:rsid w:val="00374643"/>
    <w:rsid w:val="00374E61"/>
    <w:rsid w:val="0037554E"/>
    <w:rsid w:val="003759CE"/>
    <w:rsid w:val="00375AFE"/>
    <w:rsid w:val="00380246"/>
    <w:rsid w:val="0038038C"/>
    <w:rsid w:val="00380C2B"/>
    <w:rsid w:val="00380DBE"/>
    <w:rsid w:val="003810F0"/>
    <w:rsid w:val="003822A8"/>
    <w:rsid w:val="00382632"/>
    <w:rsid w:val="00382B04"/>
    <w:rsid w:val="00383151"/>
    <w:rsid w:val="00383223"/>
    <w:rsid w:val="00384435"/>
    <w:rsid w:val="00384A7A"/>
    <w:rsid w:val="00384D3F"/>
    <w:rsid w:val="00384E5B"/>
    <w:rsid w:val="003853DC"/>
    <w:rsid w:val="003861AB"/>
    <w:rsid w:val="0038622A"/>
    <w:rsid w:val="00386A92"/>
    <w:rsid w:val="00386D08"/>
    <w:rsid w:val="00386FE2"/>
    <w:rsid w:val="003877C2"/>
    <w:rsid w:val="00387AB9"/>
    <w:rsid w:val="00387B03"/>
    <w:rsid w:val="00387C8A"/>
    <w:rsid w:val="00387CFC"/>
    <w:rsid w:val="0039036E"/>
    <w:rsid w:val="00391694"/>
    <w:rsid w:val="00391D6F"/>
    <w:rsid w:val="00392C0A"/>
    <w:rsid w:val="00393135"/>
    <w:rsid w:val="00394140"/>
    <w:rsid w:val="0039497C"/>
    <w:rsid w:val="0039519F"/>
    <w:rsid w:val="00395796"/>
    <w:rsid w:val="00395A18"/>
    <w:rsid w:val="0039632A"/>
    <w:rsid w:val="00396CCD"/>
    <w:rsid w:val="00396CFB"/>
    <w:rsid w:val="003979DA"/>
    <w:rsid w:val="003A15AE"/>
    <w:rsid w:val="003A1E5E"/>
    <w:rsid w:val="003A1F58"/>
    <w:rsid w:val="003A1FA7"/>
    <w:rsid w:val="003A20DA"/>
    <w:rsid w:val="003A2119"/>
    <w:rsid w:val="003A39B8"/>
    <w:rsid w:val="003A4F3E"/>
    <w:rsid w:val="003A53CD"/>
    <w:rsid w:val="003A6DB0"/>
    <w:rsid w:val="003A79DB"/>
    <w:rsid w:val="003B022E"/>
    <w:rsid w:val="003B2977"/>
    <w:rsid w:val="003B3314"/>
    <w:rsid w:val="003B3D85"/>
    <w:rsid w:val="003B3DD0"/>
    <w:rsid w:val="003B4633"/>
    <w:rsid w:val="003B572B"/>
    <w:rsid w:val="003B5B99"/>
    <w:rsid w:val="003B5F39"/>
    <w:rsid w:val="003B6911"/>
    <w:rsid w:val="003B7931"/>
    <w:rsid w:val="003C24E4"/>
    <w:rsid w:val="003C25AC"/>
    <w:rsid w:val="003C3A1C"/>
    <w:rsid w:val="003C3A9D"/>
    <w:rsid w:val="003C45C1"/>
    <w:rsid w:val="003C546B"/>
    <w:rsid w:val="003C553A"/>
    <w:rsid w:val="003C5C8B"/>
    <w:rsid w:val="003C6100"/>
    <w:rsid w:val="003C636E"/>
    <w:rsid w:val="003C64E4"/>
    <w:rsid w:val="003C664A"/>
    <w:rsid w:val="003C6949"/>
    <w:rsid w:val="003C70C3"/>
    <w:rsid w:val="003C7BCC"/>
    <w:rsid w:val="003D0087"/>
    <w:rsid w:val="003D01F4"/>
    <w:rsid w:val="003D0C21"/>
    <w:rsid w:val="003D1337"/>
    <w:rsid w:val="003D248B"/>
    <w:rsid w:val="003D2F9B"/>
    <w:rsid w:val="003D43F2"/>
    <w:rsid w:val="003D4B68"/>
    <w:rsid w:val="003D4ED4"/>
    <w:rsid w:val="003D53B8"/>
    <w:rsid w:val="003D5B54"/>
    <w:rsid w:val="003D5D7B"/>
    <w:rsid w:val="003D6D33"/>
    <w:rsid w:val="003D750D"/>
    <w:rsid w:val="003E01A1"/>
    <w:rsid w:val="003E1251"/>
    <w:rsid w:val="003E2170"/>
    <w:rsid w:val="003E2979"/>
    <w:rsid w:val="003E375A"/>
    <w:rsid w:val="003E4294"/>
    <w:rsid w:val="003E4B5E"/>
    <w:rsid w:val="003E4F99"/>
    <w:rsid w:val="003E6165"/>
    <w:rsid w:val="003E6A8F"/>
    <w:rsid w:val="003E6E8B"/>
    <w:rsid w:val="003E7A6E"/>
    <w:rsid w:val="003E7AEA"/>
    <w:rsid w:val="003E7DE8"/>
    <w:rsid w:val="003F073C"/>
    <w:rsid w:val="003F0994"/>
    <w:rsid w:val="003F0FB1"/>
    <w:rsid w:val="003F2C9D"/>
    <w:rsid w:val="003F2E2D"/>
    <w:rsid w:val="003F46FA"/>
    <w:rsid w:val="003F4F0D"/>
    <w:rsid w:val="003F5495"/>
    <w:rsid w:val="003F5BAA"/>
    <w:rsid w:val="003F6C61"/>
    <w:rsid w:val="003F6E4E"/>
    <w:rsid w:val="003F7844"/>
    <w:rsid w:val="003F78C1"/>
    <w:rsid w:val="003F7A1E"/>
    <w:rsid w:val="003F7EB9"/>
    <w:rsid w:val="004007AC"/>
    <w:rsid w:val="00400A51"/>
    <w:rsid w:val="00401AD3"/>
    <w:rsid w:val="00401DF0"/>
    <w:rsid w:val="0040227E"/>
    <w:rsid w:val="00403130"/>
    <w:rsid w:val="00403973"/>
    <w:rsid w:val="00403ADC"/>
    <w:rsid w:val="00403FF4"/>
    <w:rsid w:val="0040424A"/>
    <w:rsid w:val="004044EC"/>
    <w:rsid w:val="004103CD"/>
    <w:rsid w:val="00410A18"/>
    <w:rsid w:val="00410CBE"/>
    <w:rsid w:val="004119E8"/>
    <w:rsid w:val="00411E44"/>
    <w:rsid w:val="00412DDD"/>
    <w:rsid w:val="004134D7"/>
    <w:rsid w:val="004138A5"/>
    <w:rsid w:val="00414885"/>
    <w:rsid w:val="004148C0"/>
    <w:rsid w:val="00414F98"/>
    <w:rsid w:val="00415107"/>
    <w:rsid w:val="00415546"/>
    <w:rsid w:val="0041560D"/>
    <w:rsid w:val="00415CA9"/>
    <w:rsid w:val="00416112"/>
    <w:rsid w:val="0041650F"/>
    <w:rsid w:val="00422070"/>
    <w:rsid w:val="00423195"/>
    <w:rsid w:val="0042395F"/>
    <w:rsid w:val="00424E1F"/>
    <w:rsid w:val="004250F1"/>
    <w:rsid w:val="00425585"/>
    <w:rsid w:val="0042568D"/>
    <w:rsid w:val="00425EE1"/>
    <w:rsid w:val="00426397"/>
    <w:rsid w:val="00426918"/>
    <w:rsid w:val="0042694A"/>
    <w:rsid w:val="004302C5"/>
    <w:rsid w:val="00430741"/>
    <w:rsid w:val="00430B5E"/>
    <w:rsid w:val="00431115"/>
    <w:rsid w:val="00431F6C"/>
    <w:rsid w:val="004327D3"/>
    <w:rsid w:val="0043394E"/>
    <w:rsid w:val="00435074"/>
    <w:rsid w:val="00435253"/>
    <w:rsid w:val="004359BB"/>
    <w:rsid w:val="00436538"/>
    <w:rsid w:val="004378FF"/>
    <w:rsid w:val="00440DF1"/>
    <w:rsid w:val="004412DA"/>
    <w:rsid w:val="004419F6"/>
    <w:rsid w:val="00442881"/>
    <w:rsid w:val="00443054"/>
    <w:rsid w:val="00443119"/>
    <w:rsid w:val="00443D46"/>
    <w:rsid w:val="00443EFD"/>
    <w:rsid w:val="00444C35"/>
    <w:rsid w:val="00445E1E"/>
    <w:rsid w:val="00446455"/>
    <w:rsid w:val="00447B98"/>
    <w:rsid w:val="0045049B"/>
    <w:rsid w:val="00451D3D"/>
    <w:rsid w:val="00451DA6"/>
    <w:rsid w:val="00453CC5"/>
    <w:rsid w:val="00454277"/>
    <w:rsid w:val="00454CD9"/>
    <w:rsid w:val="00454DD9"/>
    <w:rsid w:val="00454FE1"/>
    <w:rsid w:val="004551D6"/>
    <w:rsid w:val="004552AE"/>
    <w:rsid w:val="004556C5"/>
    <w:rsid w:val="00456836"/>
    <w:rsid w:val="004568E5"/>
    <w:rsid w:val="00456A58"/>
    <w:rsid w:val="00456AB3"/>
    <w:rsid w:val="00456C45"/>
    <w:rsid w:val="00457149"/>
    <w:rsid w:val="0046047E"/>
    <w:rsid w:val="004607D6"/>
    <w:rsid w:val="00460B24"/>
    <w:rsid w:val="00462839"/>
    <w:rsid w:val="0046375F"/>
    <w:rsid w:val="00463837"/>
    <w:rsid w:val="00464590"/>
    <w:rsid w:val="00464C75"/>
    <w:rsid w:val="004658D1"/>
    <w:rsid w:val="00466075"/>
    <w:rsid w:val="0046663D"/>
    <w:rsid w:val="00466B8D"/>
    <w:rsid w:val="00470794"/>
    <w:rsid w:val="00470BF9"/>
    <w:rsid w:val="00471DCC"/>
    <w:rsid w:val="00472245"/>
    <w:rsid w:val="004729E0"/>
    <w:rsid w:val="00473850"/>
    <w:rsid w:val="00473A4D"/>
    <w:rsid w:val="00473DD7"/>
    <w:rsid w:val="00473E98"/>
    <w:rsid w:val="00473FBE"/>
    <w:rsid w:val="004740E8"/>
    <w:rsid w:val="00474125"/>
    <w:rsid w:val="004745DA"/>
    <w:rsid w:val="00474777"/>
    <w:rsid w:val="00474896"/>
    <w:rsid w:val="00475059"/>
    <w:rsid w:val="0047568C"/>
    <w:rsid w:val="00475E79"/>
    <w:rsid w:val="004767AF"/>
    <w:rsid w:val="00476C08"/>
    <w:rsid w:val="0047717D"/>
    <w:rsid w:val="004776D5"/>
    <w:rsid w:val="0047789A"/>
    <w:rsid w:val="00480358"/>
    <w:rsid w:val="00480BEA"/>
    <w:rsid w:val="004811CE"/>
    <w:rsid w:val="0048147D"/>
    <w:rsid w:val="004816DA"/>
    <w:rsid w:val="00482C9C"/>
    <w:rsid w:val="00483334"/>
    <w:rsid w:val="004834B7"/>
    <w:rsid w:val="00483779"/>
    <w:rsid w:val="0048380E"/>
    <w:rsid w:val="004859D1"/>
    <w:rsid w:val="00486665"/>
    <w:rsid w:val="0048668C"/>
    <w:rsid w:val="00486971"/>
    <w:rsid w:val="00486BE3"/>
    <w:rsid w:val="004871CB"/>
    <w:rsid w:val="00487A95"/>
    <w:rsid w:val="00487D91"/>
    <w:rsid w:val="00490395"/>
    <w:rsid w:val="00490B09"/>
    <w:rsid w:val="00490DEF"/>
    <w:rsid w:val="00490E13"/>
    <w:rsid w:val="0049137F"/>
    <w:rsid w:val="00491ECF"/>
    <w:rsid w:val="00492379"/>
    <w:rsid w:val="004923EB"/>
    <w:rsid w:val="0049240B"/>
    <w:rsid w:val="0049342D"/>
    <w:rsid w:val="0049420B"/>
    <w:rsid w:val="0049474F"/>
    <w:rsid w:val="0049531A"/>
    <w:rsid w:val="004954D4"/>
    <w:rsid w:val="00496760"/>
    <w:rsid w:val="00497316"/>
    <w:rsid w:val="00497C0D"/>
    <w:rsid w:val="00497CF7"/>
    <w:rsid w:val="004A0BF5"/>
    <w:rsid w:val="004A140A"/>
    <w:rsid w:val="004A17E0"/>
    <w:rsid w:val="004A1A03"/>
    <w:rsid w:val="004A20C4"/>
    <w:rsid w:val="004A215D"/>
    <w:rsid w:val="004A2753"/>
    <w:rsid w:val="004A3DE1"/>
    <w:rsid w:val="004A4EC7"/>
    <w:rsid w:val="004A57F6"/>
    <w:rsid w:val="004A58F9"/>
    <w:rsid w:val="004A5A2F"/>
    <w:rsid w:val="004A5B0F"/>
    <w:rsid w:val="004A613F"/>
    <w:rsid w:val="004B080E"/>
    <w:rsid w:val="004B0D97"/>
    <w:rsid w:val="004B106A"/>
    <w:rsid w:val="004B12BE"/>
    <w:rsid w:val="004B2289"/>
    <w:rsid w:val="004B2B88"/>
    <w:rsid w:val="004B31ED"/>
    <w:rsid w:val="004B394F"/>
    <w:rsid w:val="004B3D81"/>
    <w:rsid w:val="004B423C"/>
    <w:rsid w:val="004B483D"/>
    <w:rsid w:val="004B4972"/>
    <w:rsid w:val="004B5511"/>
    <w:rsid w:val="004B5A55"/>
    <w:rsid w:val="004B718A"/>
    <w:rsid w:val="004C02D3"/>
    <w:rsid w:val="004C0530"/>
    <w:rsid w:val="004C0F46"/>
    <w:rsid w:val="004C1432"/>
    <w:rsid w:val="004C1FF7"/>
    <w:rsid w:val="004C3E03"/>
    <w:rsid w:val="004C3ECD"/>
    <w:rsid w:val="004C4576"/>
    <w:rsid w:val="004C4E27"/>
    <w:rsid w:val="004C56F8"/>
    <w:rsid w:val="004C5E86"/>
    <w:rsid w:val="004C641B"/>
    <w:rsid w:val="004C6519"/>
    <w:rsid w:val="004C6613"/>
    <w:rsid w:val="004C7081"/>
    <w:rsid w:val="004C7EFC"/>
    <w:rsid w:val="004D0505"/>
    <w:rsid w:val="004D05C8"/>
    <w:rsid w:val="004D0B18"/>
    <w:rsid w:val="004D0DD0"/>
    <w:rsid w:val="004D194A"/>
    <w:rsid w:val="004D21C9"/>
    <w:rsid w:val="004D2808"/>
    <w:rsid w:val="004D4A2C"/>
    <w:rsid w:val="004D6102"/>
    <w:rsid w:val="004D7611"/>
    <w:rsid w:val="004E11D8"/>
    <w:rsid w:val="004E1FFD"/>
    <w:rsid w:val="004E22AA"/>
    <w:rsid w:val="004E3225"/>
    <w:rsid w:val="004E3622"/>
    <w:rsid w:val="004E3D2D"/>
    <w:rsid w:val="004E40FD"/>
    <w:rsid w:val="004E4C79"/>
    <w:rsid w:val="004E505A"/>
    <w:rsid w:val="004E58BC"/>
    <w:rsid w:val="004E6043"/>
    <w:rsid w:val="004E72DE"/>
    <w:rsid w:val="004E7417"/>
    <w:rsid w:val="004E7689"/>
    <w:rsid w:val="004F0B8C"/>
    <w:rsid w:val="004F37A2"/>
    <w:rsid w:val="004F4B9A"/>
    <w:rsid w:val="004F4D6A"/>
    <w:rsid w:val="004F53DB"/>
    <w:rsid w:val="004F5900"/>
    <w:rsid w:val="004F5FF4"/>
    <w:rsid w:val="004F6FFB"/>
    <w:rsid w:val="004F706D"/>
    <w:rsid w:val="004F7483"/>
    <w:rsid w:val="004F7758"/>
    <w:rsid w:val="0050077F"/>
    <w:rsid w:val="00500DEF"/>
    <w:rsid w:val="00501A1C"/>
    <w:rsid w:val="00501CB0"/>
    <w:rsid w:val="00502545"/>
    <w:rsid w:val="00502D50"/>
    <w:rsid w:val="00504A59"/>
    <w:rsid w:val="00504B03"/>
    <w:rsid w:val="0050685E"/>
    <w:rsid w:val="00510256"/>
    <w:rsid w:val="005105E9"/>
    <w:rsid w:val="0051107A"/>
    <w:rsid w:val="00511193"/>
    <w:rsid w:val="005116ED"/>
    <w:rsid w:val="00511BBB"/>
    <w:rsid w:val="00512339"/>
    <w:rsid w:val="005128CD"/>
    <w:rsid w:val="005129C3"/>
    <w:rsid w:val="005133E4"/>
    <w:rsid w:val="00513906"/>
    <w:rsid w:val="00513BF3"/>
    <w:rsid w:val="0051489E"/>
    <w:rsid w:val="00514AFF"/>
    <w:rsid w:val="005158AA"/>
    <w:rsid w:val="00516517"/>
    <w:rsid w:val="005175EF"/>
    <w:rsid w:val="005179A1"/>
    <w:rsid w:val="005179CD"/>
    <w:rsid w:val="00520B13"/>
    <w:rsid w:val="00520DFB"/>
    <w:rsid w:val="0052107B"/>
    <w:rsid w:val="00521191"/>
    <w:rsid w:val="005218C3"/>
    <w:rsid w:val="00521951"/>
    <w:rsid w:val="00521B52"/>
    <w:rsid w:val="00521B5A"/>
    <w:rsid w:val="00522159"/>
    <w:rsid w:val="005225D2"/>
    <w:rsid w:val="0052483D"/>
    <w:rsid w:val="00524A7C"/>
    <w:rsid w:val="0052520B"/>
    <w:rsid w:val="00525623"/>
    <w:rsid w:val="005256D1"/>
    <w:rsid w:val="0052604A"/>
    <w:rsid w:val="005267E7"/>
    <w:rsid w:val="00531978"/>
    <w:rsid w:val="00532692"/>
    <w:rsid w:val="0053432C"/>
    <w:rsid w:val="00534F37"/>
    <w:rsid w:val="005353EA"/>
    <w:rsid w:val="005367D5"/>
    <w:rsid w:val="00536FF5"/>
    <w:rsid w:val="00537746"/>
    <w:rsid w:val="00537E35"/>
    <w:rsid w:val="00540A1E"/>
    <w:rsid w:val="00540D4C"/>
    <w:rsid w:val="00540DDB"/>
    <w:rsid w:val="00541BE6"/>
    <w:rsid w:val="00542FFC"/>
    <w:rsid w:val="00543D20"/>
    <w:rsid w:val="00543F37"/>
    <w:rsid w:val="00544091"/>
    <w:rsid w:val="00545AD4"/>
    <w:rsid w:val="005461C0"/>
    <w:rsid w:val="00547B1C"/>
    <w:rsid w:val="005504BC"/>
    <w:rsid w:val="00551791"/>
    <w:rsid w:val="00552EB3"/>
    <w:rsid w:val="00553AA5"/>
    <w:rsid w:val="00554025"/>
    <w:rsid w:val="005543E0"/>
    <w:rsid w:val="00555259"/>
    <w:rsid w:val="005556B2"/>
    <w:rsid w:val="00556F73"/>
    <w:rsid w:val="00557591"/>
    <w:rsid w:val="005607ED"/>
    <w:rsid w:val="00561459"/>
    <w:rsid w:val="00561B12"/>
    <w:rsid w:val="0056200B"/>
    <w:rsid w:val="0056204C"/>
    <w:rsid w:val="00562433"/>
    <w:rsid w:val="00562F0E"/>
    <w:rsid w:val="00563160"/>
    <w:rsid w:val="005647C8"/>
    <w:rsid w:val="00565D72"/>
    <w:rsid w:val="00565F80"/>
    <w:rsid w:val="005660FD"/>
    <w:rsid w:val="00566B73"/>
    <w:rsid w:val="005672B5"/>
    <w:rsid w:val="00567531"/>
    <w:rsid w:val="005700FC"/>
    <w:rsid w:val="00571660"/>
    <w:rsid w:val="0057283B"/>
    <w:rsid w:val="00573DAB"/>
    <w:rsid w:val="00575121"/>
    <w:rsid w:val="005756E6"/>
    <w:rsid w:val="00575B41"/>
    <w:rsid w:val="00575B51"/>
    <w:rsid w:val="00576178"/>
    <w:rsid w:val="0057789C"/>
    <w:rsid w:val="00580596"/>
    <w:rsid w:val="005819C5"/>
    <w:rsid w:val="005824E9"/>
    <w:rsid w:val="00583341"/>
    <w:rsid w:val="005837BD"/>
    <w:rsid w:val="00583DD4"/>
    <w:rsid w:val="0058464C"/>
    <w:rsid w:val="00584756"/>
    <w:rsid w:val="00585B1A"/>
    <w:rsid w:val="00586064"/>
    <w:rsid w:val="005860FD"/>
    <w:rsid w:val="0058633C"/>
    <w:rsid w:val="00586513"/>
    <w:rsid w:val="005871DE"/>
    <w:rsid w:val="00587EE4"/>
    <w:rsid w:val="00590091"/>
    <w:rsid w:val="0059044C"/>
    <w:rsid w:val="0059072C"/>
    <w:rsid w:val="005915D6"/>
    <w:rsid w:val="00591A02"/>
    <w:rsid w:val="00591A40"/>
    <w:rsid w:val="00591F96"/>
    <w:rsid w:val="00592097"/>
    <w:rsid w:val="005931DE"/>
    <w:rsid w:val="00593BBF"/>
    <w:rsid w:val="00594F37"/>
    <w:rsid w:val="0059612A"/>
    <w:rsid w:val="0059675E"/>
    <w:rsid w:val="00596DA5"/>
    <w:rsid w:val="00597441"/>
    <w:rsid w:val="005A0888"/>
    <w:rsid w:val="005A10FB"/>
    <w:rsid w:val="005A1123"/>
    <w:rsid w:val="005A1AFE"/>
    <w:rsid w:val="005A2F63"/>
    <w:rsid w:val="005A2F6F"/>
    <w:rsid w:val="005A2F8D"/>
    <w:rsid w:val="005A573D"/>
    <w:rsid w:val="005A59F4"/>
    <w:rsid w:val="005A5B9A"/>
    <w:rsid w:val="005A5C27"/>
    <w:rsid w:val="005A5EEE"/>
    <w:rsid w:val="005A6B9B"/>
    <w:rsid w:val="005A70DC"/>
    <w:rsid w:val="005A7708"/>
    <w:rsid w:val="005A7714"/>
    <w:rsid w:val="005B0F17"/>
    <w:rsid w:val="005B1C98"/>
    <w:rsid w:val="005B368D"/>
    <w:rsid w:val="005B3E85"/>
    <w:rsid w:val="005B50B8"/>
    <w:rsid w:val="005B5B2D"/>
    <w:rsid w:val="005B5BFC"/>
    <w:rsid w:val="005B6941"/>
    <w:rsid w:val="005B6A77"/>
    <w:rsid w:val="005B787C"/>
    <w:rsid w:val="005B7C09"/>
    <w:rsid w:val="005C0531"/>
    <w:rsid w:val="005C138B"/>
    <w:rsid w:val="005C1BFC"/>
    <w:rsid w:val="005C3F96"/>
    <w:rsid w:val="005C4788"/>
    <w:rsid w:val="005C489D"/>
    <w:rsid w:val="005C559A"/>
    <w:rsid w:val="005C588D"/>
    <w:rsid w:val="005C59CE"/>
    <w:rsid w:val="005C5F99"/>
    <w:rsid w:val="005C6529"/>
    <w:rsid w:val="005C6724"/>
    <w:rsid w:val="005C7EA8"/>
    <w:rsid w:val="005D027D"/>
    <w:rsid w:val="005D057B"/>
    <w:rsid w:val="005D1B1B"/>
    <w:rsid w:val="005D1F76"/>
    <w:rsid w:val="005D1FFE"/>
    <w:rsid w:val="005D25EC"/>
    <w:rsid w:val="005D2ABC"/>
    <w:rsid w:val="005D2D13"/>
    <w:rsid w:val="005D44DB"/>
    <w:rsid w:val="005D48FA"/>
    <w:rsid w:val="005D5383"/>
    <w:rsid w:val="005D54CA"/>
    <w:rsid w:val="005D5717"/>
    <w:rsid w:val="005D58EE"/>
    <w:rsid w:val="005D5CD7"/>
    <w:rsid w:val="005D6827"/>
    <w:rsid w:val="005D7799"/>
    <w:rsid w:val="005D7D4E"/>
    <w:rsid w:val="005D7FB3"/>
    <w:rsid w:val="005E0275"/>
    <w:rsid w:val="005E0369"/>
    <w:rsid w:val="005E038B"/>
    <w:rsid w:val="005E1543"/>
    <w:rsid w:val="005E18EB"/>
    <w:rsid w:val="005E1D1F"/>
    <w:rsid w:val="005E20BF"/>
    <w:rsid w:val="005E2179"/>
    <w:rsid w:val="005E2647"/>
    <w:rsid w:val="005E28CB"/>
    <w:rsid w:val="005E3EFB"/>
    <w:rsid w:val="005E4696"/>
    <w:rsid w:val="005E56E6"/>
    <w:rsid w:val="005E5808"/>
    <w:rsid w:val="005E61ED"/>
    <w:rsid w:val="005E641F"/>
    <w:rsid w:val="005F128A"/>
    <w:rsid w:val="005F1373"/>
    <w:rsid w:val="005F3578"/>
    <w:rsid w:val="005F4085"/>
    <w:rsid w:val="005F4E2B"/>
    <w:rsid w:val="005F6B3A"/>
    <w:rsid w:val="005F70AA"/>
    <w:rsid w:val="005F71A7"/>
    <w:rsid w:val="005F77E4"/>
    <w:rsid w:val="005F782B"/>
    <w:rsid w:val="00600B02"/>
    <w:rsid w:val="00600D22"/>
    <w:rsid w:val="00601444"/>
    <w:rsid w:val="006025A4"/>
    <w:rsid w:val="00602D43"/>
    <w:rsid w:val="00602EF3"/>
    <w:rsid w:val="006036FD"/>
    <w:rsid w:val="006049B0"/>
    <w:rsid w:val="00605BF8"/>
    <w:rsid w:val="00606345"/>
    <w:rsid w:val="00607546"/>
    <w:rsid w:val="006109F6"/>
    <w:rsid w:val="0061152F"/>
    <w:rsid w:val="0061177B"/>
    <w:rsid w:val="006124C9"/>
    <w:rsid w:val="006124DB"/>
    <w:rsid w:val="0061276B"/>
    <w:rsid w:val="00612B0A"/>
    <w:rsid w:val="00613181"/>
    <w:rsid w:val="0061362E"/>
    <w:rsid w:val="00615341"/>
    <w:rsid w:val="006160BF"/>
    <w:rsid w:val="0061616D"/>
    <w:rsid w:val="006163AE"/>
    <w:rsid w:val="00616A71"/>
    <w:rsid w:val="00616ADA"/>
    <w:rsid w:val="00616EB2"/>
    <w:rsid w:val="00617031"/>
    <w:rsid w:val="006175A7"/>
    <w:rsid w:val="006179CC"/>
    <w:rsid w:val="006220FA"/>
    <w:rsid w:val="006239C7"/>
    <w:rsid w:val="00623BE6"/>
    <w:rsid w:val="00623C32"/>
    <w:rsid w:val="00623F7F"/>
    <w:rsid w:val="0062454B"/>
    <w:rsid w:val="00624729"/>
    <w:rsid w:val="006252C6"/>
    <w:rsid w:val="0062576C"/>
    <w:rsid w:val="00626033"/>
    <w:rsid w:val="006302E4"/>
    <w:rsid w:val="00630505"/>
    <w:rsid w:val="00630922"/>
    <w:rsid w:val="00630E11"/>
    <w:rsid w:val="00631143"/>
    <w:rsid w:val="00631459"/>
    <w:rsid w:val="006316E2"/>
    <w:rsid w:val="00631932"/>
    <w:rsid w:val="00631C17"/>
    <w:rsid w:val="00631DBB"/>
    <w:rsid w:val="00632165"/>
    <w:rsid w:val="0063248E"/>
    <w:rsid w:val="006324CB"/>
    <w:rsid w:val="00632CF0"/>
    <w:rsid w:val="00632E7D"/>
    <w:rsid w:val="006331B0"/>
    <w:rsid w:val="0063361E"/>
    <w:rsid w:val="0063415D"/>
    <w:rsid w:val="00634539"/>
    <w:rsid w:val="006345B2"/>
    <w:rsid w:val="006357AF"/>
    <w:rsid w:val="00635FD6"/>
    <w:rsid w:val="006360DB"/>
    <w:rsid w:val="00636240"/>
    <w:rsid w:val="00636B85"/>
    <w:rsid w:val="006375CA"/>
    <w:rsid w:val="006376B3"/>
    <w:rsid w:val="00637EC5"/>
    <w:rsid w:val="00640929"/>
    <w:rsid w:val="00640FCD"/>
    <w:rsid w:val="00641792"/>
    <w:rsid w:val="00641B18"/>
    <w:rsid w:val="00643DC9"/>
    <w:rsid w:val="006447A2"/>
    <w:rsid w:val="006453CD"/>
    <w:rsid w:val="006460B8"/>
    <w:rsid w:val="0064646B"/>
    <w:rsid w:val="0064707F"/>
    <w:rsid w:val="006479EF"/>
    <w:rsid w:val="006510CE"/>
    <w:rsid w:val="006514A3"/>
    <w:rsid w:val="006529AA"/>
    <w:rsid w:val="00654707"/>
    <w:rsid w:val="0065591D"/>
    <w:rsid w:val="0065650A"/>
    <w:rsid w:val="00656FFB"/>
    <w:rsid w:val="00660101"/>
    <w:rsid w:val="0066010E"/>
    <w:rsid w:val="00660D00"/>
    <w:rsid w:val="00661051"/>
    <w:rsid w:val="00664D23"/>
    <w:rsid w:val="00664F3C"/>
    <w:rsid w:val="006657E2"/>
    <w:rsid w:val="00666378"/>
    <w:rsid w:val="0066658E"/>
    <w:rsid w:val="006668D8"/>
    <w:rsid w:val="00666D5A"/>
    <w:rsid w:val="006672E3"/>
    <w:rsid w:val="00667656"/>
    <w:rsid w:val="00670051"/>
    <w:rsid w:val="006703EE"/>
    <w:rsid w:val="00670523"/>
    <w:rsid w:val="00670587"/>
    <w:rsid w:val="006711D3"/>
    <w:rsid w:val="00672D7A"/>
    <w:rsid w:val="00672E10"/>
    <w:rsid w:val="00673F78"/>
    <w:rsid w:val="0067418A"/>
    <w:rsid w:val="0067419C"/>
    <w:rsid w:val="006741B9"/>
    <w:rsid w:val="00674BDF"/>
    <w:rsid w:val="00675794"/>
    <w:rsid w:val="00675A2B"/>
    <w:rsid w:val="006765F9"/>
    <w:rsid w:val="00680333"/>
    <w:rsid w:val="00680E08"/>
    <w:rsid w:val="00681DA9"/>
    <w:rsid w:val="00683C7D"/>
    <w:rsid w:val="0068423A"/>
    <w:rsid w:val="00684E91"/>
    <w:rsid w:val="006856D8"/>
    <w:rsid w:val="00685976"/>
    <w:rsid w:val="00686D1E"/>
    <w:rsid w:val="00686E4E"/>
    <w:rsid w:val="00687F36"/>
    <w:rsid w:val="0069033C"/>
    <w:rsid w:val="00690C0D"/>
    <w:rsid w:val="00691513"/>
    <w:rsid w:val="006915C5"/>
    <w:rsid w:val="00692151"/>
    <w:rsid w:val="00692678"/>
    <w:rsid w:val="00692B5D"/>
    <w:rsid w:val="00693E90"/>
    <w:rsid w:val="00694365"/>
    <w:rsid w:val="0069437A"/>
    <w:rsid w:val="00695011"/>
    <w:rsid w:val="00695272"/>
    <w:rsid w:val="0069657E"/>
    <w:rsid w:val="00696E76"/>
    <w:rsid w:val="00697198"/>
    <w:rsid w:val="006973B7"/>
    <w:rsid w:val="00697AE2"/>
    <w:rsid w:val="006A01D7"/>
    <w:rsid w:val="006A2080"/>
    <w:rsid w:val="006A2768"/>
    <w:rsid w:val="006A424B"/>
    <w:rsid w:val="006A4CF6"/>
    <w:rsid w:val="006A6ECD"/>
    <w:rsid w:val="006A6EF2"/>
    <w:rsid w:val="006A7B6C"/>
    <w:rsid w:val="006B16CD"/>
    <w:rsid w:val="006B22CB"/>
    <w:rsid w:val="006B2C36"/>
    <w:rsid w:val="006B4C20"/>
    <w:rsid w:val="006B4D64"/>
    <w:rsid w:val="006B584F"/>
    <w:rsid w:val="006B5FC7"/>
    <w:rsid w:val="006B664F"/>
    <w:rsid w:val="006B72DC"/>
    <w:rsid w:val="006B78D9"/>
    <w:rsid w:val="006B7997"/>
    <w:rsid w:val="006C0489"/>
    <w:rsid w:val="006C0DF1"/>
    <w:rsid w:val="006C0E13"/>
    <w:rsid w:val="006C123E"/>
    <w:rsid w:val="006C12AC"/>
    <w:rsid w:val="006C19FF"/>
    <w:rsid w:val="006C1D9C"/>
    <w:rsid w:val="006C1E38"/>
    <w:rsid w:val="006C4152"/>
    <w:rsid w:val="006C42FB"/>
    <w:rsid w:val="006C4B0D"/>
    <w:rsid w:val="006C5B58"/>
    <w:rsid w:val="006C5C95"/>
    <w:rsid w:val="006C62B4"/>
    <w:rsid w:val="006C70ED"/>
    <w:rsid w:val="006C7A34"/>
    <w:rsid w:val="006D045D"/>
    <w:rsid w:val="006D05F8"/>
    <w:rsid w:val="006D0930"/>
    <w:rsid w:val="006D0CFA"/>
    <w:rsid w:val="006D1594"/>
    <w:rsid w:val="006D219A"/>
    <w:rsid w:val="006D2FCF"/>
    <w:rsid w:val="006D3126"/>
    <w:rsid w:val="006D3407"/>
    <w:rsid w:val="006D34ED"/>
    <w:rsid w:val="006D44D3"/>
    <w:rsid w:val="006D49F8"/>
    <w:rsid w:val="006D526E"/>
    <w:rsid w:val="006D52C6"/>
    <w:rsid w:val="006D594E"/>
    <w:rsid w:val="006D64A8"/>
    <w:rsid w:val="006D68FE"/>
    <w:rsid w:val="006D6F0C"/>
    <w:rsid w:val="006D6F89"/>
    <w:rsid w:val="006D75A7"/>
    <w:rsid w:val="006D7A4F"/>
    <w:rsid w:val="006E02C8"/>
    <w:rsid w:val="006E0832"/>
    <w:rsid w:val="006E0F04"/>
    <w:rsid w:val="006E11C5"/>
    <w:rsid w:val="006E19EF"/>
    <w:rsid w:val="006E2139"/>
    <w:rsid w:val="006E241D"/>
    <w:rsid w:val="006E2BBF"/>
    <w:rsid w:val="006E2E96"/>
    <w:rsid w:val="006E31DC"/>
    <w:rsid w:val="006E3730"/>
    <w:rsid w:val="006E4ADC"/>
    <w:rsid w:val="006E5B1C"/>
    <w:rsid w:val="006E68F7"/>
    <w:rsid w:val="006E6CC3"/>
    <w:rsid w:val="006F01DD"/>
    <w:rsid w:val="006F10FB"/>
    <w:rsid w:val="006F151C"/>
    <w:rsid w:val="006F1799"/>
    <w:rsid w:val="006F17C5"/>
    <w:rsid w:val="006F1912"/>
    <w:rsid w:val="006F22ED"/>
    <w:rsid w:val="006F2309"/>
    <w:rsid w:val="006F3548"/>
    <w:rsid w:val="006F365F"/>
    <w:rsid w:val="006F3F20"/>
    <w:rsid w:val="006F4D78"/>
    <w:rsid w:val="006F511E"/>
    <w:rsid w:val="006F558D"/>
    <w:rsid w:val="006F5CBA"/>
    <w:rsid w:val="006F5D72"/>
    <w:rsid w:val="00700807"/>
    <w:rsid w:val="00700863"/>
    <w:rsid w:val="007023AC"/>
    <w:rsid w:val="00702538"/>
    <w:rsid w:val="007025D9"/>
    <w:rsid w:val="0070311C"/>
    <w:rsid w:val="0070369D"/>
    <w:rsid w:val="00703DBD"/>
    <w:rsid w:val="00704431"/>
    <w:rsid w:val="007052B7"/>
    <w:rsid w:val="00705471"/>
    <w:rsid w:val="00705A09"/>
    <w:rsid w:val="007064A6"/>
    <w:rsid w:val="00706D58"/>
    <w:rsid w:val="00707A8A"/>
    <w:rsid w:val="00710360"/>
    <w:rsid w:val="00710BAF"/>
    <w:rsid w:val="007117C2"/>
    <w:rsid w:val="0071234D"/>
    <w:rsid w:val="00714CC3"/>
    <w:rsid w:val="00716505"/>
    <w:rsid w:val="0071685F"/>
    <w:rsid w:val="0072002A"/>
    <w:rsid w:val="0072015A"/>
    <w:rsid w:val="007201C1"/>
    <w:rsid w:val="00720230"/>
    <w:rsid w:val="00720865"/>
    <w:rsid w:val="007211E7"/>
    <w:rsid w:val="00721E10"/>
    <w:rsid w:val="00722AE9"/>
    <w:rsid w:val="00723121"/>
    <w:rsid w:val="007232E0"/>
    <w:rsid w:val="00724365"/>
    <w:rsid w:val="007249B2"/>
    <w:rsid w:val="007249D5"/>
    <w:rsid w:val="00724A9A"/>
    <w:rsid w:val="00725A8B"/>
    <w:rsid w:val="00725BBB"/>
    <w:rsid w:val="007260AA"/>
    <w:rsid w:val="007270F4"/>
    <w:rsid w:val="00731276"/>
    <w:rsid w:val="00731B06"/>
    <w:rsid w:val="007320CD"/>
    <w:rsid w:val="007324F0"/>
    <w:rsid w:val="00733729"/>
    <w:rsid w:val="00733D36"/>
    <w:rsid w:val="00733F16"/>
    <w:rsid w:val="00733FB2"/>
    <w:rsid w:val="007340FB"/>
    <w:rsid w:val="007347F9"/>
    <w:rsid w:val="007349C7"/>
    <w:rsid w:val="007352F6"/>
    <w:rsid w:val="00735E68"/>
    <w:rsid w:val="0073765F"/>
    <w:rsid w:val="00737B21"/>
    <w:rsid w:val="007408CB"/>
    <w:rsid w:val="00740F2A"/>
    <w:rsid w:val="0074312B"/>
    <w:rsid w:val="007443F6"/>
    <w:rsid w:val="00744C31"/>
    <w:rsid w:val="007453B6"/>
    <w:rsid w:val="007458FA"/>
    <w:rsid w:val="007460A3"/>
    <w:rsid w:val="007467DE"/>
    <w:rsid w:val="00746E8D"/>
    <w:rsid w:val="00747109"/>
    <w:rsid w:val="00747710"/>
    <w:rsid w:val="00747E84"/>
    <w:rsid w:val="00750741"/>
    <w:rsid w:val="00750ADF"/>
    <w:rsid w:val="00751CF8"/>
    <w:rsid w:val="00752A92"/>
    <w:rsid w:val="00753357"/>
    <w:rsid w:val="0075402F"/>
    <w:rsid w:val="00754C06"/>
    <w:rsid w:val="0075508A"/>
    <w:rsid w:val="00755256"/>
    <w:rsid w:val="007552CC"/>
    <w:rsid w:val="00755907"/>
    <w:rsid w:val="007562DA"/>
    <w:rsid w:val="0075756B"/>
    <w:rsid w:val="00757C70"/>
    <w:rsid w:val="0076036E"/>
    <w:rsid w:val="0076059A"/>
    <w:rsid w:val="007610D1"/>
    <w:rsid w:val="00761F50"/>
    <w:rsid w:val="00762386"/>
    <w:rsid w:val="00762787"/>
    <w:rsid w:val="007627D2"/>
    <w:rsid w:val="00762C7C"/>
    <w:rsid w:val="00762FBE"/>
    <w:rsid w:val="007634A9"/>
    <w:rsid w:val="0076356B"/>
    <w:rsid w:val="007641F6"/>
    <w:rsid w:val="007651EA"/>
    <w:rsid w:val="00765361"/>
    <w:rsid w:val="00765642"/>
    <w:rsid w:val="007664E4"/>
    <w:rsid w:val="007665BC"/>
    <w:rsid w:val="00766682"/>
    <w:rsid w:val="00766A7A"/>
    <w:rsid w:val="00766B83"/>
    <w:rsid w:val="00766BA6"/>
    <w:rsid w:val="00770D2C"/>
    <w:rsid w:val="0077148C"/>
    <w:rsid w:val="00771BAB"/>
    <w:rsid w:val="00771C54"/>
    <w:rsid w:val="00772C2B"/>
    <w:rsid w:val="007740BD"/>
    <w:rsid w:val="0077420C"/>
    <w:rsid w:val="0077427A"/>
    <w:rsid w:val="007747BE"/>
    <w:rsid w:val="00774FA5"/>
    <w:rsid w:val="00775886"/>
    <w:rsid w:val="007768DF"/>
    <w:rsid w:val="007768FB"/>
    <w:rsid w:val="00776F99"/>
    <w:rsid w:val="00777C67"/>
    <w:rsid w:val="007802AD"/>
    <w:rsid w:val="007803B2"/>
    <w:rsid w:val="0078047F"/>
    <w:rsid w:val="00780E29"/>
    <w:rsid w:val="00780E60"/>
    <w:rsid w:val="00781151"/>
    <w:rsid w:val="00781203"/>
    <w:rsid w:val="00781312"/>
    <w:rsid w:val="00781824"/>
    <w:rsid w:val="00781833"/>
    <w:rsid w:val="00781F73"/>
    <w:rsid w:val="00782FF3"/>
    <w:rsid w:val="00783189"/>
    <w:rsid w:val="00783D68"/>
    <w:rsid w:val="00783E7A"/>
    <w:rsid w:val="007845E1"/>
    <w:rsid w:val="00784ACA"/>
    <w:rsid w:val="00784C55"/>
    <w:rsid w:val="00785927"/>
    <w:rsid w:val="00785982"/>
    <w:rsid w:val="00785B2E"/>
    <w:rsid w:val="00787686"/>
    <w:rsid w:val="00787953"/>
    <w:rsid w:val="00787E50"/>
    <w:rsid w:val="0079063F"/>
    <w:rsid w:val="00792389"/>
    <w:rsid w:val="007938F3"/>
    <w:rsid w:val="00793D9F"/>
    <w:rsid w:val="007956C8"/>
    <w:rsid w:val="00795EF2"/>
    <w:rsid w:val="00796099"/>
    <w:rsid w:val="007968B8"/>
    <w:rsid w:val="00796B1B"/>
    <w:rsid w:val="00797DBA"/>
    <w:rsid w:val="007A0B2C"/>
    <w:rsid w:val="007A0FEC"/>
    <w:rsid w:val="007A12C9"/>
    <w:rsid w:val="007A17BB"/>
    <w:rsid w:val="007A1CAE"/>
    <w:rsid w:val="007A272C"/>
    <w:rsid w:val="007A2B3E"/>
    <w:rsid w:val="007A2EE6"/>
    <w:rsid w:val="007A3385"/>
    <w:rsid w:val="007A4CA7"/>
    <w:rsid w:val="007A4D01"/>
    <w:rsid w:val="007A584C"/>
    <w:rsid w:val="007A6805"/>
    <w:rsid w:val="007A6BA4"/>
    <w:rsid w:val="007A6EEF"/>
    <w:rsid w:val="007A71AC"/>
    <w:rsid w:val="007A76E0"/>
    <w:rsid w:val="007A79AF"/>
    <w:rsid w:val="007A7AF1"/>
    <w:rsid w:val="007B05FC"/>
    <w:rsid w:val="007B0738"/>
    <w:rsid w:val="007B087E"/>
    <w:rsid w:val="007B0A1E"/>
    <w:rsid w:val="007B0E7C"/>
    <w:rsid w:val="007B18D0"/>
    <w:rsid w:val="007B1F3E"/>
    <w:rsid w:val="007B21AB"/>
    <w:rsid w:val="007B2E9D"/>
    <w:rsid w:val="007B2F0D"/>
    <w:rsid w:val="007B4E94"/>
    <w:rsid w:val="007B5E8E"/>
    <w:rsid w:val="007B6843"/>
    <w:rsid w:val="007B748E"/>
    <w:rsid w:val="007C0A36"/>
    <w:rsid w:val="007C0B6B"/>
    <w:rsid w:val="007C0BEA"/>
    <w:rsid w:val="007C0D75"/>
    <w:rsid w:val="007C126B"/>
    <w:rsid w:val="007C13B8"/>
    <w:rsid w:val="007C1511"/>
    <w:rsid w:val="007C1E4C"/>
    <w:rsid w:val="007C2617"/>
    <w:rsid w:val="007C2FE3"/>
    <w:rsid w:val="007C3072"/>
    <w:rsid w:val="007C38C6"/>
    <w:rsid w:val="007C3DB6"/>
    <w:rsid w:val="007C3E22"/>
    <w:rsid w:val="007C4D6B"/>
    <w:rsid w:val="007C4FEE"/>
    <w:rsid w:val="007C681F"/>
    <w:rsid w:val="007C68B5"/>
    <w:rsid w:val="007C79A2"/>
    <w:rsid w:val="007D06BB"/>
    <w:rsid w:val="007D1457"/>
    <w:rsid w:val="007D197A"/>
    <w:rsid w:val="007D1D5D"/>
    <w:rsid w:val="007D20D7"/>
    <w:rsid w:val="007D2511"/>
    <w:rsid w:val="007D2CF3"/>
    <w:rsid w:val="007D354A"/>
    <w:rsid w:val="007D41D8"/>
    <w:rsid w:val="007D4FDA"/>
    <w:rsid w:val="007D5735"/>
    <w:rsid w:val="007D5AD8"/>
    <w:rsid w:val="007D6269"/>
    <w:rsid w:val="007D62F3"/>
    <w:rsid w:val="007D6425"/>
    <w:rsid w:val="007D7696"/>
    <w:rsid w:val="007D7A9D"/>
    <w:rsid w:val="007E01D5"/>
    <w:rsid w:val="007E120E"/>
    <w:rsid w:val="007E1DB7"/>
    <w:rsid w:val="007E22B4"/>
    <w:rsid w:val="007E48CF"/>
    <w:rsid w:val="007E5145"/>
    <w:rsid w:val="007F00FF"/>
    <w:rsid w:val="007F035B"/>
    <w:rsid w:val="007F065B"/>
    <w:rsid w:val="007F1946"/>
    <w:rsid w:val="007F2D88"/>
    <w:rsid w:val="007F31B2"/>
    <w:rsid w:val="007F34B6"/>
    <w:rsid w:val="007F352D"/>
    <w:rsid w:val="007F446E"/>
    <w:rsid w:val="007F497E"/>
    <w:rsid w:val="007F549E"/>
    <w:rsid w:val="007F607A"/>
    <w:rsid w:val="007F62C5"/>
    <w:rsid w:val="007F6FB1"/>
    <w:rsid w:val="007F71DF"/>
    <w:rsid w:val="007F7A28"/>
    <w:rsid w:val="0080076A"/>
    <w:rsid w:val="00801EB3"/>
    <w:rsid w:val="00802C1B"/>
    <w:rsid w:val="00803052"/>
    <w:rsid w:val="008033C2"/>
    <w:rsid w:val="0080342B"/>
    <w:rsid w:val="00803625"/>
    <w:rsid w:val="008038D0"/>
    <w:rsid w:val="00803AF3"/>
    <w:rsid w:val="00803DB8"/>
    <w:rsid w:val="00804A2D"/>
    <w:rsid w:val="00804AA4"/>
    <w:rsid w:val="00804E90"/>
    <w:rsid w:val="00805B41"/>
    <w:rsid w:val="00805FBE"/>
    <w:rsid w:val="00806261"/>
    <w:rsid w:val="00806A19"/>
    <w:rsid w:val="00806A3A"/>
    <w:rsid w:val="008071C5"/>
    <w:rsid w:val="00807670"/>
    <w:rsid w:val="00810570"/>
    <w:rsid w:val="00810755"/>
    <w:rsid w:val="00812232"/>
    <w:rsid w:val="00812AA1"/>
    <w:rsid w:val="008131FA"/>
    <w:rsid w:val="008133C0"/>
    <w:rsid w:val="008144E0"/>
    <w:rsid w:val="00814A3A"/>
    <w:rsid w:val="0081513A"/>
    <w:rsid w:val="0081560E"/>
    <w:rsid w:val="00815A3E"/>
    <w:rsid w:val="008164E8"/>
    <w:rsid w:val="00816A49"/>
    <w:rsid w:val="008170CF"/>
    <w:rsid w:val="008177EE"/>
    <w:rsid w:val="00820568"/>
    <w:rsid w:val="00820ABB"/>
    <w:rsid w:val="00820BED"/>
    <w:rsid w:val="008213CF"/>
    <w:rsid w:val="00821692"/>
    <w:rsid w:val="00821B54"/>
    <w:rsid w:val="00821D34"/>
    <w:rsid w:val="00822091"/>
    <w:rsid w:val="00822725"/>
    <w:rsid w:val="00822A6D"/>
    <w:rsid w:val="00823311"/>
    <w:rsid w:val="00823C69"/>
    <w:rsid w:val="008246E3"/>
    <w:rsid w:val="00824AAA"/>
    <w:rsid w:val="008259CF"/>
    <w:rsid w:val="00825E35"/>
    <w:rsid w:val="00826169"/>
    <w:rsid w:val="00826909"/>
    <w:rsid w:val="0082711E"/>
    <w:rsid w:val="00827686"/>
    <w:rsid w:val="00827B96"/>
    <w:rsid w:val="00827EC4"/>
    <w:rsid w:val="00830CC4"/>
    <w:rsid w:val="0083168B"/>
    <w:rsid w:val="00831D33"/>
    <w:rsid w:val="00832D88"/>
    <w:rsid w:val="00832F6E"/>
    <w:rsid w:val="0083308C"/>
    <w:rsid w:val="0083338D"/>
    <w:rsid w:val="00833722"/>
    <w:rsid w:val="00833FB6"/>
    <w:rsid w:val="00834BC3"/>
    <w:rsid w:val="008420F4"/>
    <w:rsid w:val="00842FE7"/>
    <w:rsid w:val="008439B2"/>
    <w:rsid w:val="00844277"/>
    <w:rsid w:val="00844434"/>
    <w:rsid w:val="00844F3B"/>
    <w:rsid w:val="008455EF"/>
    <w:rsid w:val="00845878"/>
    <w:rsid w:val="00845891"/>
    <w:rsid w:val="0084695A"/>
    <w:rsid w:val="008469C1"/>
    <w:rsid w:val="0084708A"/>
    <w:rsid w:val="00850E16"/>
    <w:rsid w:val="00851152"/>
    <w:rsid w:val="00851380"/>
    <w:rsid w:val="00852018"/>
    <w:rsid w:val="00852226"/>
    <w:rsid w:val="00852320"/>
    <w:rsid w:val="008543E8"/>
    <w:rsid w:val="00855111"/>
    <w:rsid w:val="00855AD8"/>
    <w:rsid w:val="00855BE7"/>
    <w:rsid w:val="00856121"/>
    <w:rsid w:val="00857EEC"/>
    <w:rsid w:val="008606F1"/>
    <w:rsid w:val="00860AF0"/>
    <w:rsid w:val="008618B2"/>
    <w:rsid w:val="008623C5"/>
    <w:rsid w:val="0086261F"/>
    <w:rsid w:val="008626CE"/>
    <w:rsid w:val="00862760"/>
    <w:rsid w:val="0086469F"/>
    <w:rsid w:val="008649B5"/>
    <w:rsid w:val="00864A1A"/>
    <w:rsid w:val="00866696"/>
    <w:rsid w:val="00867A25"/>
    <w:rsid w:val="008700BA"/>
    <w:rsid w:val="00871F90"/>
    <w:rsid w:val="008734FF"/>
    <w:rsid w:val="00873666"/>
    <w:rsid w:val="0087426E"/>
    <w:rsid w:val="00874736"/>
    <w:rsid w:val="008748B4"/>
    <w:rsid w:val="008751F6"/>
    <w:rsid w:val="00875CD5"/>
    <w:rsid w:val="00876854"/>
    <w:rsid w:val="00876986"/>
    <w:rsid w:val="008769DE"/>
    <w:rsid w:val="008769F5"/>
    <w:rsid w:val="00876C37"/>
    <w:rsid w:val="008804BC"/>
    <w:rsid w:val="00880D1A"/>
    <w:rsid w:val="00880D91"/>
    <w:rsid w:val="00881D81"/>
    <w:rsid w:val="00881E2C"/>
    <w:rsid w:val="00882A13"/>
    <w:rsid w:val="00882F2B"/>
    <w:rsid w:val="00883566"/>
    <w:rsid w:val="0088364C"/>
    <w:rsid w:val="008849FF"/>
    <w:rsid w:val="00884ED9"/>
    <w:rsid w:val="00884F33"/>
    <w:rsid w:val="008859AC"/>
    <w:rsid w:val="008861E0"/>
    <w:rsid w:val="008869C8"/>
    <w:rsid w:val="00886AC3"/>
    <w:rsid w:val="00890066"/>
    <w:rsid w:val="008916A4"/>
    <w:rsid w:val="008922DC"/>
    <w:rsid w:val="00892D3A"/>
    <w:rsid w:val="00893305"/>
    <w:rsid w:val="00896574"/>
    <w:rsid w:val="008979C1"/>
    <w:rsid w:val="008A0025"/>
    <w:rsid w:val="008A0B21"/>
    <w:rsid w:val="008A1E3E"/>
    <w:rsid w:val="008A2094"/>
    <w:rsid w:val="008A2249"/>
    <w:rsid w:val="008A337D"/>
    <w:rsid w:val="008A338C"/>
    <w:rsid w:val="008A37BA"/>
    <w:rsid w:val="008A3BD5"/>
    <w:rsid w:val="008A4178"/>
    <w:rsid w:val="008A4C71"/>
    <w:rsid w:val="008A4E18"/>
    <w:rsid w:val="008A571F"/>
    <w:rsid w:val="008A6310"/>
    <w:rsid w:val="008A64F4"/>
    <w:rsid w:val="008A674D"/>
    <w:rsid w:val="008A7232"/>
    <w:rsid w:val="008A78EC"/>
    <w:rsid w:val="008A7991"/>
    <w:rsid w:val="008A7C07"/>
    <w:rsid w:val="008A7E52"/>
    <w:rsid w:val="008B0E67"/>
    <w:rsid w:val="008B11C9"/>
    <w:rsid w:val="008B155F"/>
    <w:rsid w:val="008B1863"/>
    <w:rsid w:val="008B1BC6"/>
    <w:rsid w:val="008B6B71"/>
    <w:rsid w:val="008B6F31"/>
    <w:rsid w:val="008C0158"/>
    <w:rsid w:val="008C174F"/>
    <w:rsid w:val="008C263A"/>
    <w:rsid w:val="008C269E"/>
    <w:rsid w:val="008C3F3A"/>
    <w:rsid w:val="008C4150"/>
    <w:rsid w:val="008C4902"/>
    <w:rsid w:val="008C5042"/>
    <w:rsid w:val="008C544B"/>
    <w:rsid w:val="008D1047"/>
    <w:rsid w:val="008D1581"/>
    <w:rsid w:val="008D1BAD"/>
    <w:rsid w:val="008D1C55"/>
    <w:rsid w:val="008D33E2"/>
    <w:rsid w:val="008D375D"/>
    <w:rsid w:val="008D4019"/>
    <w:rsid w:val="008D4C3E"/>
    <w:rsid w:val="008D50FC"/>
    <w:rsid w:val="008D51F3"/>
    <w:rsid w:val="008D6DC3"/>
    <w:rsid w:val="008D78EB"/>
    <w:rsid w:val="008E051D"/>
    <w:rsid w:val="008E0881"/>
    <w:rsid w:val="008E0F34"/>
    <w:rsid w:val="008E1E03"/>
    <w:rsid w:val="008E2B3B"/>
    <w:rsid w:val="008E4054"/>
    <w:rsid w:val="008E4A0D"/>
    <w:rsid w:val="008E5BF0"/>
    <w:rsid w:val="008E67B8"/>
    <w:rsid w:val="008E7142"/>
    <w:rsid w:val="008E778B"/>
    <w:rsid w:val="008F093F"/>
    <w:rsid w:val="008F1635"/>
    <w:rsid w:val="008F1B64"/>
    <w:rsid w:val="008F1B94"/>
    <w:rsid w:val="008F2A12"/>
    <w:rsid w:val="008F2F43"/>
    <w:rsid w:val="008F431C"/>
    <w:rsid w:val="008F43B7"/>
    <w:rsid w:val="008F4901"/>
    <w:rsid w:val="008F4DA1"/>
    <w:rsid w:val="008F5289"/>
    <w:rsid w:val="008F5430"/>
    <w:rsid w:val="008F6AD8"/>
    <w:rsid w:val="008F7340"/>
    <w:rsid w:val="008F76EB"/>
    <w:rsid w:val="008F79E8"/>
    <w:rsid w:val="009006D4"/>
    <w:rsid w:val="0090108A"/>
    <w:rsid w:val="00901219"/>
    <w:rsid w:val="00901BA6"/>
    <w:rsid w:val="009042CC"/>
    <w:rsid w:val="00904571"/>
    <w:rsid w:val="00904EE1"/>
    <w:rsid w:val="00905716"/>
    <w:rsid w:val="009059DF"/>
    <w:rsid w:val="00905EF4"/>
    <w:rsid w:val="00906134"/>
    <w:rsid w:val="00906184"/>
    <w:rsid w:val="00907160"/>
    <w:rsid w:val="009076A8"/>
    <w:rsid w:val="00907EF2"/>
    <w:rsid w:val="00910D95"/>
    <w:rsid w:val="00910DD1"/>
    <w:rsid w:val="009127A4"/>
    <w:rsid w:val="00912ACF"/>
    <w:rsid w:val="00912AE9"/>
    <w:rsid w:val="00912CBF"/>
    <w:rsid w:val="00912CC5"/>
    <w:rsid w:val="00912E9D"/>
    <w:rsid w:val="00913AD5"/>
    <w:rsid w:val="00913D5F"/>
    <w:rsid w:val="009147D8"/>
    <w:rsid w:val="00914A3B"/>
    <w:rsid w:val="00914D14"/>
    <w:rsid w:val="009152E1"/>
    <w:rsid w:val="009159B2"/>
    <w:rsid w:val="009159EF"/>
    <w:rsid w:val="00915C37"/>
    <w:rsid w:val="009167AE"/>
    <w:rsid w:val="009168E1"/>
    <w:rsid w:val="0091695C"/>
    <w:rsid w:val="00916A3B"/>
    <w:rsid w:val="009179D3"/>
    <w:rsid w:val="00917B96"/>
    <w:rsid w:val="00920507"/>
    <w:rsid w:val="00920B3E"/>
    <w:rsid w:val="00920BBD"/>
    <w:rsid w:val="00920C63"/>
    <w:rsid w:val="009219B4"/>
    <w:rsid w:val="00921D13"/>
    <w:rsid w:val="009240CC"/>
    <w:rsid w:val="00925876"/>
    <w:rsid w:val="0092594F"/>
    <w:rsid w:val="00925B36"/>
    <w:rsid w:val="0092646E"/>
    <w:rsid w:val="009310B5"/>
    <w:rsid w:val="00931611"/>
    <w:rsid w:val="009321C7"/>
    <w:rsid w:val="0093286D"/>
    <w:rsid w:val="009329AE"/>
    <w:rsid w:val="00933C53"/>
    <w:rsid w:val="00934C83"/>
    <w:rsid w:val="00935D97"/>
    <w:rsid w:val="009367D9"/>
    <w:rsid w:val="009369AE"/>
    <w:rsid w:val="00936D08"/>
    <w:rsid w:val="00936E8C"/>
    <w:rsid w:val="0093766C"/>
    <w:rsid w:val="00937E5B"/>
    <w:rsid w:val="00940F65"/>
    <w:rsid w:val="0094228F"/>
    <w:rsid w:val="0094393C"/>
    <w:rsid w:val="0094439D"/>
    <w:rsid w:val="00944AFA"/>
    <w:rsid w:val="009453D5"/>
    <w:rsid w:val="00945650"/>
    <w:rsid w:val="00945FE2"/>
    <w:rsid w:val="0094621D"/>
    <w:rsid w:val="00950727"/>
    <w:rsid w:val="009508E4"/>
    <w:rsid w:val="00951388"/>
    <w:rsid w:val="0095140C"/>
    <w:rsid w:val="00951FDB"/>
    <w:rsid w:val="009522DA"/>
    <w:rsid w:val="00952308"/>
    <w:rsid w:val="009527A1"/>
    <w:rsid w:val="00952F7C"/>
    <w:rsid w:val="00953E02"/>
    <w:rsid w:val="00954323"/>
    <w:rsid w:val="00954BC2"/>
    <w:rsid w:val="009567B8"/>
    <w:rsid w:val="00957467"/>
    <w:rsid w:val="00957E7E"/>
    <w:rsid w:val="00960D34"/>
    <w:rsid w:val="009611D2"/>
    <w:rsid w:val="0096202E"/>
    <w:rsid w:val="009621A0"/>
    <w:rsid w:val="009625D0"/>
    <w:rsid w:val="00962A0E"/>
    <w:rsid w:val="00962BC2"/>
    <w:rsid w:val="00963D5E"/>
    <w:rsid w:val="00964224"/>
    <w:rsid w:val="00964542"/>
    <w:rsid w:val="0096696A"/>
    <w:rsid w:val="0096698C"/>
    <w:rsid w:val="00966C9B"/>
    <w:rsid w:val="009671F6"/>
    <w:rsid w:val="00967201"/>
    <w:rsid w:val="00967C74"/>
    <w:rsid w:val="00971FDA"/>
    <w:rsid w:val="009722A8"/>
    <w:rsid w:val="00972548"/>
    <w:rsid w:val="00972588"/>
    <w:rsid w:val="009728FF"/>
    <w:rsid w:val="00973554"/>
    <w:rsid w:val="009743E4"/>
    <w:rsid w:val="00974888"/>
    <w:rsid w:val="00974B47"/>
    <w:rsid w:val="00974D53"/>
    <w:rsid w:val="00974D5D"/>
    <w:rsid w:val="009760C4"/>
    <w:rsid w:val="00976E27"/>
    <w:rsid w:val="009772A5"/>
    <w:rsid w:val="00977550"/>
    <w:rsid w:val="00977D91"/>
    <w:rsid w:val="00980B5D"/>
    <w:rsid w:val="00981173"/>
    <w:rsid w:val="0098128E"/>
    <w:rsid w:val="00981A75"/>
    <w:rsid w:val="00981F83"/>
    <w:rsid w:val="00982ADD"/>
    <w:rsid w:val="009840D2"/>
    <w:rsid w:val="009841A8"/>
    <w:rsid w:val="00984B70"/>
    <w:rsid w:val="00984D66"/>
    <w:rsid w:val="00984DA0"/>
    <w:rsid w:val="00984E89"/>
    <w:rsid w:val="00985E12"/>
    <w:rsid w:val="009868BE"/>
    <w:rsid w:val="00986B64"/>
    <w:rsid w:val="00986EFA"/>
    <w:rsid w:val="009876A4"/>
    <w:rsid w:val="0098795D"/>
    <w:rsid w:val="00990FF8"/>
    <w:rsid w:val="009912A7"/>
    <w:rsid w:val="009917E9"/>
    <w:rsid w:val="0099198F"/>
    <w:rsid w:val="00992416"/>
    <w:rsid w:val="009928AD"/>
    <w:rsid w:val="009933DC"/>
    <w:rsid w:val="00993789"/>
    <w:rsid w:val="00994B4C"/>
    <w:rsid w:val="00994F61"/>
    <w:rsid w:val="009952FA"/>
    <w:rsid w:val="00995383"/>
    <w:rsid w:val="00996057"/>
    <w:rsid w:val="00996394"/>
    <w:rsid w:val="00996BD1"/>
    <w:rsid w:val="00996C89"/>
    <w:rsid w:val="00996CB7"/>
    <w:rsid w:val="00996CD2"/>
    <w:rsid w:val="009979B9"/>
    <w:rsid w:val="009A03C7"/>
    <w:rsid w:val="009A0703"/>
    <w:rsid w:val="009A1399"/>
    <w:rsid w:val="009A22FD"/>
    <w:rsid w:val="009A2A31"/>
    <w:rsid w:val="009A2ED6"/>
    <w:rsid w:val="009A31B4"/>
    <w:rsid w:val="009A31E7"/>
    <w:rsid w:val="009A3B83"/>
    <w:rsid w:val="009A43E7"/>
    <w:rsid w:val="009A4B91"/>
    <w:rsid w:val="009A546A"/>
    <w:rsid w:val="009A621C"/>
    <w:rsid w:val="009A6677"/>
    <w:rsid w:val="009A6C66"/>
    <w:rsid w:val="009A6EF9"/>
    <w:rsid w:val="009A7BBC"/>
    <w:rsid w:val="009B2A11"/>
    <w:rsid w:val="009B319D"/>
    <w:rsid w:val="009B5581"/>
    <w:rsid w:val="009B5940"/>
    <w:rsid w:val="009B59B9"/>
    <w:rsid w:val="009B6330"/>
    <w:rsid w:val="009B63ED"/>
    <w:rsid w:val="009B710D"/>
    <w:rsid w:val="009B7D98"/>
    <w:rsid w:val="009C0816"/>
    <w:rsid w:val="009C10CF"/>
    <w:rsid w:val="009C2ECA"/>
    <w:rsid w:val="009C3862"/>
    <w:rsid w:val="009C4171"/>
    <w:rsid w:val="009C4199"/>
    <w:rsid w:val="009C475C"/>
    <w:rsid w:val="009C47E5"/>
    <w:rsid w:val="009C5878"/>
    <w:rsid w:val="009C60A5"/>
    <w:rsid w:val="009C6154"/>
    <w:rsid w:val="009C67DB"/>
    <w:rsid w:val="009C71C4"/>
    <w:rsid w:val="009C75C9"/>
    <w:rsid w:val="009D1492"/>
    <w:rsid w:val="009D169E"/>
    <w:rsid w:val="009D17E7"/>
    <w:rsid w:val="009D2602"/>
    <w:rsid w:val="009D2FF8"/>
    <w:rsid w:val="009D3234"/>
    <w:rsid w:val="009D346D"/>
    <w:rsid w:val="009D3751"/>
    <w:rsid w:val="009D391E"/>
    <w:rsid w:val="009D3F3C"/>
    <w:rsid w:val="009D41B7"/>
    <w:rsid w:val="009D489E"/>
    <w:rsid w:val="009D5CA7"/>
    <w:rsid w:val="009D65CD"/>
    <w:rsid w:val="009D6E2E"/>
    <w:rsid w:val="009D7298"/>
    <w:rsid w:val="009D7398"/>
    <w:rsid w:val="009D782E"/>
    <w:rsid w:val="009D7AC9"/>
    <w:rsid w:val="009E03C7"/>
    <w:rsid w:val="009E059D"/>
    <w:rsid w:val="009E0AC3"/>
    <w:rsid w:val="009E12B5"/>
    <w:rsid w:val="009E3C1C"/>
    <w:rsid w:val="009E3F6F"/>
    <w:rsid w:val="009E4976"/>
    <w:rsid w:val="009E5ECD"/>
    <w:rsid w:val="009E6ACB"/>
    <w:rsid w:val="009E73AC"/>
    <w:rsid w:val="009E7A03"/>
    <w:rsid w:val="009F1043"/>
    <w:rsid w:val="009F22F9"/>
    <w:rsid w:val="009F2D78"/>
    <w:rsid w:val="009F31B3"/>
    <w:rsid w:val="009F36CA"/>
    <w:rsid w:val="009F4FE2"/>
    <w:rsid w:val="009F58F9"/>
    <w:rsid w:val="009F5C4F"/>
    <w:rsid w:val="009F6167"/>
    <w:rsid w:val="009F6217"/>
    <w:rsid w:val="009F752A"/>
    <w:rsid w:val="009F7CDE"/>
    <w:rsid w:val="00A003BE"/>
    <w:rsid w:val="00A00454"/>
    <w:rsid w:val="00A00EE1"/>
    <w:rsid w:val="00A022AB"/>
    <w:rsid w:val="00A02B33"/>
    <w:rsid w:val="00A03435"/>
    <w:rsid w:val="00A03567"/>
    <w:rsid w:val="00A0385F"/>
    <w:rsid w:val="00A05F34"/>
    <w:rsid w:val="00A065C7"/>
    <w:rsid w:val="00A06C2D"/>
    <w:rsid w:val="00A079D0"/>
    <w:rsid w:val="00A11132"/>
    <w:rsid w:val="00A1156F"/>
    <w:rsid w:val="00A11756"/>
    <w:rsid w:val="00A11969"/>
    <w:rsid w:val="00A128D5"/>
    <w:rsid w:val="00A12DE8"/>
    <w:rsid w:val="00A141C9"/>
    <w:rsid w:val="00A14832"/>
    <w:rsid w:val="00A157B9"/>
    <w:rsid w:val="00A158FB"/>
    <w:rsid w:val="00A15DE5"/>
    <w:rsid w:val="00A16A4D"/>
    <w:rsid w:val="00A16E33"/>
    <w:rsid w:val="00A1712E"/>
    <w:rsid w:val="00A17F2D"/>
    <w:rsid w:val="00A20667"/>
    <w:rsid w:val="00A21829"/>
    <w:rsid w:val="00A22255"/>
    <w:rsid w:val="00A22348"/>
    <w:rsid w:val="00A243D6"/>
    <w:rsid w:val="00A249F1"/>
    <w:rsid w:val="00A24C62"/>
    <w:rsid w:val="00A254EC"/>
    <w:rsid w:val="00A25F51"/>
    <w:rsid w:val="00A26029"/>
    <w:rsid w:val="00A26182"/>
    <w:rsid w:val="00A27E54"/>
    <w:rsid w:val="00A30227"/>
    <w:rsid w:val="00A30382"/>
    <w:rsid w:val="00A30CEC"/>
    <w:rsid w:val="00A3188E"/>
    <w:rsid w:val="00A32604"/>
    <w:rsid w:val="00A32EF3"/>
    <w:rsid w:val="00A33959"/>
    <w:rsid w:val="00A33D31"/>
    <w:rsid w:val="00A3514A"/>
    <w:rsid w:val="00A35312"/>
    <w:rsid w:val="00A354C8"/>
    <w:rsid w:val="00A35851"/>
    <w:rsid w:val="00A37996"/>
    <w:rsid w:val="00A40323"/>
    <w:rsid w:val="00A403F2"/>
    <w:rsid w:val="00A407E6"/>
    <w:rsid w:val="00A40E00"/>
    <w:rsid w:val="00A417AE"/>
    <w:rsid w:val="00A43345"/>
    <w:rsid w:val="00A447E6"/>
    <w:rsid w:val="00A44B4C"/>
    <w:rsid w:val="00A45325"/>
    <w:rsid w:val="00A4572F"/>
    <w:rsid w:val="00A463E3"/>
    <w:rsid w:val="00A46B14"/>
    <w:rsid w:val="00A47397"/>
    <w:rsid w:val="00A47697"/>
    <w:rsid w:val="00A50026"/>
    <w:rsid w:val="00A50537"/>
    <w:rsid w:val="00A50AD6"/>
    <w:rsid w:val="00A50D0F"/>
    <w:rsid w:val="00A50E2B"/>
    <w:rsid w:val="00A51495"/>
    <w:rsid w:val="00A5287B"/>
    <w:rsid w:val="00A54097"/>
    <w:rsid w:val="00A54BE7"/>
    <w:rsid w:val="00A54DAA"/>
    <w:rsid w:val="00A57661"/>
    <w:rsid w:val="00A60184"/>
    <w:rsid w:val="00A60E34"/>
    <w:rsid w:val="00A62074"/>
    <w:rsid w:val="00A62606"/>
    <w:rsid w:val="00A62920"/>
    <w:rsid w:val="00A62EA7"/>
    <w:rsid w:val="00A63734"/>
    <w:rsid w:val="00A63A92"/>
    <w:rsid w:val="00A6459E"/>
    <w:rsid w:val="00A64686"/>
    <w:rsid w:val="00A64CAE"/>
    <w:rsid w:val="00A64FD3"/>
    <w:rsid w:val="00A652D9"/>
    <w:rsid w:val="00A6578C"/>
    <w:rsid w:val="00A6590E"/>
    <w:rsid w:val="00A6605D"/>
    <w:rsid w:val="00A672AC"/>
    <w:rsid w:val="00A70E5C"/>
    <w:rsid w:val="00A7170B"/>
    <w:rsid w:val="00A71A0A"/>
    <w:rsid w:val="00A71A96"/>
    <w:rsid w:val="00A71D0A"/>
    <w:rsid w:val="00A720B2"/>
    <w:rsid w:val="00A72227"/>
    <w:rsid w:val="00A729CF"/>
    <w:rsid w:val="00A72CC1"/>
    <w:rsid w:val="00A73E12"/>
    <w:rsid w:val="00A74318"/>
    <w:rsid w:val="00A748F2"/>
    <w:rsid w:val="00A74939"/>
    <w:rsid w:val="00A749C0"/>
    <w:rsid w:val="00A75D16"/>
    <w:rsid w:val="00A76AED"/>
    <w:rsid w:val="00A77B52"/>
    <w:rsid w:val="00A77BE7"/>
    <w:rsid w:val="00A80044"/>
    <w:rsid w:val="00A80EC0"/>
    <w:rsid w:val="00A81845"/>
    <w:rsid w:val="00A8271D"/>
    <w:rsid w:val="00A82B34"/>
    <w:rsid w:val="00A83611"/>
    <w:rsid w:val="00A84B21"/>
    <w:rsid w:val="00A8580C"/>
    <w:rsid w:val="00A85A45"/>
    <w:rsid w:val="00A85F3E"/>
    <w:rsid w:val="00A86A92"/>
    <w:rsid w:val="00A86CEB"/>
    <w:rsid w:val="00A86EA3"/>
    <w:rsid w:val="00A8715B"/>
    <w:rsid w:val="00A90AA5"/>
    <w:rsid w:val="00A911FE"/>
    <w:rsid w:val="00A912BA"/>
    <w:rsid w:val="00A924F3"/>
    <w:rsid w:val="00A92AF0"/>
    <w:rsid w:val="00A93C66"/>
    <w:rsid w:val="00A94369"/>
    <w:rsid w:val="00A9668D"/>
    <w:rsid w:val="00A97923"/>
    <w:rsid w:val="00AA0CC6"/>
    <w:rsid w:val="00AA0E31"/>
    <w:rsid w:val="00AA150D"/>
    <w:rsid w:val="00AA1803"/>
    <w:rsid w:val="00AA1B85"/>
    <w:rsid w:val="00AA20EA"/>
    <w:rsid w:val="00AA2F4E"/>
    <w:rsid w:val="00AA446F"/>
    <w:rsid w:val="00AA59A6"/>
    <w:rsid w:val="00AA63AE"/>
    <w:rsid w:val="00AA64B0"/>
    <w:rsid w:val="00AA67E1"/>
    <w:rsid w:val="00AA739B"/>
    <w:rsid w:val="00AB0D80"/>
    <w:rsid w:val="00AB16D9"/>
    <w:rsid w:val="00AB1C49"/>
    <w:rsid w:val="00AB1FC8"/>
    <w:rsid w:val="00AB284D"/>
    <w:rsid w:val="00AB2F02"/>
    <w:rsid w:val="00AB304E"/>
    <w:rsid w:val="00AB5EDD"/>
    <w:rsid w:val="00AB6C17"/>
    <w:rsid w:val="00AB70FE"/>
    <w:rsid w:val="00AC041E"/>
    <w:rsid w:val="00AC0A9D"/>
    <w:rsid w:val="00AC0C9E"/>
    <w:rsid w:val="00AC20C0"/>
    <w:rsid w:val="00AC2876"/>
    <w:rsid w:val="00AC3349"/>
    <w:rsid w:val="00AC33C8"/>
    <w:rsid w:val="00AC3E46"/>
    <w:rsid w:val="00AC449A"/>
    <w:rsid w:val="00AC4C13"/>
    <w:rsid w:val="00AC4C74"/>
    <w:rsid w:val="00AC4CD2"/>
    <w:rsid w:val="00AC53C0"/>
    <w:rsid w:val="00AC5637"/>
    <w:rsid w:val="00AC5D5B"/>
    <w:rsid w:val="00AC61B9"/>
    <w:rsid w:val="00AC71CB"/>
    <w:rsid w:val="00AC7BE1"/>
    <w:rsid w:val="00AC7FB4"/>
    <w:rsid w:val="00AD059B"/>
    <w:rsid w:val="00AD102A"/>
    <w:rsid w:val="00AD1502"/>
    <w:rsid w:val="00AD1796"/>
    <w:rsid w:val="00AD1974"/>
    <w:rsid w:val="00AD1FFE"/>
    <w:rsid w:val="00AD2353"/>
    <w:rsid w:val="00AD239A"/>
    <w:rsid w:val="00AD26D4"/>
    <w:rsid w:val="00AD2B99"/>
    <w:rsid w:val="00AD3102"/>
    <w:rsid w:val="00AD3EDC"/>
    <w:rsid w:val="00AD4BF1"/>
    <w:rsid w:val="00AD505E"/>
    <w:rsid w:val="00AD5CCC"/>
    <w:rsid w:val="00AD69CC"/>
    <w:rsid w:val="00AD6CC5"/>
    <w:rsid w:val="00AD713A"/>
    <w:rsid w:val="00AD7E0B"/>
    <w:rsid w:val="00AE0E58"/>
    <w:rsid w:val="00AE184F"/>
    <w:rsid w:val="00AE228A"/>
    <w:rsid w:val="00AE594A"/>
    <w:rsid w:val="00AF00D1"/>
    <w:rsid w:val="00AF0189"/>
    <w:rsid w:val="00AF061D"/>
    <w:rsid w:val="00AF0B60"/>
    <w:rsid w:val="00AF12CE"/>
    <w:rsid w:val="00AF3FE0"/>
    <w:rsid w:val="00AF45EB"/>
    <w:rsid w:val="00AF4794"/>
    <w:rsid w:val="00AF4A19"/>
    <w:rsid w:val="00AF695E"/>
    <w:rsid w:val="00AF6AF0"/>
    <w:rsid w:val="00AF7191"/>
    <w:rsid w:val="00AF7264"/>
    <w:rsid w:val="00AF787F"/>
    <w:rsid w:val="00AF7C74"/>
    <w:rsid w:val="00B001EB"/>
    <w:rsid w:val="00B004D7"/>
    <w:rsid w:val="00B00586"/>
    <w:rsid w:val="00B0060C"/>
    <w:rsid w:val="00B0060F"/>
    <w:rsid w:val="00B00972"/>
    <w:rsid w:val="00B0098B"/>
    <w:rsid w:val="00B01069"/>
    <w:rsid w:val="00B01D5A"/>
    <w:rsid w:val="00B02553"/>
    <w:rsid w:val="00B0271B"/>
    <w:rsid w:val="00B041BF"/>
    <w:rsid w:val="00B04536"/>
    <w:rsid w:val="00B06B70"/>
    <w:rsid w:val="00B1057E"/>
    <w:rsid w:val="00B10F5D"/>
    <w:rsid w:val="00B138E2"/>
    <w:rsid w:val="00B15927"/>
    <w:rsid w:val="00B15EAA"/>
    <w:rsid w:val="00B16A33"/>
    <w:rsid w:val="00B17164"/>
    <w:rsid w:val="00B17AC0"/>
    <w:rsid w:val="00B17B7B"/>
    <w:rsid w:val="00B17D41"/>
    <w:rsid w:val="00B21333"/>
    <w:rsid w:val="00B21F74"/>
    <w:rsid w:val="00B23F8F"/>
    <w:rsid w:val="00B24451"/>
    <w:rsid w:val="00B24AD9"/>
    <w:rsid w:val="00B25959"/>
    <w:rsid w:val="00B25D33"/>
    <w:rsid w:val="00B26263"/>
    <w:rsid w:val="00B2671B"/>
    <w:rsid w:val="00B267CA"/>
    <w:rsid w:val="00B311DD"/>
    <w:rsid w:val="00B32A7C"/>
    <w:rsid w:val="00B3572E"/>
    <w:rsid w:val="00B35A25"/>
    <w:rsid w:val="00B35FA6"/>
    <w:rsid w:val="00B36698"/>
    <w:rsid w:val="00B371C5"/>
    <w:rsid w:val="00B37DCC"/>
    <w:rsid w:val="00B40734"/>
    <w:rsid w:val="00B40A36"/>
    <w:rsid w:val="00B40A62"/>
    <w:rsid w:val="00B40C90"/>
    <w:rsid w:val="00B410C6"/>
    <w:rsid w:val="00B414C1"/>
    <w:rsid w:val="00B41FAA"/>
    <w:rsid w:val="00B42191"/>
    <w:rsid w:val="00B429CC"/>
    <w:rsid w:val="00B42A55"/>
    <w:rsid w:val="00B42C8B"/>
    <w:rsid w:val="00B444C1"/>
    <w:rsid w:val="00B44EFF"/>
    <w:rsid w:val="00B45467"/>
    <w:rsid w:val="00B46F12"/>
    <w:rsid w:val="00B50247"/>
    <w:rsid w:val="00B5134D"/>
    <w:rsid w:val="00B516F5"/>
    <w:rsid w:val="00B52693"/>
    <w:rsid w:val="00B528F9"/>
    <w:rsid w:val="00B54055"/>
    <w:rsid w:val="00B5413B"/>
    <w:rsid w:val="00B54341"/>
    <w:rsid w:val="00B559F2"/>
    <w:rsid w:val="00B56448"/>
    <w:rsid w:val="00B566CD"/>
    <w:rsid w:val="00B56CF8"/>
    <w:rsid w:val="00B57130"/>
    <w:rsid w:val="00B57816"/>
    <w:rsid w:val="00B57D82"/>
    <w:rsid w:val="00B6087C"/>
    <w:rsid w:val="00B60E4E"/>
    <w:rsid w:val="00B61973"/>
    <w:rsid w:val="00B61ED6"/>
    <w:rsid w:val="00B62E41"/>
    <w:rsid w:val="00B6403E"/>
    <w:rsid w:val="00B647B6"/>
    <w:rsid w:val="00B652BE"/>
    <w:rsid w:val="00B65807"/>
    <w:rsid w:val="00B659E4"/>
    <w:rsid w:val="00B65E5A"/>
    <w:rsid w:val="00B66C2A"/>
    <w:rsid w:val="00B66D12"/>
    <w:rsid w:val="00B6741C"/>
    <w:rsid w:val="00B70AD6"/>
    <w:rsid w:val="00B710C6"/>
    <w:rsid w:val="00B71940"/>
    <w:rsid w:val="00B72D36"/>
    <w:rsid w:val="00B73342"/>
    <w:rsid w:val="00B735E5"/>
    <w:rsid w:val="00B736C4"/>
    <w:rsid w:val="00B743E8"/>
    <w:rsid w:val="00B75FEC"/>
    <w:rsid w:val="00B76239"/>
    <w:rsid w:val="00B775F5"/>
    <w:rsid w:val="00B7795C"/>
    <w:rsid w:val="00B77E25"/>
    <w:rsid w:val="00B808E4"/>
    <w:rsid w:val="00B810C9"/>
    <w:rsid w:val="00B81A7D"/>
    <w:rsid w:val="00B823A3"/>
    <w:rsid w:val="00B8303A"/>
    <w:rsid w:val="00B83729"/>
    <w:rsid w:val="00B839FB"/>
    <w:rsid w:val="00B83DFF"/>
    <w:rsid w:val="00B83FA9"/>
    <w:rsid w:val="00B847D2"/>
    <w:rsid w:val="00B84A9F"/>
    <w:rsid w:val="00B85037"/>
    <w:rsid w:val="00B85C12"/>
    <w:rsid w:val="00B8620B"/>
    <w:rsid w:val="00B86661"/>
    <w:rsid w:val="00B909F2"/>
    <w:rsid w:val="00B90B3B"/>
    <w:rsid w:val="00B91507"/>
    <w:rsid w:val="00B928DE"/>
    <w:rsid w:val="00B92912"/>
    <w:rsid w:val="00B92BEA"/>
    <w:rsid w:val="00B9314D"/>
    <w:rsid w:val="00B93AD3"/>
    <w:rsid w:val="00B95605"/>
    <w:rsid w:val="00B95677"/>
    <w:rsid w:val="00B95A63"/>
    <w:rsid w:val="00B95CDE"/>
    <w:rsid w:val="00B968AA"/>
    <w:rsid w:val="00B96B6A"/>
    <w:rsid w:val="00B96FF6"/>
    <w:rsid w:val="00B979CF"/>
    <w:rsid w:val="00BA0943"/>
    <w:rsid w:val="00BA0C81"/>
    <w:rsid w:val="00BA1C19"/>
    <w:rsid w:val="00BA1DE4"/>
    <w:rsid w:val="00BA1F04"/>
    <w:rsid w:val="00BA21E1"/>
    <w:rsid w:val="00BA23ED"/>
    <w:rsid w:val="00BA2F90"/>
    <w:rsid w:val="00BA423F"/>
    <w:rsid w:val="00BA51D6"/>
    <w:rsid w:val="00BA53AB"/>
    <w:rsid w:val="00BA64E8"/>
    <w:rsid w:val="00BA6512"/>
    <w:rsid w:val="00BA75BB"/>
    <w:rsid w:val="00BA7CD8"/>
    <w:rsid w:val="00BB0343"/>
    <w:rsid w:val="00BB04C0"/>
    <w:rsid w:val="00BB09F8"/>
    <w:rsid w:val="00BB0DDB"/>
    <w:rsid w:val="00BB1F1E"/>
    <w:rsid w:val="00BB235B"/>
    <w:rsid w:val="00BB27EB"/>
    <w:rsid w:val="00BB344E"/>
    <w:rsid w:val="00BB3BC3"/>
    <w:rsid w:val="00BB3CBD"/>
    <w:rsid w:val="00BB3EE9"/>
    <w:rsid w:val="00BB3FF2"/>
    <w:rsid w:val="00BB458D"/>
    <w:rsid w:val="00BB5CDE"/>
    <w:rsid w:val="00BB6000"/>
    <w:rsid w:val="00BB600D"/>
    <w:rsid w:val="00BB6628"/>
    <w:rsid w:val="00BB72F4"/>
    <w:rsid w:val="00BB775B"/>
    <w:rsid w:val="00BB7D5B"/>
    <w:rsid w:val="00BB7FEA"/>
    <w:rsid w:val="00BC093B"/>
    <w:rsid w:val="00BC0BB3"/>
    <w:rsid w:val="00BC0E8D"/>
    <w:rsid w:val="00BC10BC"/>
    <w:rsid w:val="00BC17C3"/>
    <w:rsid w:val="00BC23FB"/>
    <w:rsid w:val="00BC2458"/>
    <w:rsid w:val="00BC3718"/>
    <w:rsid w:val="00BC4B26"/>
    <w:rsid w:val="00BC54A4"/>
    <w:rsid w:val="00BC6254"/>
    <w:rsid w:val="00BC7011"/>
    <w:rsid w:val="00BC7230"/>
    <w:rsid w:val="00BC7CB3"/>
    <w:rsid w:val="00BC7E68"/>
    <w:rsid w:val="00BD0358"/>
    <w:rsid w:val="00BD05FC"/>
    <w:rsid w:val="00BD16FE"/>
    <w:rsid w:val="00BD2B8D"/>
    <w:rsid w:val="00BD3834"/>
    <w:rsid w:val="00BD3B7D"/>
    <w:rsid w:val="00BD5923"/>
    <w:rsid w:val="00BD63D6"/>
    <w:rsid w:val="00BD6750"/>
    <w:rsid w:val="00BD7018"/>
    <w:rsid w:val="00BD7A6B"/>
    <w:rsid w:val="00BD7D58"/>
    <w:rsid w:val="00BD7DD0"/>
    <w:rsid w:val="00BE0493"/>
    <w:rsid w:val="00BE0F99"/>
    <w:rsid w:val="00BE11DA"/>
    <w:rsid w:val="00BE276E"/>
    <w:rsid w:val="00BE4287"/>
    <w:rsid w:val="00BE5B50"/>
    <w:rsid w:val="00BE6631"/>
    <w:rsid w:val="00BE6D79"/>
    <w:rsid w:val="00BF31F7"/>
    <w:rsid w:val="00BF38E4"/>
    <w:rsid w:val="00BF4442"/>
    <w:rsid w:val="00BF487A"/>
    <w:rsid w:val="00BF4EF0"/>
    <w:rsid w:val="00BF514C"/>
    <w:rsid w:val="00BF5642"/>
    <w:rsid w:val="00BF5902"/>
    <w:rsid w:val="00BF640F"/>
    <w:rsid w:val="00BF64AB"/>
    <w:rsid w:val="00BF6F68"/>
    <w:rsid w:val="00BF7129"/>
    <w:rsid w:val="00BF78A9"/>
    <w:rsid w:val="00C002B6"/>
    <w:rsid w:val="00C033E7"/>
    <w:rsid w:val="00C04166"/>
    <w:rsid w:val="00C044ED"/>
    <w:rsid w:val="00C04B51"/>
    <w:rsid w:val="00C075B4"/>
    <w:rsid w:val="00C07C15"/>
    <w:rsid w:val="00C07DF4"/>
    <w:rsid w:val="00C10836"/>
    <w:rsid w:val="00C10E8B"/>
    <w:rsid w:val="00C113FA"/>
    <w:rsid w:val="00C11FD0"/>
    <w:rsid w:val="00C122BA"/>
    <w:rsid w:val="00C12986"/>
    <w:rsid w:val="00C12D78"/>
    <w:rsid w:val="00C13628"/>
    <w:rsid w:val="00C14885"/>
    <w:rsid w:val="00C15234"/>
    <w:rsid w:val="00C156A2"/>
    <w:rsid w:val="00C15A52"/>
    <w:rsid w:val="00C15E83"/>
    <w:rsid w:val="00C1632D"/>
    <w:rsid w:val="00C170C0"/>
    <w:rsid w:val="00C1788A"/>
    <w:rsid w:val="00C17DE9"/>
    <w:rsid w:val="00C204A6"/>
    <w:rsid w:val="00C2197D"/>
    <w:rsid w:val="00C22274"/>
    <w:rsid w:val="00C22DAC"/>
    <w:rsid w:val="00C2352A"/>
    <w:rsid w:val="00C23616"/>
    <w:rsid w:val="00C23718"/>
    <w:rsid w:val="00C23BD1"/>
    <w:rsid w:val="00C24126"/>
    <w:rsid w:val="00C25B59"/>
    <w:rsid w:val="00C25E84"/>
    <w:rsid w:val="00C26DF5"/>
    <w:rsid w:val="00C300E4"/>
    <w:rsid w:val="00C303A9"/>
    <w:rsid w:val="00C303F0"/>
    <w:rsid w:val="00C306A7"/>
    <w:rsid w:val="00C30834"/>
    <w:rsid w:val="00C30CD3"/>
    <w:rsid w:val="00C30CDE"/>
    <w:rsid w:val="00C310C0"/>
    <w:rsid w:val="00C31569"/>
    <w:rsid w:val="00C31905"/>
    <w:rsid w:val="00C31AF7"/>
    <w:rsid w:val="00C31CFF"/>
    <w:rsid w:val="00C32635"/>
    <w:rsid w:val="00C331CD"/>
    <w:rsid w:val="00C33CFA"/>
    <w:rsid w:val="00C344E9"/>
    <w:rsid w:val="00C35F90"/>
    <w:rsid w:val="00C36BFD"/>
    <w:rsid w:val="00C37C60"/>
    <w:rsid w:val="00C40192"/>
    <w:rsid w:val="00C4050A"/>
    <w:rsid w:val="00C41305"/>
    <w:rsid w:val="00C42588"/>
    <w:rsid w:val="00C443EA"/>
    <w:rsid w:val="00C449C8"/>
    <w:rsid w:val="00C451D8"/>
    <w:rsid w:val="00C458F0"/>
    <w:rsid w:val="00C45E0F"/>
    <w:rsid w:val="00C4636A"/>
    <w:rsid w:val="00C4663F"/>
    <w:rsid w:val="00C469C6"/>
    <w:rsid w:val="00C4728F"/>
    <w:rsid w:val="00C51EEC"/>
    <w:rsid w:val="00C52E9A"/>
    <w:rsid w:val="00C5303D"/>
    <w:rsid w:val="00C53328"/>
    <w:rsid w:val="00C53BC4"/>
    <w:rsid w:val="00C5523D"/>
    <w:rsid w:val="00C55A51"/>
    <w:rsid w:val="00C55A71"/>
    <w:rsid w:val="00C608B8"/>
    <w:rsid w:val="00C60AD2"/>
    <w:rsid w:val="00C610FD"/>
    <w:rsid w:val="00C62161"/>
    <w:rsid w:val="00C6288A"/>
    <w:rsid w:val="00C632AD"/>
    <w:rsid w:val="00C6348B"/>
    <w:rsid w:val="00C634AF"/>
    <w:rsid w:val="00C63620"/>
    <w:rsid w:val="00C637CF"/>
    <w:rsid w:val="00C654BB"/>
    <w:rsid w:val="00C65887"/>
    <w:rsid w:val="00C65D5E"/>
    <w:rsid w:val="00C6687C"/>
    <w:rsid w:val="00C66BC5"/>
    <w:rsid w:val="00C67434"/>
    <w:rsid w:val="00C70077"/>
    <w:rsid w:val="00C704AA"/>
    <w:rsid w:val="00C70662"/>
    <w:rsid w:val="00C71652"/>
    <w:rsid w:val="00C7184D"/>
    <w:rsid w:val="00C72DC0"/>
    <w:rsid w:val="00C754F6"/>
    <w:rsid w:val="00C76AC4"/>
    <w:rsid w:val="00C779B2"/>
    <w:rsid w:val="00C77B90"/>
    <w:rsid w:val="00C77F54"/>
    <w:rsid w:val="00C80798"/>
    <w:rsid w:val="00C80C20"/>
    <w:rsid w:val="00C818BD"/>
    <w:rsid w:val="00C81B55"/>
    <w:rsid w:val="00C8212E"/>
    <w:rsid w:val="00C8229C"/>
    <w:rsid w:val="00C822E1"/>
    <w:rsid w:val="00C82687"/>
    <w:rsid w:val="00C82A5B"/>
    <w:rsid w:val="00C83E8D"/>
    <w:rsid w:val="00C84234"/>
    <w:rsid w:val="00C84615"/>
    <w:rsid w:val="00C84DE1"/>
    <w:rsid w:val="00C8517B"/>
    <w:rsid w:val="00C85CAB"/>
    <w:rsid w:val="00C85F05"/>
    <w:rsid w:val="00C862E1"/>
    <w:rsid w:val="00C865A9"/>
    <w:rsid w:val="00C872A0"/>
    <w:rsid w:val="00C87783"/>
    <w:rsid w:val="00C87FA1"/>
    <w:rsid w:val="00C906C9"/>
    <w:rsid w:val="00C90C14"/>
    <w:rsid w:val="00C90EE5"/>
    <w:rsid w:val="00C91091"/>
    <w:rsid w:val="00C926EA"/>
    <w:rsid w:val="00C93202"/>
    <w:rsid w:val="00C93677"/>
    <w:rsid w:val="00C938EC"/>
    <w:rsid w:val="00C93F53"/>
    <w:rsid w:val="00C94FA3"/>
    <w:rsid w:val="00C9589E"/>
    <w:rsid w:val="00C95F1F"/>
    <w:rsid w:val="00C95FC8"/>
    <w:rsid w:val="00C96159"/>
    <w:rsid w:val="00C970FD"/>
    <w:rsid w:val="00C97809"/>
    <w:rsid w:val="00C97DDC"/>
    <w:rsid w:val="00CA1905"/>
    <w:rsid w:val="00CA2E36"/>
    <w:rsid w:val="00CA30B9"/>
    <w:rsid w:val="00CA396C"/>
    <w:rsid w:val="00CA3D17"/>
    <w:rsid w:val="00CA5380"/>
    <w:rsid w:val="00CA5E9C"/>
    <w:rsid w:val="00CB04A3"/>
    <w:rsid w:val="00CB0B25"/>
    <w:rsid w:val="00CB1B3B"/>
    <w:rsid w:val="00CB28CD"/>
    <w:rsid w:val="00CB2AA2"/>
    <w:rsid w:val="00CB2CD3"/>
    <w:rsid w:val="00CB386D"/>
    <w:rsid w:val="00CB4083"/>
    <w:rsid w:val="00CB469D"/>
    <w:rsid w:val="00CB5257"/>
    <w:rsid w:val="00CB52E3"/>
    <w:rsid w:val="00CB540B"/>
    <w:rsid w:val="00CB5D67"/>
    <w:rsid w:val="00CC014E"/>
    <w:rsid w:val="00CC1054"/>
    <w:rsid w:val="00CC12F0"/>
    <w:rsid w:val="00CC22A8"/>
    <w:rsid w:val="00CC294B"/>
    <w:rsid w:val="00CC2CF2"/>
    <w:rsid w:val="00CC4104"/>
    <w:rsid w:val="00CC56C4"/>
    <w:rsid w:val="00CC5846"/>
    <w:rsid w:val="00CC665E"/>
    <w:rsid w:val="00CC6992"/>
    <w:rsid w:val="00CC6E87"/>
    <w:rsid w:val="00CC79E0"/>
    <w:rsid w:val="00CD059B"/>
    <w:rsid w:val="00CD071F"/>
    <w:rsid w:val="00CD1748"/>
    <w:rsid w:val="00CD22EC"/>
    <w:rsid w:val="00CD251B"/>
    <w:rsid w:val="00CD25B8"/>
    <w:rsid w:val="00CD350A"/>
    <w:rsid w:val="00CD3768"/>
    <w:rsid w:val="00CD5E06"/>
    <w:rsid w:val="00CD62E9"/>
    <w:rsid w:val="00CD670F"/>
    <w:rsid w:val="00CE0290"/>
    <w:rsid w:val="00CE047D"/>
    <w:rsid w:val="00CE0BF0"/>
    <w:rsid w:val="00CE0EF4"/>
    <w:rsid w:val="00CE0FA9"/>
    <w:rsid w:val="00CE1258"/>
    <w:rsid w:val="00CE2BEB"/>
    <w:rsid w:val="00CE3842"/>
    <w:rsid w:val="00CE4800"/>
    <w:rsid w:val="00CE49B2"/>
    <w:rsid w:val="00CE51EE"/>
    <w:rsid w:val="00CE56C9"/>
    <w:rsid w:val="00CE57AA"/>
    <w:rsid w:val="00CE61BC"/>
    <w:rsid w:val="00CE7822"/>
    <w:rsid w:val="00CE7F54"/>
    <w:rsid w:val="00CF0BB6"/>
    <w:rsid w:val="00CF13C4"/>
    <w:rsid w:val="00CF2BA3"/>
    <w:rsid w:val="00CF3051"/>
    <w:rsid w:val="00CF3423"/>
    <w:rsid w:val="00CF45F2"/>
    <w:rsid w:val="00CF4C38"/>
    <w:rsid w:val="00CF76BD"/>
    <w:rsid w:val="00D00330"/>
    <w:rsid w:val="00D0089D"/>
    <w:rsid w:val="00D00FD6"/>
    <w:rsid w:val="00D012B0"/>
    <w:rsid w:val="00D018CD"/>
    <w:rsid w:val="00D027E6"/>
    <w:rsid w:val="00D02998"/>
    <w:rsid w:val="00D02C09"/>
    <w:rsid w:val="00D02E83"/>
    <w:rsid w:val="00D03079"/>
    <w:rsid w:val="00D03616"/>
    <w:rsid w:val="00D036BA"/>
    <w:rsid w:val="00D03F7E"/>
    <w:rsid w:val="00D05841"/>
    <w:rsid w:val="00D059A4"/>
    <w:rsid w:val="00D059FD"/>
    <w:rsid w:val="00D05C27"/>
    <w:rsid w:val="00D05D30"/>
    <w:rsid w:val="00D05F8E"/>
    <w:rsid w:val="00D06A93"/>
    <w:rsid w:val="00D06CAA"/>
    <w:rsid w:val="00D078B4"/>
    <w:rsid w:val="00D07BB7"/>
    <w:rsid w:val="00D10436"/>
    <w:rsid w:val="00D106E9"/>
    <w:rsid w:val="00D10BDF"/>
    <w:rsid w:val="00D110CF"/>
    <w:rsid w:val="00D115C2"/>
    <w:rsid w:val="00D1186B"/>
    <w:rsid w:val="00D1187B"/>
    <w:rsid w:val="00D11C10"/>
    <w:rsid w:val="00D11E53"/>
    <w:rsid w:val="00D11F09"/>
    <w:rsid w:val="00D121D2"/>
    <w:rsid w:val="00D12DCB"/>
    <w:rsid w:val="00D130B3"/>
    <w:rsid w:val="00D132FA"/>
    <w:rsid w:val="00D13A94"/>
    <w:rsid w:val="00D144D9"/>
    <w:rsid w:val="00D1582D"/>
    <w:rsid w:val="00D15D33"/>
    <w:rsid w:val="00D171BF"/>
    <w:rsid w:val="00D1749C"/>
    <w:rsid w:val="00D17B45"/>
    <w:rsid w:val="00D202A1"/>
    <w:rsid w:val="00D20CE3"/>
    <w:rsid w:val="00D214C1"/>
    <w:rsid w:val="00D228CE"/>
    <w:rsid w:val="00D23477"/>
    <w:rsid w:val="00D23754"/>
    <w:rsid w:val="00D23870"/>
    <w:rsid w:val="00D24728"/>
    <w:rsid w:val="00D25027"/>
    <w:rsid w:val="00D25379"/>
    <w:rsid w:val="00D254BA"/>
    <w:rsid w:val="00D25628"/>
    <w:rsid w:val="00D25648"/>
    <w:rsid w:val="00D256CC"/>
    <w:rsid w:val="00D2585B"/>
    <w:rsid w:val="00D26269"/>
    <w:rsid w:val="00D305E7"/>
    <w:rsid w:val="00D306E0"/>
    <w:rsid w:val="00D30D63"/>
    <w:rsid w:val="00D31519"/>
    <w:rsid w:val="00D31E7C"/>
    <w:rsid w:val="00D32C28"/>
    <w:rsid w:val="00D33044"/>
    <w:rsid w:val="00D3315D"/>
    <w:rsid w:val="00D33B3F"/>
    <w:rsid w:val="00D3428F"/>
    <w:rsid w:val="00D3493F"/>
    <w:rsid w:val="00D34D18"/>
    <w:rsid w:val="00D35071"/>
    <w:rsid w:val="00D35984"/>
    <w:rsid w:val="00D37761"/>
    <w:rsid w:val="00D3791C"/>
    <w:rsid w:val="00D37B8F"/>
    <w:rsid w:val="00D37D8A"/>
    <w:rsid w:val="00D40574"/>
    <w:rsid w:val="00D40933"/>
    <w:rsid w:val="00D41A52"/>
    <w:rsid w:val="00D41B13"/>
    <w:rsid w:val="00D4258B"/>
    <w:rsid w:val="00D43A62"/>
    <w:rsid w:val="00D443A0"/>
    <w:rsid w:val="00D44789"/>
    <w:rsid w:val="00D4527C"/>
    <w:rsid w:val="00D46800"/>
    <w:rsid w:val="00D46C7E"/>
    <w:rsid w:val="00D46D6E"/>
    <w:rsid w:val="00D4786B"/>
    <w:rsid w:val="00D50B41"/>
    <w:rsid w:val="00D50E0E"/>
    <w:rsid w:val="00D51662"/>
    <w:rsid w:val="00D519B7"/>
    <w:rsid w:val="00D51D7E"/>
    <w:rsid w:val="00D51DDD"/>
    <w:rsid w:val="00D521F6"/>
    <w:rsid w:val="00D54C49"/>
    <w:rsid w:val="00D553C5"/>
    <w:rsid w:val="00D55598"/>
    <w:rsid w:val="00D557BF"/>
    <w:rsid w:val="00D56517"/>
    <w:rsid w:val="00D571B4"/>
    <w:rsid w:val="00D5788C"/>
    <w:rsid w:val="00D57CE8"/>
    <w:rsid w:val="00D60C9C"/>
    <w:rsid w:val="00D6289E"/>
    <w:rsid w:val="00D6337A"/>
    <w:rsid w:val="00D63C8B"/>
    <w:rsid w:val="00D63CFD"/>
    <w:rsid w:val="00D641D6"/>
    <w:rsid w:val="00D64582"/>
    <w:rsid w:val="00D65888"/>
    <w:rsid w:val="00D66301"/>
    <w:rsid w:val="00D701DD"/>
    <w:rsid w:val="00D70B1F"/>
    <w:rsid w:val="00D717AD"/>
    <w:rsid w:val="00D72659"/>
    <w:rsid w:val="00D72C6E"/>
    <w:rsid w:val="00D72DDD"/>
    <w:rsid w:val="00D73C7E"/>
    <w:rsid w:val="00D73EBE"/>
    <w:rsid w:val="00D7419B"/>
    <w:rsid w:val="00D742B5"/>
    <w:rsid w:val="00D7605F"/>
    <w:rsid w:val="00D7654E"/>
    <w:rsid w:val="00D76F04"/>
    <w:rsid w:val="00D80209"/>
    <w:rsid w:val="00D80239"/>
    <w:rsid w:val="00D8047B"/>
    <w:rsid w:val="00D81445"/>
    <w:rsid w:val="00D82509"/>
    <w:rsid w:val="00D825EA"/>
    <w:rsid w:val="00D82A17"/>
    <w:rsid w:val="00D83707"/>
    <w:rsid w:val="00D83995"/>
    <w:rsid w:val="00D83CC0"/>
    <w:rsid w:val="00D83D8F"/>
    <w:rsid w:val="00D83DB9"/>
    <w:rsid w:val="00D8441E"/>
    <w:rsid w:val="00D84607"/>
    <w:rsid w:val="00D84901"/>
    <w:rsid w:val="00D86250"/>
    <w:rsid w:val="00D8651C"/>
    <w:rsid w:val="00D86734"/>
    <w:rsid w:val="00D86879"/>
    <w:rsid w:val="00D86E46"/>
    <w:rsid w:val="00D87EFC"/>
    <w:rsid w:val="00D906A6"/>
    <w:rsid w:val="00D91654"/>
    <w:rsid w:val="00D92712"/>
    <w:rsid w:val="00D93CB3"/>
    <w:rsid w:val="00D95665"/>
    <w:rsid w:val="00D96D6A"/>
    <w:rsid w:val="00D96F97"/>
    <w:rsid w:val="00D97421"/>
    <w:rsid w:val="00D97481"/>
    <w:rsid w:val="00D97C66"/>
    <w:rsid w:val="00D97D29"/>
    <w:rsid w:val="00DA10A4"/>
    <w:rsid w:val="00DA1B90"/>
    <w:rsid w:val="00DA21C8"/>
    <w:rsid w:val="00DA22D8"/>
    <w:rsid w:val="00DA42B5"/>
    <w:rsid w:val="00DA5B20"/>
    <w:rsid w:val="00DA70B4"/>
    <w:rsid w:val="00DA7293"/>
    <w:rsid w:val="00DA78F5"/>
    <w:rsid w:val="00DA7B0E"/>
    <w:rsid w:val="00DA7EFD"/>
    <w:rsid w:val="00DA7FF9"/>
    <w:rsid w:val="00DB0CC6"/>
    <w:rsid w:val="00DB0E10"/>
    <w:rsid w:val="00DB16B6"/>
    <w:rsid w:val="00DB1FB9"/>
    <w:rsid w:val="00DB278E"/>
    <w:rsid w:val="00DB32BF"/>
    <w:rsid w:val="00DB3ABE"/>
    <w:rsid w:val="00DB5311"/>
    <w:rsid w:val="00DB553A"/>
    <w:rsid w:val="00DB5B03"/>
    <w:rsid w:val="00DB6078"/>
    <w:rsid w:val="00DB63A4"/>
    <w:rsid w:val="00DB76D9"/>
    <w:rsid w:val="00DB7A60"/>
    <w:rsid w:val="00DC0E99"/>
    <w:rsid w:val="00DC162F"/>
    <w:rsid w:val="00DC2E09"/>
    <w:rsid w:val="00DC32D9"/>
    <w:rsid w:val="00DC330A"/>
    <w:rsid w:val="00DC4A62"/>
    <w:rsid w:val="00DC6559"/>
    <w:rsid w:val="00DC6563"/>
    <w:rsid w:val="00DC6607"/>
    <w:rsid w:val="00DC68B3"/>
    <w:rsid w:val="00DC6A5E"/>
    <w:rsid w:val="00DC7221"/>
    <w:rsid w:val="00DC75C6"/>
    <w:rsid w:val="00DD0A85"/>
    <w:rsid w:val="00DD0F62"/>
    <w:rsid w:val="00DD1501"/>
    <w:rsid w:val="00DD161D"/>
    <w:rsid w:val="00DD1BB7"/>
    <w:rsid w:val="00DD20B7"/>
    <w:rsid w:val="00DD233A"/>
    <w:rsid w:val="00DD254F"/>
    <w:rsid w:val="00DD2820"/>
    <w:rsid w:val="00DD2851"/>
    <w:rsid w:val="00DD2E1A"/>
    <w:rsid w:val="00DD54CA"/>
    <w:rsid w:val="00DD57EB"/>
    <w:rsid w:val="00DD5DE3"/>
    <w:rsid w:val="00DD5F50"/>
    <w:rsid w:val="00DD67B2"/>
    <w:rsid w:val="00DD7206"/>
    <w:rsid w:val="00DD7D54"/>
    <w:rsid w:val="00DE04F8"/>
    <w:rsid w:val="00DE069B"/>
    <w:rsid w:val="00DE096C"/>
    <w:rsid w:val="00DE19BD"/>
    <w:rsid w:val="00DE1FFC"/>
    <w:rsid w:val="00DE2D03"/>
    <w:rsid w:val="00DE368D"/>
    <w:rsid w:val="00DE3804"/>
    <w:rsid w:val="00DE3827"/>
    <w:rsid w:val="00DE38DF"/>
    <w:rsid w:val="00DE3B47"/>
    <w:rsid w:val="00DE3BC1"/>
    <w:rsid w:val="00DE3D20"/>
    <w:rsid w:val="00DE4028"/>
    <w:rsid w:val="00DE43D9"/>
    <w:rsid w:val="00DE54AD"/>
    <w:rsid w:val="00DE5E40"/>
    <w:rsid w:val="00DE607E"/>
    <w:rsid w:val="00DE6729"/>
    <w:rsid w:val="00DE6CFB"/>
    <w:rsid w:val="00DE7017"/>
    <w:rsid w:val="00DE76B9"/>
    <w:rsid w:val="00DE788A"/>
    <w:rsid w:val="00DE7A25"/>
    <w:rsid w:val="00DF0540"/>
    <w:rsid w:val="00DF1356"/>
    <w:rsid w:val="00DF35E1"/>
    <w:rsid w:val="00DF415D"/>
    <w:rsid w:val="00DF41F0"/>
    <w:rsid w:val="00DF505B"/>
    <w:rsid w:val="00DF582E"/>
    <w:rsid w:val="00DF631B"/>
    <w:rsid w:val="00DF78FB"/>
    <w:rsid w:val="00E005BB"/>
    <w:rsid w:val="00E006CC"/>
    <w:rsid w:val="00E00849"/>
    <w:rsid w:val="00E00C2F"/>
    <w:rsid w:val="00E00E26"/>
    <w:rsid w:val="00E019D5"/>
    <w:rsid w:val="00E01D12"/>
    <w:rsid w:val="00E02095"/>
    <w:rsid w:val="00E027F5"/>
    <w:rsid w:val="00E02AE2"/>
    <w:rsid w:val="00E05350"/>
    <w:rsid w:val="00E05525"/>
    <w:rsid w:val="00E05851"/>
    <w:rsid w:val="00E05AD0"/>
    <w:rsid w:val="00E10F0E"/>
    <w:rsid w:val="00E11F9C"/>
    <w:rsid w:val="00E12230"/>
    <w:rsid w:val="00E125C6"/>
    <w:rsid w:val="00E12DD0"/>
    <w:rsid w:val="00E12FC7"/>
    <w:rsid w:val="00E137A5"/>
    <w:rsid w:val="00E1429C"/>
    <w:rsid w:val="00E14F90"/>
    <w:rsid w:val="00E162B6"/>
    <w:rsid w:val="00E1739F"/>
    <w:rsid w:val="00E1762B"/>
    <w:rsid w:val="00E179DC"/>
    <w:rsid w:val="00E200BB"/>
    <w:rsid w:val="00E20610"/>
    <w:rsid w:val="00E23487"/>
    <w:rsid w:val="00E2460F"/>
    <w:rsid w:val="00E24AAC"/>
    <w:rsid w:val="00E258BC"/>
    <w:rsid w:val="00E25EE0"/>
    <w:rsid w:val="00E25FA3"/>
    <w:rsid w:val="00E268A5"/>
    <w:rsid w:val="00E274E7"/>
    <w:rsid w:val="00E30004"/>
    <w:rsid w:val="00E302F1"/>
    <w:rsid w:val="00E3034D"/>
    <w:rsid w:val="00E30428"/>
    <w:rsid w:val="00E30586"/>
    <w:rsid w:val="00E30C19"/>
    <w:rsid w:val="00E3116D"/>
    <w:rsid w:val="00E31AC1"/>
    <w:rsid w:val="00E321FB"/>
    <w:rsid w:val="00E32471"/>
    <w:rsid w:val="00E32A7B"/>
    <w:rsid w:val="00E35E8A"/>
    <w:rsid w:val="00E3669C"/>
    <w:rsid w:val="00E368C9"/>
    <w:rsid w:val="00E37663"/>
    <w:rsid w:val="00E3787C"/>
    <w:rsid w:val="00E37E61"/>
    <w:rsid w:val="00E43E68"/>
    <w:rsid w:val="00E44556"/>
    <w:rsid w:val="00E44D46"/>
    <w:rsid w:val="00E454E2"/>
    <w:rsid w:val="00E458FF"/>
    <w:rsid w:val="00E46472"/>
    <w:rsid w:val="00E46677"/>
    <w:rsid w:val="00E46890"/>
    <w:rsid w:val="00E46E66"/>
    <w:rsid w:val="00E4787F"/>
    <w:rsid w:val="00E50592"/>
    <w:rsid w:val="00E50A96"/>
    <w:rsid w:val="00E50ECC"/>
    <w:rsid w:val="00E5219B"/>
    <w:rsid w:val="00E523AE"/>
    <w:rsid w:val="00E52AC8"/>
    <w:rsid w:val="00E52E82"/>
    <w:rsid w:val="00E52F76"/>
    <w:rsid w:val="00E537FF"/>
    <w:rsid w:val="00E54253"/>
    <w:rsid w:val="00E555BF"/>
    <w:rsid w:val="00E556FA"/>
    <w:rsid w:val="00E557C1"/>
    <w:rsid w:val="00E558BB"/>
    <w:rsid w:val="00E558F4"/>
    <w:rsid w:val="00E565FB"/>
    <w:rsid w:val="00E56885"/>
    <w:rsid w:val="00E56AC9"/>
    <w:rsid w:val="00E56F73"/>
    <w:rsid w:val="00E577BF"/>
    <w:rsid w:val="00E60DC6"/>
    <w:rsid w:val="00E61319"/>
    <w:rsid w:val="00E61A38"/>
    <w:rsid w:val="00E620F6"/>
    <w:rsid w:val="00E62E53"/>
    <w:rsid w:val="00E64BC8"/>
    <w:rsid w:val="00E65DDE"/>
    <w:rsid w:val="00E667BB"/>
    <w:rsid w:val="00E6693B"/>
    <w:rsid w:val="00E669C4"/>
    <w:rsid w:val="00E66EAD"/>
    <w:rsid w:val="00E6740C"/>
    <w:rsid w:val="00E67B9B"/>
    <w:rsid w:val="00E7030A"/>
    <w:rsid w:val="00E7084B"/>
    <w:rsid w:val="00E70DF0"/>
    <w:rsid w:val="00E70E21"/>
    <w:rsid w:val="00E70FCB"/>
    <w:rsid w:val="00E71027"/>
    <w:rsid w:val="00E71691"/>
    <w:rsid w:val="00E71D99"/>
    <w:rsid w:val="00E71E53"/>
    <w:rsid w:val="00E71FB7"/>
    <w:rsid w:val="00E72466"/>
    <w:rsid w:val="00E725B6"/>
    <w:rsid w:val="00E72C88"/>
    <w:rsid w:val="00E72ED0"/>
    <w:rsid w:val="00E73233"/>
    <w:rsid w:val="00E73954"/>
    <w:rsid w:val="00E759AB"/>
    <w:rsid w:val="00E75ACD"/>
    <w:rsid w:val="00E76ADF"/>
    <w:rsid w:val="00E779EA"/>
    <w:rsid w:val="00E806C0"/>
    <w:rsid w:val="00E81583"/>
    <w:rsid w:val="00E81AA1"/>
    <w:rsid w:val="00E820C2"/>
    <w:rsid w:val="00E821BF"/>
    <w:rsid w:val="00E82B9A"/>
    <w:rsid w:val="00E835E9"/>
    <w:rsid w:val="00E840AA"/>
    <w:rsid w:val="00E85252"/>
    <w:rsid w:val="00E85629"/>
    <w:rsid w:val="00E85665"/>
    <w:rsid w:val="00E858C0"/>
    <w:rsid w:val="00E85F3F"/>
    <w:rsid w:val="00E8692D"/>
    <w:rsid w:val="00E87299"/>
    <w:rsid w:val="00E909DF"/>
    <w:rsid w:val="00E90B59"/>
    <w:rsid w:val="00E90C02"/>
    <w:rsid w:val="00E90EE0"/>
    <w:rsid w:val="00E9192D"/>
    <w:rsid w:val="00E92647"/>
    <w:rsid w:val="00E92997"/>
    <w:rsid w:val="00E9345A"/>
    <w:rsid w:val="00E938CF"/>
    <w:rsid w:val="00E940B0"/>
    <w:rsid w:val="00E94E50"/>
    <w:rsid w:val="00E950BC"/>
    <w:rsid w:val="00E95510"/>
    <w:rsid w:val="00E95972"/>
    <w:rsid w:val="00E95DEE"/>
    <w:rsid w:val="00E95FC7"/>
    <w:rsid w:val="00EA120A"/>
    <w:rsid w:val="00EA1480"/>
    <w:rsid w:val="00EA2ABA"/>
    <w:rsid w:val="00EA2E7A"/>
    <w:rsid w:val="00EA3BAC"/>
    <w:rsid w:val="00EA4111"/>
    <w:rsid w:val="00EA4B05"/>
    <w:rsid w:val="00EA5046"/>
    <w:rsid w:val="00EA5190"/>
    <w:rsid w:val="00EA546C"/>
    <w:rsid w:val="00EA5653"/>
    <w:rsid w:val="00EA5B26"/>
    <w:rsid w:val="00EA5B42"/>
    <w:rsid w:val="00EA70FF"/>
    <w:rsid w:val="00EA7911"/>
    <w:rsid w:val="00EA7C36"/>
    <w:rsid w:val="00EB0782"/>
    <w:rsid w:val="00EB0F95"/>
    <w:rsid w:val="00EB1889"/>
    <w:rsid w:val="00EB1EB7"/>
    <w:rsid w:val="00EB264B"/>
    <w:rsid w:val="00EB2C7E"/>
    <w:rsid w:val="00EB30C9"/>
    <w:rsid w:val="00EB31F4"/>
    <w:rsid w:val="00EB37BB"/>
    <w:rsid w:val="00EB3BC9"/>
    <w:rsid w:val="00EB3FC9"/>
    <w:rsid w:val="00EB4370"/>
    <w:rsid w:val="00EB5A71"/>
    <w:rsid w:val="00EB634A"/>
    <w:rsid w:val="00EB6D36"/>
    <w:rsid w:val="00EB6E85"/>
    <w:rsid w:val="00EC0604"/>
    <w:rsid w:val="00EC1A02"/>
    <w:rsid w:val="00EC1C27"/>
    <w:rsid w:val="00EC2501"/>
    <w:rsid w:val="00EC26B0"/>
    <w:rsid w:val="00EC3897"/>
    <w:rsid w:val="00EC3E42"/>
    <w:rsid w:val="00EC3E4C"/>
    <w:rsid w:val="00EC4745"/>
    <w:rsid w:val="00EC4FED"/>
    <w:rsid w:val="00EC5A36"/>
    <w:rsid w:val="00EC5CCC"/>
    <w:rsid w:val="00EC6B24"/>
    <w:rsid w:val="00EC6C87"/>
    <w:rsid w:val="00EC7073"/>
    <w:rsid w:val="00EC7600"/>
    <w:rsid w:val="00ED058D"/>
    <w:rsid w:val="00ED0CCD"/>
    <w:rsid w:val="00ED2D32"/>
    <w:rsid w:val="00ED3388"/>
    <w:rsid w:val="00ED440C"/>
    <w:rsid w:val="00ED4521"/>
    <w:rsid w:val="00ED5304"/>
    <w:rsid w:val="00EE15CE"/>
    <w:rsid w:val="00EE1C69"/>
    <w:rsid w:val="00EE2BC4"/>
    <w:rsid w:val="00EE3379"/>
    <w:rsid w:val="00EE3801"/>
    <w:rsid w:val="00EE3E45"/>
    <w:rsid w:val="00EE3F0F"/>
    <w:rsid w:val="00EE52D6"/>
    <w:rsid w:val="00EE5813"/>
    <w:rsid w:val="00EE6C9E"/>
    <w:rsid w:val="00EE700D"/>
    <w:rsid w:val="00EE7241"/>
    <w:rsid w:val="00EE77F7"/>
    <w:rsid w:val="00EE7DB4"/>
    <w:rsid w:val="00EF0435"/>
    <w:rsid w:val="00EF0AAA"/>
    <w:rsid w:val="00EF11AE"/>
    <w:rsid w:val="00EF1969"/>
    <w:rsid w:val="00EF1C19"/>
    <w:rsid w:val="00EF2589"/>
    <w:rsid w:val="00EF25EC"/>
    <w:rsid w:val="00EF2F1F"/>
    <w:rsid w:val="00EF2F88"/>
    <w:rsid w:val="00EF34B9"/>
    <w:rsid w:val="00EF383F"/>
    <w:rsid w:val="00EF4D92"/>
    <w:rsid w:val="00EF51D7"/>
    <w:rsid w:val="00EF5378"/>
    <w:rsid w:val="00EF5559"/>
    <w:rsid w:val="00EF573C"/>
    <w:rsid w:val="00EF5CBC"/>
    <w:rsid w:val="00EF6541"/>
    <w:rsid w:val="00EF6550"/>
    <w:rsid w:val="00F00DFF"/>
    <w:rsid w:val="00F02B7B"/>
    <w:rsid w:val="00F04175"/>
    <w:rsid w:val="00F0678A"/>
    <w:rsid w:val="00F06799"/>
    <w:rsid w:val="00F0742F"/>
    <w:rsid w:val="00F074BF"/>
    <w:rsid w:val="00F077A8"/>
    <w:rsid w:val="00F07B5E"/>
    <w:rsid w:val="00F100EE"/>
    <w:rsid w:val="00F102CD"/>
    <w:rsid w:val="00F102D8"/>
    <w:rsid w:val="00F1048B"/>
    <w:rsid w:val="00F10951"/>
    <w:rsid w:val="00F10B61"/>
    <w:rsid w:val="00F12720"/>
    <w:rsid w:val="00F12C76"/>
    <w:rsid w:val="00F132A8"/>
    <w:rsid w:val="00F1394D"/>
    <w:rsid w:val="00F13FD6"/>
    <w:rsid w:val="00F142FD"/>
    <w:rsid w:val="00F15615"/>
    <w:rsid w:val="00F15947"/>
    <w:rsid w:val="00F172F8"/>
    <w:rsid w:val="00F177C2"/>
    <w:rsid w:val="00F201B9"/>
    <w:rsid w:val="00F20E5D"/>
    <w:rsid w:val="00F218B7"/>
    <w:rsid w:val="00F21A48"/>
    <w:rsid w:val="00F21D3D"/>
    <w:rsid w:val="00F22356"/>
    <w:rsid w:val="00F24E6F"/>
    <w:rsid w:val="00F250C0"/>
    <w:rsid w:val="00F25BBC"/>
    <w:rsid w:val="00F26294"/>
    <w:rsid w:val="00F31BDD"/>
    <w:rsid w:val="00F32062"/>
    <w:rsid w:val="00F325A7"/>
    <w:rsid w:val="00F330DF"/>
    <w:rsid w:val="00F33550"/>
    <w:rsid w:val="00F338E7"/>
    <w:rsid w:val="00F33973"/>
    <w:rsid w:val="00F35F68"/>
    <w:rsid w:val="00F36573"/>
    <w:rsid w:val="00F36ED0"/>
    <w:rsid w:val="00F3765A"/>
    <w:rsid w:val="00F40413"/>
    <w:rsid w:val="00F40E31"/>
    <w:rsid w:val="00F42E3D"/>
    <w:rsid w:val="00F43B23"/>
    <w:rsid w:val="00F44CFA"/>
    <w:rsid w:val="00F44F4B"/>
    <w:rsid w:val="00F47E8F"/>
    <w:rsid w:val="00F5030C"/>
    <w:rsid w:val="00F50E73"/>
    <w:rsid w:val="00F52C95"/>
    <w:rsid w:val="00F5367B"/>
    <w:rsid w:val="00F5387B"/>
    <w:rsid w:val="00F5467E"/>
    <w:rsid w:val="00F54BA5"/>
    <w:rsid w:val="00F54BE0"/>
    <w:rsid w:val="00F54FF0"/>
    <w:rsid w:val="00F577BC"/>
    <w:rsid w:val="00F57CFE"/>
    <w:rsid w:val="00F6010A"/>
    <w:rsid w:val="00F60A49"/>
    <w:rsid w:val="00F60F45"/>
    <w:rsid w:val="00F6151B"/>
    <w:rsid w:val="00F618C9"/>
    <w:rsid w:val="00F619F9"/>
    <w:rsid w:val="00F63864"/>
    <w:rsid w:val="00F6407E"/>
    <w:rsid w:val="00F65C08"/>
    <w:rsid w:val="00F667D9"/>
    <w:rsid w:val="00F66D2D"/>
    <w:rsid w:val="00F67948"/>
    <w:rsid w:val="00F67A6F"/>
    <w:rsid w:val="00F703EC"/>
    <w:rsid w:val="00F70BBC"/>
    <w:rsid w:val="00F71596"/>
    <w:rsid w:val="00F716C0"/>
    <w:rsid w:val="00F734F5"/>
    <w:rsid w:val="00F7399D"/>
    <w:rsid w:val="00F73DE0"/>
    <w:rsid w:val="00F73E5E"/>
    <w:rsid w:val="00F73F71"/>
    <w:rsid w:val="00F74C40"/>
    <w:rsid w:val="00F75579"/>
    <w:rsid w:val="00F75C0C"/>
    <w:rsid w:val="00F76033"/>
    <w:rsid w:val="00F76058"/>
    <w:rsid w:val="00F7618B"/>
    <w:rsid w:val="00F763CE"/>
    <w:rsid w:val="00F7699A"/>
    <w:rsid w:val="00F8105B"/>
    <w:rsid w:val="00F82492"/>
    <w:rsid w:val="00F8252F"/>
    <w:rsid w:val="00F8391F"/>
    <w:rsid w:val="00F83B13"/>
    <w:rsid w:val="00F83FA4"/>
    <w:rsid w:val="00F84339"/>
    <w:rsid w:val="00F84542"/>
    <w:rsid w:val="00F846A9"/>
    <w:rsid w:val="00F84BAC"/>
    <w:rsid w:val="00F8554C"/>
    <w:rsid w:val="00F856E9"/>
    <w:rsid w:val="00F8597F"/>
    <w:rsid w:val="00F85E2D"/>
    <w:rsid w:val="00F85F2D"/>
    <w:rsid w:val="00F862D0"/>
    <w:rsid w:val="00F86355"/>
    <w:rsid w:val="00F869A4"/>
    <w:rsid w:val="00F86BA7"/>
    <w:rsid w:val="00F86D4B"/>
    <w:rsid w:val="00F90909"/>
    <w:rsid w:val="00F93B5C"/>
    <w:rsid w:val="00F93D8C"/>
    <w:rsid w:val="00F94116"/>
    <w:rsid w:val="00F95126"/>
    <w:rsid w:val="00F95A70"/>
    <w:rsid w:val="00F95B7B"/>
    <w:rsid w:val="00F95D6A"/>
    <w:rsid w:val="00F962F3"/>
    <w:rsid w:val="00F96371"/>
    <w:rsid w:val="00F96718"/>
    <w:rsid w:val="00F96CCC"/>
    <w:rsid w:val="00F971AD"/>
    <w:rsid w:val="00FA01C4"/>
    <w:rsid w:val="00FA04AD"/>
    <w:rsid w:val="00FA09F6"/>
    <w:rsid w:val="00FA19CC"/>
    <w:rsid w:val="00FA1DC6"/>
    <w:rsid w:val="00FA2035"/>
    <w:rsid w:val="00FA296B"/>
    <w:rsid w:val="00FA2C37"/>
    <w:rsid w:val="00FA3005"/>
    <w:rsid w:val="00FA302B"/>
    <w:rsid w:val="00FA41CF"/>
    <w:rsid w:val="00FA467D"/>
    <w:rsid w:val="00FA69A5"/>
    <w:rsid w:val="00FA6B86"/>
    <w:rsid w:val="00FA759D"/>
    <w:rsid w:val="00FA7F3B"/>
    <w:rsid w:val="00FB026B"/>
    <w:rsid w:val="00FB2350"/>
    <w:rsid w:val="00FB2C32"/>
    <w:rsid w:val="00FB3232"/>
    <w:rsid w:val="00FB37FF"/>
    <w:rsid w:val="00FB4F92"/>
    <w:rsid w:val="00FB4FD7"/>
    <w:rsid w:val="00FB5436"/>
    <w:rsid w:val="00FB57A6"/>
    <w:rsid w:val="00FB5905"/>
    <w:rsid w:val="00FC0D89"/>
    <w:rsid w:val="00FC0FA3"/>
    <w:rsid w:val="00FC1E77"/>
    <w:rsid w:val="00FC3004"/>
    <w:rsid w:val="00FC41C1"/>
    <w:rsid w:val="00FC4360"/>
    <w:rsid w:val="00FC5807"/>
    <w:rsid w:val="00FC6308"/>
    <w:rsid w:val="00FC6328"/>
    <w:rsid w:val="00FC6B03"/>
    <w:rsid w:val="00FC6FB3"/>
    <w:rsid w:val="00FD0B7B"/>
    <w:rsid w:val="00FD1787"/>
    <w:rsid w:val="00FD20F9"/>
    <w:rsid w:val="00FD2772"/>
    <w:rsid w:val="00FD2E5B"/>
    <w:rsid w:val="00FD31FF"/>
    <w:rsid w:val="00FD60FB"/>
    <w:rsid w:val="00FD62D7"/>
    <w:rsid w:val="00FD7157"/>
    <w:rsid w:val="00FE00B5"/>
    <w:rsid w:val="00FE027F"/>
    <w:rsid w:val="00FE1476"/>
    <w:rsid w:val="00FE2EE5"/>
    <w:rsid w:val="00FE32C0"/>
    <w:rsid w:val="00FE3F0F"/>
    <w:rsid w:val="00FE4845"/>
    <w:rsid w:val="00FE6F63"/>
    <w:rsid w:val="00FE71B9"/>
    <w:rsid w:val="00FE76F1"/>
    <w:rsid w:val="00FF01BC"/>
    <w:rsid w:val="00FF0593"/>
    <w:rsid w:val="00FF15AD"/>
    <w:rsid w:val="00FF1BB7"/>
    <w:rsid w:val="00FF2778"/>
    <w:rsid w:val="00FF2BC5"/>
    <w:rsid w:val="00FF3156"/>
    <w:rsid w:val="00FF3188"/>
    <w:rsid w:val="00FF3CA4"/>
    <w:rsid w:val="00FF4AE2"/>
    <w:rsid w:val="00FF4B42"/>
    <w:rsid w:val="00FF50FC"/>
    <w:rsid w:val="00FF6828"/>
    <w:rsid w:val="00FF7058"/>
    <w:rsid w:val="00FF738C"/>
    <w:rsid w:val="00FF7B28"/>
    <w:rsid w:val="00FF7DEE"/>
    <w:rsid w:val="01430080"/>
    <w:rsid w:val="01F72374"/>
    <w:rsid w:val="071B5D8A"/>
    <w:rsid w:val="0BD25BBF"/>
    <w:rsid w:val="0EB7F2D8"/>
    <w:rsid w:val="12D169D1"/>
    <w:rsid w:val="1606908C"/>
    <w:rsid w:val="18EE9460"/>
    <w:rsid w:val="24B4C38F"/>
    <w:rsid w:val="28B7A38A"/>
    <w:rsid w:val="2D92A81E"/>
    <w:rsid w:val="2DA14A73"/>
    <w:rsid w:val="353F12BD"/>
    <w:rsid w:val="3AEB2D3C"/>
    <w:rsid w:val="3B9FD49F"/>
    <w:rsid w:val="3D2B25CB"/>
    <w:rsid w:val="3F332B26"/>
    <w:rsid w:val="42637BB4"/>
    <w:rsid w:val="42CF39D0"/>
    <w:rsid w:val="49AE3F2F"/>
    <w:rsid w:val="4B7C75BC"/>
    <w:rsid w:val="4DBF9DEF"/>
    <w:rsid w:val="50457FAF"/>
    <w:rsid w:val="5678DBD7"/>
    <w:rsid w:val="58925E75"/>
    <w:rsid w:val="5F966CAE"/>
    <w:rsid w:val="67D61F8F"/>
    <w:rsid w:val="7027F29F"/>
    <w:rsid w:val="7729D6C0"/>
    <w:rsid w:val="790A6347"/>
    <w:rsid w:val="7EEF0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599ED409-61ED-4EEF-9546-0C5544C5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7D197A"/>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BC54A4"/>
    <w:pPr>
      <w:keepNext/>
      <w:keepLines/>
      <w:numPr>
        <w:numId w:val="12"/>
      </w:numPr>
      <w:spacing w:before="120"/>
      <w:ind w:left="36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6A2768"/>
    <w:pPr>
      <w:keepNext/>
      <w:keepLines/>
      <w:numPr>
        <w:numId w:val="9"/>
      </w:numPr>
      <w:spacing w:before="120"/>
      <w:ind w:left="36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765361"/>
    <w:pPr>
      <w:keepNext/>
      <w:keepLines/>
      <w:spacing w:before="40"/>
      <w:outlineLvl w:val="3"/>
    </w:pPr>
    <w:rPr>
      <w:rFonts w:eastAsiaTheme="majorEastAsia" w:cs="Calibri"/>
      <w:b/>
      <w:bCs/>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197A"/>
    <w:rPr>
      <w:b/>
      <w:bCs/>
      <w:sz w:val="28"/>
      <w:szCs w:val="28"/>
    </w:rPr>
  </w:style>
  <w:style w:type="character" w:customStyle="1" w:styleId="Heading2Char">
    <w:name w:val="Heading 2 Char"/>
    <w:basedOn w:val="DefaultParagraphFont"/>
    <w:link w:val="Heading2"/>
    <w:uiPriority w:val="99"/>
    <w:locked/>
    <w:rsid w:val="00BC54A4"/>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6A2768"/>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765361"/>
    <w:rPr>
      <w:rFonts w:eastAsiaTheme="majorEastAsia" w:cs="Calibri"/>
      <w:b/>
      <w:bCs/>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character" w:customStyle="1" w:styleId="cf01">
    <w:name w:val="cf01"/>
    <w:basedOn w:val="DefaultParagraphFont"/>
    <w:rsid w:val="00996C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20264-4D2B-4AD2-8318-E74BF06D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6028</Words>
  <Characters>34366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dgibbs</dc:creator>
  <cp:keywords/>
  <cp:lastModifiedBy>Eccles, Tanesha - OSHA</cp:lastModifiedBy>
  <cp:revision>2</cp:revision>
  <cp:lastPrinted>2017-07-11T16:59:00Z</cp:lastPrinted>
  <dcterms:created xsi:type="dcterms:W3CDTF">2025-06-17T13:57:00Z</dcterms:created>
  <dcterms:modified xsi:type="dcterms:W3CDTF">2025-06-17T13:57:00Z</dcterms:modified>
</cp:coreProperties>
</file>