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B9C2" w14:textId="09AC2320" w:rsidR="00691AF1" w:rsidRPr="00982EF4" w:rsidRDefault="00691AF1" w:rsidP="13993596">
      <w:pPr>
        <w:adjustRightInd/>
        <w:spacing w:before="68"/>
        <w:outlineLvl w:val="0"/>
        <w:rPr>
          <w:rFonts w:asciiTheme="minorHAnsi" w:hAnsiTheme="minorHAnsi" w:cstheme="minorBidi"/>
          <w:b/>
          <w:bCs/>
          <w:sz w:val="28"/>
          <w:szCs w:val="28"/>
        </w:rPr>
      </w:pPr>
      <w:bookmarkStart w:id="0" w:name="FY_2021_Comprehensive"/>
      <w:bookmarkStart w:id="1" w:name="_Toc118900169"/>
      <w:bookmarkStart w:id="2" w:name="_Toc118905008"/>
      <w:bookmarkEnd w:id="0"/>
      <w:r w:rsidRPr="13993596">
        <w:rPr>
          <w:rFonts w:asciiTheme="minorHAnsi" w:hAnsiTheme="minorHAnsi" w:cstheme="minorBidi"/>
          <w:b/>
          <w:bCs/>
          <w:sz w:val="28"/>
          <w:szCs w:val="28"/>
        </w:rPr>
        <w:t>FY</w:t>
      </w:r>
      <w:r w:rsidRPr="13993596">
        <w:rPr>
          <w:rFonts w:asciiTheme="minorHAnsi" w:hAnsiTheme="minorHAnsi" w:cstheme="minorBidi"/>
          <w:b/>
          <w:bCs/>
          <w:spacing w:val="-11"/>
          <w:sz w:val="28"/>
          <w:szCs w:val="28"/>
        </w:rPr>
        <w:t xml:space="preserve"> </w:t>
      </w:r>
      <w:r w:rsidRPr="13993596">
        <w:rPr>
          <w:rFonts w:asciiTheme="minorHAnsi" w:hAnsiTheme="minorHAnsi" w:cstheme="minorBidi"/>
          <w:b/>
          <w:bCs/>
          <w:sz w:val="28"/>
          <w:szCs w:val="28"/>
        </w:rPr>
        <w:t>202</w:t>
      </w:r>
      <w:r w:rsidR="00F32964" w:rsidRPr="13993596">
        <w:rPr>
          <w:rFonts w:asciiTheme="minorHAnsi" w:hAnsiTheme="minorHAnsi" w:cstheme="minorBidi"/>
          <w:b/>
          <w:bCs/>
          <w:sz w:val="28"/>
          <w:szCs w:val="28"/>
        </w:rPr>
        <w:t>4</w:t>
      </w:r>
      <w:r w:rsidRPr="13993596">
        <w:rPr>
          <w:rFonts w:asciiTheme="minorHAnsi" w:hAnsiTheme="minorHAnsi" w:cstheme="minorBidi"/>
          <w:b/>
          <w:bCs/>
          <w:spacing w:val="-9"/>
          <w:sz w:val="28"/>
          <w:szCs w:val="28"/>
        </w:rPr>
        <w:t xml:space="preserve"> </w:t>
      </w:r>
      <w:r w:rsidRPr="13993596">
        <w:rPr>
          <w:rFonts w:asciiTheme="minorHAnsi" w:hAnsiTheme="minorHAnsi" w:cstheme="minorBidi"/>
          <w:b/>
          <w:bCs/>
          <w:spacing w:val="-2"/>
          <w:sz w:val="28"/>
          <w:szCs w:val="28"/>
        </w:rPr>
        <w:t>Follow-u</w:t>
      </w:r>
      <w:r w:rsidR="00982EF4" w:rsidRPr="13993596">
        <w:rPr>
          <w:rFonts w:asciiTheme="minorHAnsi" w:hAnsiTheme="minorHAnsi" w:cstheme="minorBidi"/>
          <w:b/>
          <w:bCs/>
          <w:spacing w:val="-2"/>
          <w:sz w:val="28"/>
          <w:szCs w:val="28"/>
        </w:rPr>
        <w:t xml:space="preserve">p </w:t>
      </w:r>
      <w:r w:rsidRPr="13993596">
        <w:rPr>
          <w:rFonts w:asciiTheme="minorHAnsi" w:hAnsiTheme="minorHAnsi" w:cstheme="minorBidi"/>
          <w:b/>
          <w:bCs/>
          <w:spacing w:val="-2"/>
          <w:sz w:val="28"/>
          <w:szCs w:val="28"/>
        </w:rPr>
        <w:t>Federal</w:t>
      </w:r>
      <w:r w:rsidRPr="13993596">
        <w:rPr>
          <w:rFonts w:asciiTheme="minorHAnsi" w:hAnsiTheme="minorHAnsi" w:cstheme="minorBidi"/>
          <w:b/>
          <w:bCs/>
          <w:spacing w:val="-8"/>
          <w:sz w:val="28"/>
          <w:szCs w:val="28"/>
        </w:rPr>
        <w:t xml:space="preserve"> </w:t>
      </w:r>
      <w:r w:rsidRPr="13993596">
        <w:rPr>
          <w:rFonts w:asciiTheme="minorHAnsi" w:hAnsiTheme="minorHAnsi" w:cstheme="minorBidi"/>
          <w:b/>
          <w:bCs/>
          <w:spacing w:val="-2"/>
          <w:sz w:val="28"/>
          <w:szCs w:val="28"/>
        </w:rPr>
        <w:t>Annual</w:t>
      </w:r>
      <w:r w:rsidRPr="13993596">
        <w:rPr>
          <w:rFonts w:asciiTheme="minorHAnsi" w:hAnsiTheme="minorHAnsi" w:cstheme="minorBidi"/>
          <w:b/>
          <w:bCs/>
          <w:spacing w:val="-5"/>
          <w:sz w:val="28"/>
          <w:szCs w:val="28"/>
        </w:rPr>
        <w:t xml:space="preserve"> </w:t>
      </w:r>
      <w:r w:rsidRPr="13993596">
        <w:rPr>
          <w:rFonts w:asciiTheme="minorHAnsi" w:hAnsiTheme="minorHAnsi" w:cstheme="minorBidi"/>
          <w:b/>
          <w:bCs/>
          <w:spacing w:val="-2"/>
          <w:sz w:val="28"/>
          <w:szCs w:val="28"/>
        </w:rPr>
        <w:t>Monitoring</w:t>
      </w:r>
      <w:r w:rsidRPr="13993596">
        <w:rPr>
          <w:rFonts w:asciiTheme="minorHAnsi" w:hAnsiTheme="minorHAnsi" w:cstheme="minorBidi"/>
          <w:b/>
          <w:bCs/>
          <w:spacing w:val="-9"/>
          <w:sz w:val="28"/>
          <w:szCs w:val="28"/>
        </w:rPr>
        <w:t xml:space="preserve"> </w:t>
      </w:r>
      <w:r w:rsidRPr="13993596">
        <w:rPr>
          <w:rFonts w:asciiTheme="minorHAnsi" w:hAnsiTheme="minorHAnsi" w:cstheme="minorBidi"/>
          <w:b/>
          <w:bCs/>
          <w:spacing w:val="-2"/>
          <w:sz w:val="28"/>
          <w:szCs w:val="28"/>
        </w:rPr>
        <w:t>Evaluation</w:t>
      </w:r>
      <w:r w:rsidRPr="13993596">
        <w:rPr>
          <w:rFonts w:asciiTheme="minorHAnsi" w:hAnsiTheme="minorHAnsi" w:cstheme="minorBidi"/>
          <w:b/>
          <w:bCs/>
          <w:spacing w:val="-9"/>
          <w:sz w:val="28"/>
          <w:szCs w:val="28"/>
        </w:rPr>
        <w:t xml:space="preserve"> </w:t>
      </w:r>
      <w:r w:rsidRPr="13993596">
        <w:rPr>
          <w:rFonts w:asciiTheme="minorHAnsi" w:hAnsiTheme="minorHAnsi" w:cstheme="minorBidi"/>
          <w:b/>
          <w:bCs/>
          <w:spacing w:val="-2"/>
          <w:sz w:val="28"/>
          <w:szCs w:val="28"/>
        </w:rPr>
        <w:t>(FAME)</w:t>
      </w:r>
      <w:r w:rsidR="00982EF4" w:rsidRPr="13993596">
        <w:rPr>
          <w:rFonts w:asciiTheme="minorHAnsi" w:hAnsiTheme="minorHAnsi" w:cstheme="minorBidi"/>
          <w:b/>
          <w:bCs/>
          <w:spacing w:val="-11"/>
          <w:sz w:val="28"/>
          <w:szCs w:val="28"/>
        </w:rPr>
        <w:t xml:space="preserve"> </w:t>
      </w:r>
      <w:r w:rsidRPr="13993596">
        <w:rPr>
          <w:rFonts w:asciiTheme="minorHAnsi" w:hAnsiTheme="minorHAnsi" w:cstheme="minorBidi"/>
          <w:b/>
          <w:bCs/>
          <w:spacing w:val="-2"/>
          <w:sz w:val="28"/>
          <w:szCs w:val="28"/>
        </w:rPr>
        <w:t>Report</w:t>
      </w:r>
    </w:p>
    <w:p w14:paraId="09B4325C" w14:textId="77777777" w:rsidR="00691AF1" w:rsidRPr="00691AF1" w:rsidRDefault="00691AF1" w:rsidP="5991425A">
      <w:pPr>
        <w:adjustRightInd/>
        <w:spacing w:before="8"/>
        <w:rPr>
          <w:rFonts w:asciiTheme="minorHAnsi" w:hAnsiTheme="minorHAnsi" w:cstheme="minorBidi"/>
          <w:b/>
          <w:bCs/>
        </w:rPr>
      </w:pPr>
    </w:p>
    <w:p w14:paraId="4091DBAA" w14:textId="3535502B" w:rsidR="5991425A" w:rsidRDefault="5991425A" w:rsidP="5991425A">
      <w:pPr>
        <w:spacing w:before="8"/>
        <w:rPr>
          <w:rFonts w:asciiTheme="minorHAnsi" w:hAnsiTheme="minorHAnsi" w:cstheme="minorBidi"/>
          <w:b/>
          <w:bCs/>
        </w:rPr>
      </w:pPr>
    </w:p>
    <w:p w14:paraId="5991EBBC" w14:textId="71F232D4" w:rsidR="5991425A" w:rsidRPr="003609E9" w:rsidRDefault="003609E9" w:rsidP="003609E9">
      <w:pPr>
        <w:spacing w:before="8"/>
        <w:rPr>
          <w:rFonts w:asciiTheme="minorHAnsi" w:hAnsiTheme="minorHAnsi" w:cstheme="minorBidi"/>
          <w:b/>
          <w:bCs/>
          <w:sz w:val="28"/>
          <w:szCs w:val="28"/>
        </w:rPr>
      </w:pPr>
      <w:r w:rsidRPr="003609E9">
        <w:rPr>
          <w:rFonts w:asciiTheme="minorHAnsi" w:hAnsiTheme="minorHAnsi" w:cstheme="minorBidi"/>
          <w:b/>
          <w:bCs/>
          <w:sz w:val="28"/>
          <w:szCs w:val="28"/>
        </w:rPr>
        <w:t>State of Washington</w:t>
      </w:r>
    </w:p>
    <w:p w14:paraId="68755335" w14:textId="77777777" w:rsidR="00982EF4" w:rsidRPr="00982EF4" w:rsidRDefault="00691AF1" w:rsidP="00982EF4">
      <w:pPr>
        <w:adjustRightInd/>
        <w:rPr>
          <w:rFonts w:asciiTheme="minorHAnsi" w:hAnsiTheme="minorHAnsi" w:cstheme="minorHAnsi"/>
          <w:b/>
          <w:bCs/>
          <w:sz w:val="28"/>
          <w:szCs w:val="28"/>
        </w:rPr>
      </w:pPr>
      <w:r w:rsidRPr="00982EF4">
        <w:rPr>
          <w:rFonts w:asciiTheme="minorHAnsi" w:hAnsiTheme="minorHAnsi" w:cstheme="minorHAnsi"/>
          <w:b/>
          <w:bCs/>
          <w:sz w:val="28"/>
          <w:szCs w:val="28"/>
        </w:rPr>
        <w:t>Washington</w:t>
      </w:r>
      <w:r w:rsidRPr="00982EF4">
        <w:rPr>
          <w:rFonts w:asciiTheme="minorHAnsi" w:hAnsiTheme="minorHAnsi" w:cstheme="minorHAnsi"/>
          <w:b/>
          <w:bCs/>
          <w:spacing w:val="-15"/>
          <w:sz w:val="28"/>
          <w:szCs w:val="28"/>
        </w:rPr>
        <w:t xml:space="preserve"> </w:t>
      </w:r>
      <w:r w:rsidRPr="00982EF4">
        <w:rPr>
          <w:rFonts w:asciiTheme="minorHAnsi" w:hAnsiTheme="minorHAnsi" w:cstheme="minorHAnsi"/>
          <w:b/>
          <w:bCs/>
          <w:sz w:val="28"/>
          <w:szCs w:val="28"/>
        </w:rPr>
        <w:t>Department</w:t>
      </w:r>
      <w:r w:rsidRPr="00982EF4">
        <w:rPr>
          <w:rFonts w:asciiTheme="minorHAnsi" w:hAnsiTheme="minorHAnsi" w:cstheme="minorHAnsi"/>
          <w:b/>
          <w:bCs/>
          <w:spacing w:val="-14"/>
          <w:sz w:val="28"/>
          <w:szCs w:val="28"/>
        </w:rPr>
        <w:t xml:space="preserve"> </w:t>
      </w:r>
      <w:r w:rsidRPr="00982EF4">
        <w:rPr>
          <w:rFonts w:asciiTheme="minorHAnsi" w:hAnsiTheme="minorHAnsi" w:cstheme="minorHAnsi"/>
          <w:b/>
          <w:bCs/>
          <w:sz w:val="28"/>
          <w:szCs w:val="28"/>
        </w:rPr>
        <w:t>of</w:t>
      </w:r>
      <w:r w:rsidRPr="00982EF4">
        <w:rPr>
          <w:rFonts w:asciiTheme="minorHAnsi" w:hAnsiTheme="minorHAnsi" w:cstheme="minorHAnsi"/>
          <w:b/>
          <w:bCs/>
          <w:spacing w:val="-14"/>
          <w:sz w:val="28"/>
          <w:szCs w:val="28"/>
        </w:rPr>
        <w:t xml:space="preserve"> </w:t>
      </w:r>
      <w:r w:rsidRPr="00982EF4">
        <w:rPr>
          <w:rFonts w:asciiTheme="minorHAnsi" w:hAnsiTheme="minorHAnsi" w:cstheme="minorHAnsi"/>
          <w:b/>
          <w:bCs/>
          <w:sz w:val="28"/>
          <w:szCs w:val="28"/>
        </w:rPr>
        <w:t>Labor</w:t>
      </w:r>
      <w:r w:rsidRPr="00982EF4">
        <w:rPr>
          <w:rFonts w:asciiTheme="minorHAnsi" w:hAnsiTheme="minorHAnsi" w:cstheme="minorHAnsi"/>
          <w:b/>
          <w:bCs/>
          <w:spacing w:val="-15"/>
          <w:sz w:val="28"/>
          <w:szCs w:val="28"/>
        </w:rPr>
        <w:t xml:space="preserve"> </w:t>
      </w:r>
      <w:r w:rsidRPr="00982EF4">
        <w:rPr>
          <w:rFonts w:asciiTheme="minorHAnsi" w:hAnsiTheme="minorHAnsi" w:cstheme="minorHAnsi"/>
          <w:b/>
          <w:bCs/>
          <w:sz w:val="28"/>
          <w:szCs w:val="28"/>
        </w:rPr>
        <w:t>and</w:t>
      </w:r>
      <w:r w:rsidRPr="00982EF4">
        <w:rPr>
          <w:rFonts w:asciiTheme="minorHAnsi" w:hAnsiTheme="minorHAnsi" w:cstheme="minorHAnsi"/>
          <w:b/>
          <w:bCs/>
          <w:spacing w:val="-13"/>
          <w:sz w:val="28"/>
          <w:szCs w:val="28"/>
        </w:rPr>
        <w:t xml:space="preserve"> </w:t>
      </w:r>
      <w:r w:rsidRPr="00982EF4">
        <w:rPr>
          <w:rFonts w:asciiTheme="minorHAnsi" w:hAnsiTheme="minorHAnsi" w:cstheme="minorHAnsi"/>
          <w:b/>
          <w:bCs/>
          <w:sz w:val="28"/>
          <w:szCs w:val="28"/>
        </w:rPr>
        <w:t xml:space="preserve">Industries </w:t>
      </w:r>
    </w:p>
    <w:p w14:paraId="60FCAEB0" w14:textId="5B2A9BBE" w:rsidR="00691AF1" w:rsidRDefault="00691AF1" w:rsidP="00982EF4">
      <w:pPr>
        <w:adjustRightInd/>
        <w:rPr>
          <w:rFonts w:asciiTheme="minorHAnsi" w:hAnsiTheme="minorHAnsi" w:cstheme="minorHAnsi"/>
          <w:b/>
          <w:bCs/>
          <w:spacing w:val="-2"/>
          <w:sz w:val="28"/>
          <w:szCs w:val="28"/>
        </w:rPr>
      </w:pPr>
      <w:r w:rsidRPr="00982EF4">
        <w:rPr>
          <w:rFonts w:asciiTheme="minorHAnsi" w:hAnsiTheme="minorHAnsi" w:cstheme="minorHAnsi"/>
          <w:b/>
          <w:bCs/>
          <w:sz w:val="28"/>
          <w:szCs w:val="28"/>
        </w:rPr>
        <w:t>Division of</w:t>
      </w:r>
      <w:r w:rsidR="00982EF4" w:rsidRPr="00982EF4">
        <w:rPr>
          <w:rFonts w:asciiTheme="minorHAnsi" w:hAnsiTheme="minorHAnsi" w:cstheme="minorHAnsi"/>
          <w:b/>
          <w:bCs/>
          <w:sz w:val="28"/>
          <w:szCs w:val="28"/>
        </w:rPr>
        <w:t xml:space="preserve"> </w:t>
      </w:r>
      <w:r w:rsidRPr="00982EF4">
        <w:rPr>
          <w:rFonts w:asciiTheme="minorHAnsi" w:hAnsiTheme="minorHAnsi" w:cstheme="minorHAnsi"/>
          <w:b/>
          <w:bCs/>
          <w:sz w:val="28"/>
          <w:szCs w:val="28"/>
        </w:rPr>
        <w:t xml:space="preserve">Occupational Safety and Health </w:t>
      </w:r>
      <w:r w:rsidRPr="00982EF4">
        <w:rPr>
          <w:rFonts w:asciiTheme="minorHAnsi" w:hAnsiTheme="minorHAnsi" w:cstheme="minorHAnsi"/>
          <w:b/>
          <w:bCs/>
          <w:spacing w:val="-2"/>
          <w:sz w:val="28"/>
          <w:szCs w:val="28"/>
        </w:rPr>
        <w:t>(DOSH)</w:t>
      </w:r>
    </w:p>
    <w:p w14:paraId="0CA59DF8" w14:textId="1584C260" w:rsidR="00982EF4" w:rsidRDefault="00982EF4" w:rsidP="00982EF4">
      <w:pPr>
        <w:adjustRightInd/>
        <w:rPr>
          <w:rFonts w:asciiTheme="minorHAnsi" w:hAnsiTheme="minorHAnsi" w:cstheme="minorHAnsi"/>
          <w:b/>
          <w:bCs/>
          <w:spacing w:val="-2"/>
          <w:sz w:val="28"/>
          <w:szCs w:val="28"/>
        </w:rPr>
      </w:pPr>
    </w:p>
    <w:p w14:paraId="21219FF0" w14:textId="77777777" w:rsidR="00982EF4" w:rsidRPr="00982EF4" w:rsidRDefault="00982EF4" w:rsidP="00982EF4">
      <w:pPr>
        <w:adjustRightInd/>
        <w:rPr>
          <w:rFonts w:asciiTheme="minorHAnsi" w:hAnsiTheme="minorHAnsi" w:cstheme="minorHAnsi"/>
          <w:b/>
          <w:bCs/>
          <w:spacing w:val="-2"/>
          <w:sz w:val="28"/>
          <w:szCs w:val="28"/>
        </w:rPr>
      </w:pPr>
    </w:p>
    <w:p w14:paraId="1A69CEC2" w14:textId="77777777" w:rsidR="00982EF4" w:rsidRPr="00982EF4" w:rsidRDefault="00982EF4" w:rsidP="00982EF4">
      <w:pPr>
        <w:adjustRightInd/>
        <w:rPr>
          <w:rFonts w:asciiTheme="minorHAnsi" w:hAnsiTheme="minorHAnsi" w:cstheme="minorHAnsi"/>
          <w:b/>
          <w:bCs/>
        </w:rPr>
      </w:pPr>
    </w:p>
    <w:p w14:paraId="58C689C7" w14:textId="3C27051A" w:rsidR="00691AF1" w:rsidRPr="00691AF1" w:rsidRDefault="00982EF4" w:rsidP="00691AF1">
      <w:pPr>
        <w:adjustRightInd/>
        <w:rPr>
          <w:rFonts w:asciiTheme="minorHAnsi" w:hAnsiTheme="minorHAnsi" w:cstheme="minorHAnsi"/>
        </w:rPr>
      </w:pPr>
      <w:r w:rsidRPr="00691AF1">
        <w:rPr>
          <w:rFonts w:asciiTheme="minorHAnsi" w:hAnsiTheme="minorHAnsi" w:cstheme="minorHAnsi"/>
          <w:noProof/>
        </w:rPr>
        <w:drawing>
          <wp:inline distT="0" distB="0" distL="0" distR="0" wp14:anchorId="3FFB9980" wp14:editId="323CA249">
            <wp:extent cx="1587985" cy="1578864"/>
            <wp:effectExtent l="0" t="0" r="0" b="2540"/>
            <wp:docPr id="1" name="image1.jpeg" descr="Official seal of the state of Washing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587985" cy="1578864"/>
                    </a:xfrm>
                    <a:prstGeom prst="rect">
                      <a:avLst/>
                    </a:prstGeom>
                  </pic:spPr>
                </pic:pic>
              </a:graphicData>
            </a:graphic>
          </wp:inline>
        </w:drawing>
      </w:r>
    </w:p>
    <w:p w14:paraId="53A06A16" w14:textId="70B28E9F" w:rsidR="00691AF1" w:rsidRDefault="00691AF1" w:rsidP="006E5179">
      <w:pPr>
        <w:adjustRightInd/>
        <w:spacing w:before="7"/>
        <w:ind w:left="3330"/>
        <w:rPr>
          <w:rFonts w:asciiTheme="minorHAnsi" w:hAnsiTheme="minorHAnsi" w:cstheme="minorHAnsi"/>
        </w:rPr>
      </w:pPr>
    </w:p>
    <w:p w14:paraId="3CF7C0F2" w14:textId="77777777" w:rsidR="00982EF4" w:rsidRPr="00691AF1" w:rsidRDefault="00982EF4" w:rsidP="006E5179">
      <w:pPr>
        <w:adjustRightInd/>
        <w:spacing w:before="7"/>
        <w:ind w:left="3330"/>
        <w:rPr>
          <w:rFonts w:asciiTheme="minorHAnsi" w:hAnsiTheme="minorHAnsi" w:cstheme="minorHAnsi"/>
        </w:rPr>
      </w:pPr>
    </w:p>
    <w:p w14:paraId="4C12C32E" w14:textId="77777777" w:rsidR="00691AF1" w:rsidRPr="00691AF1" w:rsidRDefault="00691AF1" w:rsidP="00691AF1">
      <w:pPr>
        <w:adjustRightInd/>
        <w:rPr>
          <w:rFonts w:asciiTheme="minorHAnsi" w:hAnsiTheme="minorHAnsi" w:cstheme="minorHAnsi"/>
        </w:rPr>
      </w:pPr>
    </w:p>
    <w:p w14:paraId="6A0644C5" w14:textId="1967537A" w:rsidR="00691AF1" w:rsidRPr="00982EF4" w:rsidRDefault="6553EC00" w:rsidP="00982EF4">
      <w:pPr>
        <w:rPr>
          <w:b/>
          <w:bCs/>
          <w:sz w:val="28"/>
          <w:szCs w:val="28"/>
        </w:rPr>
      </w:pPr>
      <w:r w:rsidRPr="00982EF4">
        <w:rPr>
          <w:b/>
          <w:bCs/>
          <w:sz w:val="28"/>
          <w:szCs w:val="28"/>
        </w:rPr>
        <w:t>Evaluation</w:t>
      </w:r>
      <w:r w:rsidRPr="00982EF4">
        <w:rPr>
          <w:b/>
          <w:bCs/>
          <w:spacing w:val="-11"/>
          <w:sz w:val="28"/>
          <w:szCs w:val="28"/>
        </w:rPr>
        <w:t xml:space="preserve"> </w:t>
      </w:r>
      <w:r w:rsidRPr="00982EF4">
        <w:rPr>
          <w:b/>
          <w:bCs/>
          <w:sz w:val="28"/>
          <w:szCs w:val="28"/>
        </w:rPr>
        <w:t>Period:</w:t>
      </w:r>
      <w:r w:rsidRPr="00982EF4">
        <w:rPr>
          <w:b/>
          <w:bCs/>
          <w:spacing w:val="-10"/>
          <w:sz w:val="28"/>
          <w:szCs w:val="28"/>
        </w:rPr>
        <w:t xml:space="preserve"> </w:t>
      </w:r>
      <w:r w:rsidRPr="00982EF4">
        <w:rPr>
          <w:b/>
          <w:bCs/>
          <w:sz w:val="28"/>
          <w:szCs w:val="28"/>
        </w:rPr>
        <w:t>October</w:t>
      </w:r>
      <w:r w:rsidRPr="00982EF4">
        <w:rPr>
          <w:b/>
          <w:bCs/>
          <w:spacing w:val="-8"/>
          <w:sz w:val="28"/>
          <w:szCs w:val="28"/>
        </w:rPr>
        <w:t xml:space="preserve"> </w:t>
      </w:r>
      <w:r w:rsidRPr="00982EF4">
        <w:rPr>
          <w:b/>
          <w:bCs/>
          <w:sz w:val="28"/>
          <w:szCs w:val="28"/>
        </w:rPr>
        <w:t>1,</w:t>
      </w:r>
      <w:r w:rsidRPr="00982EF4">
        <w:rPr>
          <w:b/>
          <w:bCs/>
          <w:spacing w:val="-11"/>
          <w:sz w:val="28"/>
          <w:szCs w:val="28"/>
        </w:rPr>
        <w:t xml:space="preserve"> </w:t>
      </w:r>
      <w:r w:rsidR="71843BF3" w:rsidRPr="00982EF4">
        <w:rPr>
          <w:b/>
          <w:bCs/>
          <w:sz w:val="28"/>
          <w:szCs w:val="28"/>
        </w:rPr>
        <w:t>202</w:t>
      </w:r>
      <w:r w:rsidR="71843BF3">
        <w:rPr>
          <w:b/>
          <w:bCs/>
          <w:sz w:val="28"/>
          <w:szCs w:val="28"/>
        </w:rPr>
        <w:t>3</w:t>
      </w:r>
      <w:r w:rsidR="71843BF3" w:rsidRPr="00982EF4">
        <w:rPr>
          <w:b/>
          <w:bCs/>
          <w:spacing w:val="-8"/>
          <w:sz w:val="28"/>
          <w:szCs w:val="28"/>
        </w:rPr>
        <w:t xml:space="preserve"> </w:t>
      </w:r>
      <w:r w:rsidRPr="00982EF4">
        <w:rPr>
          <w:b/>
          <w:bCs/>
          <w:sz w:val="28"/>
          <w:szCs w:val="28"/>
        </w:rPr>
        <w:t>–</w:t>
      </w:r>
      <w:r w:rsidRPr="00982EF4">
        <w:rPr>
          <w:b/>
          <w:bCs/>
          <w:spacing w:val="-4"/>
          <w:sz w:val="28"/>
          <w:szCs w:val="28"/>
        </w:rPr>
        <w:t xml:space="preserve"> </w:t>
      </w:r>
      <w:r w:rsidRPr="00982EF4">
        <w:rPr>
          <w:b/>
          <w:bCs/>
          <w:sz w:val="28"/>
          <w:szCs w:val="28"/>
        </w:rPr>
        <w:t>September</w:t>
      </w:r>
      <w:r w:rsidRPr="00982EF4">
        <w:rPr>
          <w:b/>
          <w:bCs/>
          <w:spacing w:val="-8"/>
          <w:sz w:val="28"/>
          <w:szCs w:val="28"/>
        </w:rPr>
        <w:t xml:space="preserve"> </w:t>
      </w:r>
      <w:r w:rsidRPr="00982EF4">
        <w:rPr>
          <w:b/>
          <w:bCs/>
          <w:sz w:val="28"/>
          <w:szCs w:val="28"/>
        </w:rPr>
        <w:t>30,</w:t>
      </w:r>
      <w:r w:rsidRPr="00982EF4">
        <w:rPr>
          <w:b/>
          <w:bCs/>
          <w:spacing w:val="-6"/>
          <w:sz w:val="28"/>
          <w:szCs w:val="28"/>
        </w:rPr>
        <w:t xml:space="preserve"> </w:t>
      </w:r>
      <w:r w:rsidR="71843BF3" w:rsidRPr="00982EF4">
        <w:rPr>
          <w:b/>
          <w:bCs/>
          <w:spacing w:val="-4"/>
          <w:sz w:val="28"/>
          <w:szCs w:val="28"/>
        </w:rPr>
        <w:t>202</w:t>
      </w:r>
      <w:r w:rsidR="71843BF3">
        <w:rPr>
          <w:b/>
          <w:bCs/>
          <w:spacing w:val="-4"/>
          <w:sz w:val="28"/>
          <w:szCs w:val="28"/>
        </w:rPr>
        <w:t>4</w:t>
      </w:r>
    </w:p>
    <w:p w14:paraId="0D89185B" w14:textId="77777777" w:rsidR="00691AF1" w:rsidRPr="00691AF1" w:rsidRDefault="00691AF1" w:rsidP="00982EF4">
      <w:pPr>
        <w:adjustRightInd/>
        <w:rPr>
          <w:rFonts w:asciiTheme="minorHAnsi" w:hAnsiTheme="minorHAnsi" w:cstheme="minorHAnsi"/>
          <w:b/>
        </w:rPr>
      </w:pPr>
    </w:p>
    <w:p w14:paraId="5F7805EA" w14:textId="37622375" w:rsidR="00691AF1" w:rsidRDefault="00691AF1" w:rsidP="00982EF4">
      <w:pPr>
        <w:adjustRightInd/>
        <w:spacing w:before="8"/>
        <w:rPr>
          <w:rFonts w:asciiTheme="minorHAnsi" w:hAnsiTheme="minorHAnsi" w:cstheme="minorHAnsi"/>
          <w:b/>
        </w:rPr>
      </w:pPr>
    </w:p>
    <w:p w14:paraId="4AF707BC" w14:textId="77777777" w:rsidR="00982EF4" w:rsidRPr="00691AF1" w:rsidRDefault="00982EF4" w:rsidP="00982EF4">
      <w:pPr>
        <w:adjustRightInd/>
        <w:spacing w:before="8"/>
        <w:rPr>
          <w:rFonts w:asciiTheme="minorHAnsi" w:hAnsiTheme="minorHAnsi" w:cstheme="minorHAnsi"/>
          <w:b/>
        </w:rPr>
      </w:pPr>
    </w:p>
    <w:p w14:paraId="5E4BB080" w14:textId="77777777" w:rsidR="00982EF4" w:rsidRPr="00982EF4" w:rsidRDefault="00691AF1" w:rsidP="00982EF4">
      <w:pPr>
        <w:adjustRightInd/>
        <w:ind w:right="1971"/>
        <w:rPr>
          <w:rFonts w:asciiTheme="minorHAnsi" w:hAnsiTheme="minorHAnsi" w:cstheme="minorHAnsi"/>
          <w:b/>
          <w:bCs/>
        </w:rPr>
      </w:pPr>
      <w:r w:rsidRPr="00982EF4">
        <w:rPr>
          <w:rFonts w:asciiTheme="minorHAnsi" w:hAnsiTheme="minorHAnsi" w:cstheme="minorHAnsi"/>
          <w:b/>
          <w:bCs/>
        </w:rPr>
        <w:t>Initial</w:t>
      </w:r>
      <w:r w:rsidRPr="00982EF4">
        <w:rPr>
          <w:rFonts w:asciiTheme="minorHAnsi" w:hAnsiTheme="minorHAnsi" w:cstheme="minorHAnsi"/>
          <w:b/>
          <w:bCs/>
          <w:spacing w:val="-7"/>
        </w:rPr>
        <w:t xml:space="preserve"> </w:t>
      </w:r>
      <w:r w:rsidRPr="00982EF4">
        <w:rPr>
          <w:rFonts w:asciiTheme="minorHAnsi" w:hAnsiTheme="minorHAnsi" w:cstheme="minorHAnsi"/>
          <w:b/>
          <w:bCs/>
        </w:rPr>
        <w:t>Approval</w:t>
      </w:r>
      <w:r w:rsidRPr="00982EF4">
        <w:rPr>
          <w:rFonts w:asciiTheme="minorHAnsi" w:hAnsiTheme="minorHAnsi" w:cstheme="minorHAnsi"/>
          <w:b/>
          <w:bCs/>
          <w:spacing w:val="-7"/>
        </w:rPr>
        <w:t xml:space="preserve"> </w:t>
      </w:r>
      <w:r w:rsidRPr="00982EF4">
        <w:rPr>
          <w:rFonts w:asciiTheme="minorHAnsi" w:hAnsiTheme="minorHAnsi" w:cstheme="minorHAnsi"/>
          <w:b/>
          <w:bCs/>
        </w:rPr>
        <w:t>Date:</w:t>
      </w:r>
      <w:r w:rsidRPr="00982EF4">
        <w:rPr>
          <w:rFonts w:asciiTheme="minorHAnsi" w:hAnsiTheme="minorHAnsi" w:cstheme="minorHAnsi"/>
          <w:b/>
          <w:bCs/>
          <w:spacing w:val="50"/>
        </w:rPr>
        <w:t xml:space="preserve"> </w:t>
      </w:r>
      <w:r w:rsidRPr="00982EF4">
        <w:rPr>
          <w:rFonts w:asciiTheme="minorHAnsi" w:hAnsiTheme="minorHAnsi" w:cstheme="minorHAnsi"/>
          <w:b/>
          <w:bCs/>
        </w:rPr>
        <w:t>January</w:t>
      </w:r>
      <w:r w:rsidRPr="00982EF4">
        <w:rPr>
          <w:rFonts w:asciiTheme="minorHAnsi" w:hAnsiTheme="minorHAnsi" w:cstheme="minorHAnsi"/>
          <w:b/>
          <w:bCs/>
          <w:spacing w:val="-10"/>
        </w:rPr>
        <w:t xml:space="preserve"> </w:t>
      </w:r>
      <w:r w:rsidRPr="00982EF4">
        <w:rPr>
          <w:rFonts w:asciiTheme="minorHAnsi" w:hAnsiTheme="minorHAnsi" w:cstheme="minorHAnsi"/>
          <w:b/>
          <w:bCs/>
        </w:rPr>
        <w:t>26,</w:t>
      </w:r>
      <w:r w:rsidRPr="00982EF4">
        <w:rPr>
          <w:rFonts w:asciiTheme="minorHAnsi" w:hAnsiTheme="minorHAnsi" w:cstheme="minorHAnsi"/>
          <w:b/>
          <w:bCs/>
          <w:spacing w:val="-6"/>
        </w:rPr>
        <w:t xml:space="preserve"> </w:t>
      </w:r>
      <w:r w:rsidRPr="00982EF4">
        <w:rPr>
          <w:rFonts w:asciiTheme="minorHAnsi" w:hAnsiTheme="minorHAnsi" w:cstheme="minorHAnsi"/>
          <w:b/>
          <w:bCs/>
          <w:spacing w:val="-4"/>
        </w:rPr>
        <w:t>1973</w:t>
      </w:r>
      <w:r w:rsidR="00982EF4" w:rsidRPr="00982EF4">
        <w:rPr>
          <w:rFonts w:asciiTheme="minorHAnsi" w:hAnsiTheme="minorHAnsi" w:cstheme="minorHAnsi"/>
          <w:b/>
          <w:bCs/>
        </w:rPr>
        <w:t xml:space="preserve"> </w:t>
      </w:r>
    </w:p>
    <w:p w14:paraId="57AFFE85" w14:textId="074E34C9" w:rsidR="00162DAC" w:rsidRPr="00982EF4" w:rsidRDefault="00691AF1" w:rsidP="00982EF4">
      <w:pPr>
        <w:adjustRightInd/>
        <w:ind w:right="1971"/>
        <w:rPr>
          <w:rFonts w:asciiTheme="minorHAnsi" w:hAnsiTheme="minorHAnsi" w:cstheme="minorHAnsi"/>
          <w:b/>
          <w:bCs/>
        </w:rPr>
      </w:pPr>
      <w:r w:rsidRPr="00982EF4">
        <w:rPr>
          <w:rFonts w:asciiTheme="minorHAnsi" w:hAnsiTheme="minorHAnsi" w:cstheme="minorHAnsi"/>
          <w:b/>
          <w:bCs/>
        </w:rPr>
        <w:t>Program</w:t>
      </w:r>
      <w:r w:rsidRPr="00982EF4">
        <w:rPr>
          <w:rFonts w:asciiTheme="minorHAnsi" w:hAnsiTheme="minorHAnsi" w:cstheme="minorHAnsi"/>
          <w:b/>
          <w:bCs/>
          <w:spacing w:val="-15"/>
        </w:rPr>
        <w:t xml:space="preserve"> </w:t>
      </w:r>
      <w:r w:rsidRPr="00982EF4">
        <w:rPr>
          <w:rFonts w:asciiTheme="minorHAnsi" w:hAnsiTheme="minorHAnsi" w:cstheme="minorHAnsi"/>
          <w:b/>
          <w:bCs/>
        </w:rPr>
        <w:t>Certification</w:t>
      </w:r>
      <w:r w:rsidRPr="00982EF4">
        <w:rPr>
          <w:rFonts w:asciiTheme="minorHAnsi" w:hAnsiTheme="minorHAnsi" w:cstheme="minorHAnsi"/>
          <w:b/>
          <w:bCs/>
          <w:spacing w:val="-15"/>
        </w:rPr>
        <w:t xml:space="preserve"> </w:t>
      </w:r>
      <w:r w:rsidRPr="00982EF4">
        <w:rPr>
          <w:rFonts w:asciiTheme="minorHAnsi" w:hAnsiTheme="minorHAnsi" w:cstheme="minorHAnsi"/>
          <w:b/>
          <w:bCs/>
        </w:rPr>
        <w:t>Date</w:t>
      </w:r>
      <w:r w:rsidR="00162DAC" w:rsidRPr="00982EF4">
        <w:rPr>
          <w:rFonts w:asciiTheme="minorHAnsi" w:hAnsiTheme="minorHAnsi" w:cstheme="minorHAnsi"/>
          <w:b/>
          <w:bCs/>
        </w:rPr>
        <w:t>:</w:t>
      </w:r>
      <w:r w:rsidR="005B6613" w:rsidRPr="00982EF4">
        <w:rPr>
          <w:rFonts w:asciiTheme="minorHAnsi" w:hAnsiTheme="minorHAnsi" w:cstheme="minorHAnsi"/>
          <w:b/>
          <w:bCs/>
        </w:rPr>
        <w:t xml:space="preserve">  </w:t>
      </w:r>
      <w:r w:rsidRPr="00982EF4">
        <w:rPr>
          <w:rFonts w:asciiTheme="minorHAnsi" w:hAnsiTheme="minorHAnsi" w:cstheme="minorHAnsi"/>
          <w:b/>
          <w:bCs/>
        </w:rPr>
        <w:t>February</w:t>
      </w:r>
      <w:r w:rsidRPr="00982EF4">
        <w:rPr>
          <w:rFonts w:asciiTheme="minorHAnsi" w:hAnsiTheme="minorHAnsi" w:cstheme="minorHAnsi"/>
          <w:b/>
          <w:bCs/>
          <w:spacing w:val="-15"/>
        </w:rPr>
        <w:t xml:space="preserve"> </w:t>
      </w:r>
      <w:r w:rsidRPr="00982EF4">
        <w:rPr>
          <w:rFonts w:asciiTheme="minorHAnsi" w:hAnsiTheme="minorHAnsi" w:cstheme="minorHAnsi"/>
          <w:b/>
          <w:bCs/>
        </w:rPr>
        <w:t>9,</w:t>
      </w:r>
      <w:r w:rsidRPr="00982EF4">
        <w:rPr>
          <w:rFonts w:asciiTheme="minorHAnsi" w:hAnsiTheme="minorHAnsi" w:cstheme="minorHAnsi"/>
          <w:b/>
          <w:bCs/>
          <w:spacing w:val="-12"/>
        </w:rPr>
        <w:t xml:space="preserve"> </w:t>
      </w:r>
      <w:r w:rsidRPr="00982EF4">
        <w:rPr>
          <w:rFonts w:asciiTheme="minorHAnsi" w:hAnsiTheme="minorHAnsi" w:cstheme="minorHAnsi"/>
          <w:b/>
          <w:bCs/>
        </w:rPr>
        <w:t xml:space="preserve">1982 </w:t>
      </w:r>
    </w:p>
    <w:p w14:paraId="69688A03" w14:textId="6C98D4E0" w:rsidR="00691AF1" w:rsidRPr="00982EF4" w:rsidRDefault="00691AF1" w:rsidP="00982EF4">
      <w:pPr>
        <w:adjustRightInd/>
        <w:spacing w:before="3" w:line="242" w:lineRule="auto"/>
        <w:ind w:right="3525"/>
        <w:rPr>
          <w:rFonts w:asciiTheme="minorHAnsi" w:hAnsiTheme="minorHAnsi" w:cstheme="minorHAnsi"/>
          <w:b/>
          <w:bCs/>
        </w:rPr>
      </w:pPr>
      <w:r w:rsidRPr="00982EF4">
        <w:rPr>
          <w:rFonts w:asciiTheme="minorHAnsi" w:hAnsiTheme="minorHAnsi" w:cstheme="minorHAnsi"/>
          <w:b/>
          <w:bCs/>
        </w:rPr>
        <w:t>Final Approval Date:</w:t>
      </w:r>
      <w:r w:rsidRPr="00982EF4">
        <w:rPr>
          <w:rFonts w:asciiTheme="minorHAnsi" w:hAnsiTheme="minorHAnsi" w:cstheme="minorHAnsi"/>
          <w:b/>
          <w:bCs/>
          <w:spacing w:val="40"/>
        </w:rPr>
        <w:t xml:space="preserve"> </w:t>
      </w:r>
      <w:r w:rsidR="002F18C8">
        <w:rPr>
          <w:rFonts w:asciiTheme="minorHAnsi" w:hAnsiTheme="minorHAnsi" w:cstheme="minorHAnsi"/>
          <w:b/>
          <w:bCs/>
        </w:rPr>
        <w:t>N/A</w:t>
      </w:r>
    </w:p>
    <w:p w14:paraId="67D52FDC" w14:textId="7899F0BF" w:rsidR="00691AF1" w:rsidRPr="00982EF4" w:rsidRDefault="00691AF1" w:rsidP="00982EF4">
      <w:pPr>
        <w:adjustRightInd/>
        <w:spacing w:before="3" w:line="242" w:lineRule="auto"/>
        <w:ind w:right="3525"/>
        <w:rPr>
          <w:rFonts w:asciiTheme="minorHAnsi" w:hAnsiTheme="minorHAnsi" w:cstheme="minorHAnsi"/>
          <w:b/>
          <w:bCs/>
        </w:rPr>
      </w:pPr>
    </w:p>
    <w:p w14:paraId="059236AA" w14:textId="5547DAAC" w:rsidR="00982EF4" w:rsidRDefault="00982EF4" w:rsidP="00982EF4">
      <w:pPr>
        <w:adjustRightInd/>
        <w:spacing w:before="3" w:line="242" w:lineRule="auto"/>
        <w:ind w:right="3525"/>
        <w:rPr>
          <w:rFonts w:asciiTheme="minorHAnsi" w:hAnsiTheme="minorHAnsi" w:cstheme="minorHAnsi"/>
          <w:b/>
          <w:bCs/>
        </w:rPr>
      </w:pPr>
    </w:p>
    <w:p w14:paraId="409CCAD2" w14:textId="77777777" w:rsidR="00982EF4" w:rsidRPr="00982EF4" w:rsidRDefault="00982EF4" w:rsidP="00982EF4">
      <w:pPr>
        <w:adjustRightInd/>
        <w:spacing w:before="3" w:line="242" w:lineRule="auto"/>
        <w:ind w:right="3525"/>
        <w:rPr>
          <w:rFonts w:asciiTheme="minorHAnsi" w:hAnsiTheme="minorHAnsi" w:cstheme="minorHAnsi"/>
          <w:b/>
          <w:bCs/>
        </w:rPr>
      </w:pPr>
    </w:p>
    <w:p w14:paraId="083E3EE7" w14:textId="7E946AE3" w:rsidR="00691AF1" w:rsidRPr="00982EF4" w:rsidRDefault="00691AF1" w:rsidP="00982EF4">
      <w:pPr>
        <w:adjustRightInd/>
        <w:spacing w:before="3" w:line="242" w:lineRule="auto"/>
        <w:ind w:right="3525"/>
        <w:rPr>
          <w:rFonts w:asciiTheme="minorHAnsi" w:hAnsiTheme="minorHAnsi" w:cstheme="minorHAnsi"/>
          <w:b/>
          <w:bCs/>
        </w:rPr>
      </w:pPr>
      <w:r w:rsidRPr="00982EF4">
        <w:rPr>
          <w:rFonts w:asciiTheme="minorHAnsi" w:hAnsiTheme="minorHAnsi" w:cstheme="minorHAnsi"/>
          <w:b/>
          <w:bCs/>
        </w:rPr>
        <w:t>Prepared by:</w:t>
      </w:r>
    </w:p>
    <w:p w14:paraId="1ED57F2D" w14:textId="58687EA2" w:rsidR="00691AF1" w:rsidRPr="00982EF4" w:rsidRDefault="00691AF1" w:rsidP="00982EF4">
      <w:pPr>
        <w:adjustRightInd/>
        <w:spacing w:before="3" w:line="242" w:lineRule="auto"/>
        <w:ind w:right="3525"/>
        <w:rPr>
          <w:rFonts w:asciiTheme="minorHAnsi" w:hAnsiTheme="minorHAnsi" w:cstheme="minorHAnsi"/>
          <w:b/>
          <w:bCs/>
        </w:rPr>
      </w:pPr>
      <w:r w:rsidRPr="00982EF4">
        <w:rPr>
          <w:rFonts w:asciiTheme="minorHAnsi" w:hAnsiTheme="minorHAnsi" w:cstheme="minorHAnsi"/>
          <w:b/>
          <w:bCs/>
        </w:rPr>
        <w:t>U.S. Department of Labor</w:t>
      </w:r>
    </w:p>
    <w:p w14:paraId="499D5B3A" w14:textId="77777777" w:rsidR="00691AF1" w:rsidRPr="00982EF4" w:rsidRDefault="00691AF1" w:rsidP="00982EF4">
      <w:pPr>
        <w:adjustRightInd/>
        <w:spacing w:before="3" w:line="242" w:lineRule="auto"/>
        <w:ind w:right="3525"/>
        <w:rPr>
          <w:rFonts w:asciiTheme="minorHAnsi" w:hAnsiTheme="minorHAnsi" w:cstheme="minorHAnsi"/>
          <w:b/>
          <w:bCs/>
        </w:rPr>
      </w:pPr>
      <w:r w:rsidRPr="00982EF4">
        <w:rPr>
          <w:rFonts w:asciiTheme="minorHAnsi" w:hAnsiTheme="minorHAnsi" w:cstheme="minorHAnsi"/>
          <w:b/>
          <w:bCs/>
        </w:rPr>
        <w:t xml:space="preserve">Occupational Safety and Health Administration </w:t>
      </w:r>
    </w:p>
    <w:p w14:paraId="72C28255" w14:textId="659A696D" w:rsidR="00982EF4" w:rsidRPr="00982EF4" w:rsidRDefault="71843BF3" w:rsidP="5991425A">
      <w:pPr>
        <w:adjustRightInd/>
        <w:spacing w:before="3" w:line="242" w:lineRule="auto"/>
        <w:ind w:right="3525"/>
        <w:rPr>
          <w:rFonts w:asciiTheme="minorHAnsi" w:hAnsiTheme="minorHAnsi" w:cstheme="minorBidi"/>
          <w:b/>
          <w:bCs/>
        </w:rPr>
      </w:pPr>
      <w:r w:rsidRPr="5991425A">
        <w:rPr>
          <w:rFonts w:asciiTheme="minorHAnsi" w:hAnsiTheme="minorHAnsi" w:cstheme="minorBidi"/>
          <w:b/>
          <w:bCs/>
        </w:rPr>
        <w:t>San Francisco Region</w:t>
      </w:r>
    </w:p>
    <w:p w14:paraId="3BCEFDC5" w14:textId="5B97C176" w:rsidR="00691AF1" w:rsidRDefault="71843BF3" w:rsidP="5991425A">
      <w:pPr>
        <w:adjustRightInd/>
        <w:spacing w:before="3" w:line="242" w:lineRule="auto"/>
        <w:ind w:right="3525"/>
        <w:rPr>
          <w:rFonts w:asciiTheme="minorHAnsi" w:hAnsiTheme="minorHAnsi" w:cstheme="minorBidi"/>
          <w:b/>
          <w:bCs/>
        </w:rPr>
      </w:pPr>
      <w:r w:rsidRPr="5991425A">
        <w:rPr>
          <w:rFonts w:asciiTheme="minorHAnsi" w:hAnsiTheme="minorHAnsi" w:cstheme="minorBidi"/>
          <w:b/>
          <w:bCs/>
        </w:rPr>
        <w:t>San Francisco, C</w:t>
      </w:r>
      <w:r w:rsidR="002F18C8">
        <w:rPr>
          <w:rFonts w:asciiTheme="minorHAnsi" w:hAnsiTheme="minorHAnsi" w:cstheme="minorBidi"/>
          <w:b/>
          <w:bCs/>
        </w:rPr>
        <w:t>alifornia</w:t>
      </w:r>
    </w:p>
    <w:p w14:paraId="26AE44D8" w14:textId="19927B4C" w:rsidR="13993596" w:rsidRDefault="13993596" w:rsidP="13993596">
      <w:pPr>
        <w:spacing w:before="3" w:line="242" w:lineRule="auto"/>
        <w:ind w:right="3525"/>
        <w:rPr>
          <w:rFonts w:asciiTheme="minorHAnsi" w:hAnsiTheme="minorHAnsi" w:cstheme="minorBidi"/>
          <w:b/>
          <w:bCs/>
        </w:rPr>
      </w:pPr>
    </w:p>
    <w:p w14:paraId="52908C1C" w14:textId="77777777" w:rsidR="00691AF1" w:rsidRPr="00691AF1" w:rsidRDefault="00691AF1" w:rsidP="00691AF1">
      <w:pPr>
        <w:adjustRightInd/>
        <w:spacing w:before="6"/>
        <w:rPr>
          <w:rFonts w:asciiTheme="minorHAnsi" w:hAnsiTheme="minorHAnsi" w:cstheme="minorHAnsi"/>
        </w:rPr>
      </w:pPr>
    </w:p>
    <w:bookmarkEnd w:id="1"/>
    <w:bookmarkEnd w:id="2"/>
    <w:p w14:paraId="2DA52AA3" w14:textId="33E8C9FD" w:rsidR="002A6CAA" w:rsidRPr="00982EF4" w:rsidRDefault="00565109" w:rsidP="13993596">
      <w:pPr>
        <w:widowControl/>
        <w:autoSpaceDE/>
        <w:autoSpaceDN/>
        <w:adjustRightInd/>
        <w:jc w:val="center"/>
        <w:rPr>
          <w:rFonts w:cs="Calibri"/>
          <w:b/>
          <w:bCs/>
          <w:sz w:val="40"/>
          <w:szCs w:val="40"/>
        </w:rPr>
      </w:pPr>
      <w:r>
        <w:rPr>
          <w:noProof/>
        </w:rPr>
        <w:drawing>
          <wp:inline distT="0" distB="0" distL="0" distR="0" wp14:anchorId="76FB0CB0" wp14:editId="6F694B55">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1600200" cy="1009650"/>
                    </a:xfrm>
                    <a:prstGeom prst="rect">
                      <a:avLst/>
                    </a:prstGeom>
                  </pic:spPr>
                </pic:pic>
              </a:graphicData>
            </a:graphic>
          </wp:inline>
        </w:drawing>
      </w:r>
      <w:r w:rsidRPr="13993596">
        <w:rPr>
          <w:rFonts w:cs="Calibri"/>
          <w:b/>
          <w:bCs/>
          <w:sz w:val="40"/>
          <w:szCs w:val="40"/>
        </w:rPr>
        <w:br w:type="page"/>
      </w:r>
    </w:p>
    <w:p w14:paraId="253E64F1" w14:textId="0AF3C4B2" w:rsidR="002A6CAA" w:rsidRPr="00982EF4" w:rsidRDefault="00F43B23" w:rsidP="13993596">
      <w:pPr>
        <w:widowControl/>
        <w:autoSpaceDE/>
        <w:autoSpaceDN/>
        <w:adjustRightInd/>
        <w:jc w:val="center"/>
        <w:rPr>
          <w:rFonts w:cs="Calibri"/>
          <w:b/>
          <w:bCs/>
        </w:rPr>
      </w:pPr>
      <w:r w:rsidRPr="13993596">
        <w:rPr>
          <w:rFonts w:cs="Calibri"/>
          <w:b/>
          <w:bCs/>
          <w:sz w:val="28"/>
          <w:szCs w:val="28"/>
        </w:rPr>
        <w:lastRenderedPageBreak/>
        <w:t>Table of Contents</w:t>
      </w:r>
    </w:p>
    <w:p w14:paraId="62234A29" w14:textId="0F9CF221" w:rsidR="008320D6" w:rsidRPr="008320D6" w:rsidRDefault="000F63C1">
      <w:pPr>
        <w:pStyle w:val="TOC2"/>
        <w:rPr>
          <w:rFonts w:eastAsiaTheme="minorEastAsia" w:cstheme="minorBidi"/>
          <w:bCs w:val="0"/>
          <w:noProof/>
          <w:kern w:val="2"/>
          <w:szCs w:val="28"/>
          <w14:ligatures w14:val="standardContextual"/>
        </w:rPr>
      </w:pPr>
      <w:r w:rsidRPr="00EE48C7">
        <w:rPr>
          <w:szCs w:val="28"/>
        </w:rPr>
        <w:fldChar w:fldCharType="begin"/>
      </w:r>
      <w:r w:rsidRPr="00EE48C7">
        <w:rPr>
          <w:szCs w:val="28"/>
        </w:rPr>
        <w:instrText xml:space="preserve"> TOC \o "2-3" \h \z \u \t "Level 1,1" </w:instrText>
      </w:r>
      <w:r w:rsidRPr="00EE48C7">
        <w:rPr>
          <w:szCs w:val="28"/>
        </w:rPr>
        <w:fldChar w:fldCharType="separate"/>
      </w:r>
      <w:hyperlink w:anchor="_Toc193191066" w:history="1">
        <w:r w:rsidR="008320D6" w:rsidRPr="008320D6">
          <w:rPr>
            <w:rStyle w:val="Hyperlink"/>
            <w:noProof/>
            <w:szCs w:val="28"/>
          </w:rPr>
          <w:t>I.</w:t>
        </w:r>
        <w:r w:rsidR="008320D6" w:rsidRPr="008320D6">
          <w:rPr>
            <w:rFonts w:eastAsiaTheme="minorEastAsia" w:cstheme="minorBidi"/>
            <w:bCs w:val="0"/>
            <w:noProof/>
            <w:kern w:val="2"/>
            <w:szCs w:val="28"/>
            <w14:ligatures w14:val="standardContextual"/>
          </w:rPr>
          <w:tab/>
        </w:r>
        <w:r w:rsidR="008320D6" w:rsidRPr="008320D6">
          <w:rPr>
            <w:rStyle w:val="Hyperlink"/>
            <w:noProof/>
            <w:szCs w:val="28"/>
          </w:rPr>
          <w:t>Executive Summary</w:t>
        </w:r>
        <w:r w:rsidR="008320D6" w:rsidRPr="008320D6">
          <w:rPr>
            <w:noProof/>
            <w:webHidden/>
            <w:szCs w:val="28"/>
          </w:rPr>
          <w:tab/>
        </w:r>
        <w:r w:rsidR="008320D6" w:rsidRPr="008320D6">
          <w:rPr>
            <w:noProof/>
            <w:webHidden/>
            <w:szCs w:val="28"/>
          </w:rPr>
          <w:fldChar w:fldCharType="begin"/>
        </w:r>
        <w:r w:rsidR="008320D6" w:rsidRPr="008320D6">
          <w:rPr>
            <w:noProof/>
            <w:webHidden/>
            <w:szCs w:val="28"/>
          </w:rPr>
          <w:instrText xml:space="preserve"> PAGEREF _Toc193191066 \h </w:instrText>
        </w:r>
        <w:r w:rsidR="008320D6" w:rsidRPr="008320D6">
          <w:rPr>
            <w:noProof/>
            <w:webHidden/>
            <w:szCs w:val="28"/>
          </w:rPr>
        </w:r>
        <w:r w:rsidR="008320D6" w:rsidRPr="008320D6">
          <w:rPr>
            <w:noProof/>
            <w:webHidden/>
            <w:szCs w:val="28"/>
          </w:rPr>
          <w:fldChar w:fldCharType="separate"/>
        </w:r>
        <w:r w:rsidR="008320D6" w:rsidRPr="008320D6">
          <w:rPr>
            <w:noProof/>
            <w:webHidden/>
            <w:szCs w:val="28"/>
          </w:rPr>
          <w:t>3</w:t>
        </w:r>
        <w:r w:rsidR="008320D6" w:rsidRPr="008320D6">
          <w:rPr>
            <w:noProof/>
            <w:webHidden/>
            <w:szCs w:val="28"/>
          </w:rPr>
          <w:fldChar w:fldCharType="end"/>
        </w:r>
      </w:hyperlink>
    </w:p>
    <w:p w14:paraId="7EE0E0CE" w14:textId="480647B1" w:rsidR="008320D6" w:rsidRPr="008320D6" w:rsidRDefault="008320D6">
      <w:pPr>
        <w:pStyle w:val="TOC2"/>
        <w:rPr>
          <w:rFonts w:eastAsiaTheme="minorEastAsia" w:cstheme="minorBidi"/>
          <w:bCs w:val="0"/>
          <w:noProof/>
          <w:kern w:val="2"/>
          <w:szCs w:val="28"/>
          <w14:ligatures w14:val="standardContextual"/>
        </w:rPr>
      </w:pPr>
      <w:hyperlink w:anchor="_Toc193191067" w:history="1">
        <w:r w:rsidRPr="008320D6">
          <w:rPr>
            <w:rStyle w:val="Hyperlink"/>
            <w:noProof/>
            <w:szCs w:val="28"/>
          </w:rPr>
          <w:t>II.</w:t>
        </w:r>
        <w:r w:rsidRPr="008320D6">
          <w:rPr>
            <w:rFonts w:eastAsiaTheme="minorEastAsia" w:cstheme="minorBidi"/>
            <w:bCs w:val="0"/>
            <w:noProof/>
            <w:kern w:val="2"/>
            <w:szCs w:val="28"/>
            <w14:ligatures w14:val="standardContextual"/>
          </w:rPr>
          <w:tab/>
        </w:r>
        <w:r w:rsidRPr="008320D6">
          <w:rPr>
            <w:rStyle w:val="Hyperlink"/>
            <w:noProof/>
            <w:szCs w:val="28"/>
          </w:rPr>
          <w:t>State Plan Background</w:t>
        </w:r>
        <w:r w:rsidRPr="008320D6">
          <w:rPr>
            <w:noProof/>
            <w:webHidden/>
            <w:szCs w:val="28"/>
          </w:rPr>
          <w:tab/>
        </w:r>
        <w:r w:rsidRPr="008320D6">
          <w:rPr>
            <w:noProof/>
            <w:webHidden/>
            <w:szCs w:val="28"/>
          </w:rPr>
          <w:fldChar w:fldCharType="begin"/>
        </w:r>
        <w:r w:rsidRPr="008320D6">
          <w:rPr>
            <w:noProof/>
            <w:webHidden/>
            <w:szCs w:val="28"/>
          </w:rPr>
          <w:instrText xml:space="preserve"> PAGEREF _Toc193191067 \h </w:instrText>
        </w:r>
        <w:r w:rsidRPr="008320D6">
          <w:rPr>
            <w:noProof/>
            <w:webHidden/>
            <w:szCs w:val="28"/>
          </w:rPr>
        </w:r>
        <w:r w:rsidRPr="008320D6">
          <w:rPr>
            <w:noProof/>
            <w:webHidden/>
            <w:szCs w:val="28"/>
          </w:rPr>
          <w:fldChar w:fldCharType="separate"/>
        </w:r>
        <w:r w:rsidRPr="008320D6">
          <w:rPr>
            <w:noProof/>
            <w:webHidden/>
            <w:szCs w:val="28"/>
          </w:rPr>
          <w:t>3</w:t>
        </w:r>
        <w:r w:rsidRPr="008320D6">
          <w:rPr>
            <w:noProof/>
            <w:webHidden/>
            <w:szCs w:val="28"/>
          </w:rPr>
          <w:fldChar w:fldCharType="end"/>
        </w:r>
      </w:hyperlink>
    </w:p>
    <w:p w14:paraId="141D3DD8" w14:textId="5D879C0C" w:rsidR="008320D6" w:rsidRPr="008320D6" w:rsidRDefault="008320D6">
      <w:pPr>
        <w:pStyle w:val="TOC2"/>
        <w:rPr>
          <w:rFonts w:eastAsiaTheme="minorEastAsia" w:cstheme="minorBidi"/>
          <w:bCs w:val="0"/>
          <w:noProof/>
          <w:kern w:val="2"/>
          <w:szCs w:val="28"/>
          <w14:ligatures w14:val="standardContextual"/>
        </w:rPr>
      </w:pPr>
      <w:hyperlink w:anchor="_Toc193191068" w:history="1">
        <w:r w:rsidRPr="008320D6">
          <w:rPr>
            <w:rStyle w:val="Hyperlink"/>
            <w:noProof/>
            <w:szCs w:val="28"/>
          </w:rPr>
          <w:t>III.</w:t>
        </w:r>
        <w:r w:rsidRPr="008320D6">
          <w:rPr>
            <w:rFonts w:eastAsiaTheme="minorEastAsia" w:cstheme="minorBidi"/>
            <w:bCs w:val="0"/>
            <w:noProof/>
            <w:kern w:val="2"/>
            <w:szCs w:val="28"/>
            <w14:ligatures w14:val="standardContextual"/>
          </w:rPr>
          <w:tab/>
        </w:r>
        <w:r w:rsidRPr="008320D6">
          <w:rPr>
            <w:rStyle w:val="Hyperlink"/>
            <w:noProof/>
            <w:szCs w:val="28"/>
          </w:rPr>
          <w:t>Assessment of State Plan Progress and Performance</w:t>
        </w:r>
        <w:r w:rsidRPr="008320D6">
          <w:rPr>
            <w:noProof/>
            <w:webHidden/>
            <w:szCs w:val="28"/>
          </w:rPr>
          <w:tab/>
        </w:r>
        <w:r w:rsidRPr="008320D6">
          <w:rPr>
            <w:noProof/>
            <w:webHidden/>
            <w:szCs w:val="28"/>
          </w:rPr>
          <w:fldChar w:fldCharType="begin"/>
        </w:r>
        <w:r w:rsidRPr="008320D6">
          <w:rPr>
            <w:noProof/>
            <w:webHidden/>
            <w:szCs w:val="28"/>
          </w:rPr>
          <w:instrText xml:space="preserve"> PAGEREF _Toc193191068 \h </w:instrText>
        </w:r>
        <w:r w:rsidRPr="008320D6">
          <w:rPr>
            <w:noProof/>
            <w:webHidden/>
            <w:szCs w:val="28"/>
          </w:rPr>
        </w:r>
        <w:r w:rsidRPr="008320D6">
          <w:rPr>
            <w:noProof/>
            <w:webHidden/>
            <w:szCs w:val="28"/>
          </w:rPr>
          <w:fldChar w:fldCharType="separate"/>
        </w:r>
        <w:r w:rsidRPr="008320D6">
          <w:rPr>
            <w:noProof/>
            <w:webHidden/>
            <w:szCs w:val="28"/>
          </w:rPr>
          <w:t>5</w:t>
        </w:r>
        <w:r w:rsidRPr="008320D6">
          <w:rPr>
            <w:noProof/>
            <w:webHidden/>
            <w:szCs w:val="28"/>
          </w:rPr>
          <w:fldChar w:fldCharType="end"/>
        </w:r>
      </w:hyperlink>
    </w:p>
    <w:p w14:paraId="40DA3673" w14:textId="4905164D" w:rsidR="008320D6" w:rsidRPr="008320D6" w:rsidRDefault="008320D6">
      <w:pPr>
        <w:pStyle w:val="TOC3"/>
        <w:tabs>
          <w:tab w:val="left" w:pos="720"/>
        </w:tabs>
        <w:rPr>
          <w:rFonts w:eastAsiaTheme="minorEastAsia" w:cstheme="minorBidi"/>
          <w:noProof/>
          <w:kern w:val="2"/>
          <w:sz w:val="28"/>
          <w:szCs w:val="28"/>
          <w14:ligatures w14:val="standardContextual"/>
        </w:rPr>
      </w:pPr>
      <w:hyperlink w:anchor="_Toc193191069" w:history="1">
        <w:r w:rsidRPr="008320D6">
          <w:rPr>
            <w:rStyle w:val="Hyperlink"/>
            <w:noProof/>
            <w:sz w:val="28"/>
            <w:szCs w:val="28"/>
          </w:rPr>
          <w:t>A.</w:t>
        </w:r>
        <w:r w:rsidRPr="008320D6">
          <w:rPr>
            <w:rFonts w:eastAsiaTheme="minorEastAsia" w:cstheme="minorBidi"/>
            <w:noProof/>
            <w:kern w:val="2"/>
            <w:sz w:val="28"/>
            <w:szCs w:val="28"/>
            <w14:ligatures w14:val="standardContextual"/>
          </w:rPr>
          <w:tab/>
        </w:r>
        <w:r w:rsidRPr="008320D6">
          <w:rPr>
            <w:rStyle w:val="Hyperlink"/>
            <w:noProof/>
            <w:sz w:val="28"/>
            <w:szCs w:val="28"/>
          </w:rPr>
          <w:t>Data and Methodology</w:t>
        </w:r>
        <w:r w:rsidRPr="008320D6">
          <w:rPr>
            <w:noProof/>
            <w:webHidden/>
            <w:sz w:val="28"/>
            <w:szCs w:val="28"/>
          </w:rPr>
          <w:tab/>
        </w:r>
        <w:r w:rsidRPr="008320D6">
          <w:rPr>
            <w:noProof/>
            <w:webHidden/>
            <w:sz w:val="28"/>
            <w:szCs w:val="28"/>
          </w:rPr>
          <w:fldChar w:fldCharType="begin"/>
        </w:r>
        <w:r w:rsidRPr="008320D6">
          <w:rPr>
            <w:noProof/>
            <w:webHidden/>
            <w:sz w:val="28"/>
            <w:szCs w:val="28"/>
          </w:rPr>
          <w:instrText xml:space="preserve"> PAGEREF _Toc193191069 \h </w:instrText>
        </w:r>
        <w:r w:rsidRPr="008320D6">
          <w:rPr>
            <w:noProof/>
            <w:webHidden/>
            <w:sz w:val="28"/>
            <w:szCs w:val="28"/>
          </w:rPr>
        </w:r>
        <w:r w:rsidRPr="008320D6">
          <w:rPr>
            <w:noProof/>
            <w:webHidden/>
            <w:sz w:val="28"/>
            <w:szCs w:val="28"/>
          </w:rPr>
          <w:fldChar w:fldCharType="separate"/>
        </w:r>
        <w:r w:rsidRPr="008320D6">
          <w:rPr>
            <w:noProof/>
            <w:webHidden/>
            <w:sz w:val="28"/>
            <w:szCs w:val="28"/>
          </w:rPr>
          <w:t>5</w:t>
        </w:r>
        <w:r w:rsidRPr="008320D6">
          <w:rPr>
            <w:noProof/>
            <w:webHidden/>
            <w:sz w:val="28"/>
            <w:szCs w:val="28"/>
          </w:rPr>
          <w:fldChar w:fldCharType="end"/>
        </w:r>
      </w:hyperlink>
    </w:p>
    <w:p w14:paraId="0E67AF59" w14:textId="08E9F604" w:rsidR="008320D6" w:rsidRPr="008320D6" w:rsidRDefault="008320D6">
      <w:pPr>
        <w:pStyle w:val="TOC3"/>
        <w:tabs>
          <w:tab w:val="left" w:pos="720"/>
        </w:tabs>
        <w:rPr>
          <w:rFonts w:eastAsiaTheme="minorEastAsia" w:cstheme="minorBidi"/>
          <w:noProof/>
          <w:kern w:val="2"/>
          <w:sz w:val="28"/>
          <w:szCs w:val="28"/>
          <w14:ligatures w14:val="standardContextual"/>
        </w:rPr>
      </w:pPr>
      <w:hyperlink w:anchor="_Toc193191070" w:history="1">
        <w:r w:rsidRPr="008320D6">
          <w:rPr>
            <w:rStyle w:val="Hyperlink"/>
            <w:noProof/>
            <w:sz w:val="28"/>
            <w:szCs w:val="28"/>
          </w:rPr>
          <w:t>B.</w:t>
        </w:r>
        <w:r w:rsidRPr="008320D6">
          <w:rPr>
            <w:rFonts w:eastAsiaTheme="minorEastAsia" w:cstheme="minorBidi"/>
            <w:noProof/>
            <w:kern w:val="2"/>
            <w:sz w:val="28"/>
            <w:szCs w:val="28"/>
            <w14:ligatures w14:val="standardContextual"/>
          </w:rPr>
          <w:tab/>
        </w:r>
        <w:r w:rsidRPr="008320D6">
          <w:rPr>
            <w:rStyle w:val="Hyperlink"/>
            <w:noProof/>
            <w:sz w:val="28"/>
            <w:szCs w:val="28"/>
          </w:rPr>
          <w:t>Findings and Observations</w:t>
        </w:r>
        <w:r w:rsidRPr="008320D6">
          <w:rPr>
            <w:noProof/>
            <w:webHidden/>
            <w:sz w:val="28"/>
            <w:szCs w:val="28"/>
          </w:rPr>
          <w:tab/>
        </w:r>
        <w:r w:rsidRPr="008320D6">
          <w:rPr>
            <w:noProof/>
            <w:webHidden/>
            <w:sz w:val="28"/>
            <w:szCs w:val="28"/>
          </w:rPr>
          <w:fldChar w:fldCharType="begin"/>
        </w:r>
        <w:r w:rsidRPr="008320D6">
          <w:rPr>
            <w:noProof/>
            <w:webHidden/>
            <w:sz w:val="28"/>
            <w:szCs w:val="28"/>
          </w:rPr>
          <w:instrText xml:space="preserve"> PAGEREF _Toc193191070 \h </w:instrText>
        </w:r>
        <w:r w:rsidRPr="008320D6">
          <w:rPr>
            <w:noProof/>
            <w:webHidden/>
            <w:sz w:val="28"/>
            <w:szCs w:val="28"/>
          </w:rPr>
        </w:r>
        <w:r w:rsidRPr="008320D6">
          <w:rPr>
            <w:noProof/>
            <w:webHidden/>
            <w:sz w:val="28"/>
            <w:szCs w:val="28"/>
          </w:rPr>
          <w:fldChar w:fldCharType="separate"/>
        </w:r>
        <w:r w:rsidRPr="008320D6">
          <w:rPr>
            <w:noProof/>
            <w:webHidden/>
            <w:sz w:val="28"/>
            <w:szCs w:val="28"/>
          </w:rPr>
          <w:t>5</w:t>
        </w:r>
        <w:r w:rsidRPr="008320D6">
          <w:rPr>
            <w:noProof/>
            <w:webHidden/>
            <w:sz w:val="28"/>
            <w:szCs w:val="28"/>
          </w:rPr>
          <w:fldChar w:fldCharType="end"/>
        </w:r>
      </w:hyperlink>
    </w:p>
    <w:p w14:paraId="3ABEAD71" w14:textId="357062D5" w:rsidR="008320D6" w:rsidRPr="008320D6" w:rsidRDefault="008320D6">
      <w:pPr>
        <w:pStyle w:val="TOC3"/>
        <w:tabs>
          <w:tab w:val="left" w:pos="720"/>
        </w:tabs>
        <w:rPr>
          <w:rFonts w:eastAsiaTheme="minorEastAsia" w:cstheme="minorBidi"/>
          <w:noProof/>
          <w:kern w:val="2"/>
          <w:sz w:val="28"/>
          <w:szCs w:val="28"/>
          <w14:ligatures w14:val="standardContextual"/>
        </w:rPr>
      </w:pPr>
      <w:hyperlink w:anchor="_Toc193191071" w:history="1">
        <w:r w:rsidRPr="008320D6">
          <w:rPr>
            <w:rStyle w:val="Hyperlink"/>
            <w:noProof/>
            <w:sz w:val="28"/>
            <w:szCs w:val="28"/>
          </w:rPr>
          <w:t>C.</w:t>
        </w:r>
        <w:r w:rsidRPr="008320D6">
          <w:rPr>
            <w:rFonts w:eastAsiaTheme="minorEastAsia" w:cstheme="minorBidi"/>
            <w:noProof/>
            <w:kern w:val="2"/>
            <w:sz w:val="28"/>
            <w:szCs w:val="28"/>
            <w14:ligatures w14:val="standardContextual"/>
          </w:rPr>
          <w:tab/>
        </w:r>
        <w:r w:rsidRPr="008320D6">
          <w:rPr>
            <w:rStyle w:val="Hyperlink"/>
            <w:noProof/>
            <w:sz w:val="28"/>
            <w:szCs w:val="28"/>
          </w:rPr>
          <w:t>State Activity Mandated Measures (SAMM) Highlights</w:t>
        </w:r>
        <w:r w:rsidRPr="008320D6">
          <w:rPr>
            <w:noProof/>
            <w:webHidden/>
            <w:sz w:val="28"/>
            <w:szCs w:val="28"/>
          </w:rPr>
          <w:tab/>
        </w:r>
        <w:r w:rsidRPr="008320D6">
          <w:rPr>
            <w:noProof/>
            <w:webHidden/>
            <w:sz w:val="28"/>
            <w:szCs w:val="28"/>
          </w:rPr>
          <w:fldChar w:fldCharType="begin"/>
        </w:r>
        <w:r w:rsidRPr="008320D6">
          <w:rPr>
            <w:noProof/>
            <w:webHidden/>
            <w:sz w:val="28"/>
            <w:szCs w:val="28"/>
          </w:rPr>
          <w:instrText xml:space="preserve"> PAGEREF _Toc193191071 \h </w:instrText>
        </w:r>
        <w:r w:rsidRPr="008320D6">
          <w:rPr>
            <w:noProof/>
            <w:webHidden/>
            <w:sz w:val="28"/>
            <w:szCs w:val="28"/>
          </w:rPr>
        </w:r>
        <w:r w:rsidRPr="008320D6">
          <w:rPr>
            <w:noProof/>
            <w:webHidden/>
            <w:sz w:val="28"/>
            <w:szCs w:val="28"/>
          </w:rPr>
          <w:fldChar w:fldCharType="separate"/>
        </w:r>
        <w:r w:rsidRPr="008320D6">
          <w:rPr>
            <w:noProof/>
            <w:webHidden/>
            <w:sz w:val="28"/>
            <w:szCs w:val="28"/>
          </w:rPr>
          <w:t>9</w:t>
        </w:r>
        <w:r w:rsidRPr="008320D6">
          <w:rPr>
            <w:noProof/>
            <w:webHidden/>
            <w:sz w:val="28"/>
            <w:szCs w:val="28"/>
          </w:rPr>
          <w:fldChar w:fldCharType="end"/>
        </w:r>
      </w:hyperlink>
    </w:p>
    <w:p w14:paraId="4010A629" w14:textId="2287EA41" w:rsidR="008320D6" w:rsidRPr="008320D6" w:rsidRDefault="008320D6" w:rsidP="008320D6">
      <w:pPr>
        <w:pStyle w:val="TOC3"/>
        <w:ind w:left="0"/>
        <w:rPr>
          <w:rFonts w:eastAsiaTheme="minorEastAsia" w:cstheme="minorBidi"/>
          <w:noProof/>
          <w:kern w:val="2"/>
          <w:sz w:val="28"/>
          <w:szCs w:val="28"/>
          <w14:ligatures w14:val="standardContextual"/>
        </w:rPr>
      </w:pPr>
      <w:hyperlink w:anchor="_Toc193191072" w:history="1">
        <w:r w:rsidRPr="008320D6">
          <w:rPr>
            <w:rStyle w:val="Hyperlink"/>
            <w:noProof/>
            <w:sz w:val="28"/>
            <w:szCs w:val="28"/>
          </w:rPr>
          <w:t>Appendix A – New and Continued Findings and Recommendations</w:t>
        </w:r>
        <w:r w:rsidRPr="008320D6">
          <w:rPr>
            <w:noProof/>
            <w:webHidden/>
            <w:sz w:val="28"/>
            <w:szCs w:val="28"/>
          </w:rPr>
          <w:tab/>
        </w:r>
        <w:r w:rsidRPr="008320D6">
          <w:rPr>
            <w:noProof/>
            <w:webHidden/>
            <w:sz w:val="28"/>
            <w:szCs w:val="28"/>
          </w:rPr>
          <w:fldChar w:fldCharType="begin"/>
        </w:r>
        <w:r w:rsidRPr="008320D6">
          <w:rPr>
            <w:noProof/>
            <w:webHidden/>
            <w:sz w:val="28"/>
            <w:szCs w:val="28"/>
          </w:rPr>
          <w:instrText xml:space="preserve"> PAGEREF _Toc193191072 \h </w:instrText>
        </w:r>
        <w:r w:rsidRPr="008320D6">
          <w:rPr>
            <w:noProof/>
            <w:webHidden/>
            <w:sz w:val="28"/>
            <w:szCs w:val="28"/>
          </w:rPr>
        </w:r>
        <w:r w:rsidRPr="008320D6">
          <w:rPr>
            <w:noProof/>
            <w:webHidden/>
            <w:sz w:val="28"/>
            <w:szCs w:val="28"/>
          </w:rPr>
          <w:fldChar w:fldCharType="separate"/>
        </w:r>
        <w:r w:rsidRPr="008320D6">
          <w:rPr>
            <w:noProof/>
            <w:webHidden/>
            <w:sz w:val="28"/>
            <w:szCs w:val="28"/>
          </w:rPr>
          <w:t>15</w:t>
        </w:r>
        <w:r w:rsidRPr="008320D6">
          <w:rPr>
            <w:noProof/>
            <w:webHidden/>
            <w:sz w:val="28"/>
            <w:szCs w:val="28"/>
          </w:rPr>
          <w:fldChar w:fldCharType="end"/>
        </w:r>
      </w:hyperlink>
    </w:p>
    <w:p w14:paraId="59C35221" w14:textId="6F483400" w:rsidR="008320D6" w:rsidRPr="008320D6" w:rsidRDefault="008320D6" w:rsidP="008320D6">
      <w:pPr>
        <w:pStyle w:val="TOC3"/>
        <w:ind w:left="0"/>
        <w:rPr>
          <w:rFonts w:eastAsiaTheme="minorEastAsia" w:cstheme="minorBidi"/>
          <w:noProof/>
          <w:kern w:val="2"/>
          <w:sz w:val="28"/>
          <w:szCs w:val="28"/>
          <w14:ligatures w14:val="standardContextual"/>
        </w:rPr>
      </w:pPr>
      <w:hyperlink w:anchor="_Toc193191073" w:history="1">
        <w:r w:rsidRPr="008320D6">
          <w:rPr>
            <w:rStyle w:val="Hyperlink"/>
            <w:noProof/>
            <w:sz w:val="28"/>
            <w:szCs w:val="28"/>
          </w:rPr>
          <w:t>Appendix B – Observations Subject to Continued Monitoring</w:t>
        </w:r>
        <w:r w:rsidRPr="008320D6">
          <w:rPr>
            <w:noProof/>
            <w:webHidden/>
            <w:sz w:val="28"/>
            <w:szCs w:val="28"/>
          </w:rPr>
          <w:tab/>
        </w:r>
        <w:r w:rsidRPr="008320D6">
          <w:rPr>
            <w:noProof/>
            <w:webHidden/>
            <w:sz w:val="28"/>
            <w:szCs w:val="28"/>
          </w:rPr>
          <w:fldChar w:fldCharType="begin"/>
        </w:r>
        <w:r w:rsidRPr="008320D6">
          <w:rPr>
            <w:noProof/>
            <w:webHidden/>
            <w:sz w:val="28"/>
            <w:szCs w:val="28"/>
          </w:rPr>
          <w:instrText xml:space="preserve"> PAGEREF _Toc193191073 \h </w:instrText>
        </w:r>
        <w:r w:rsidRPr="008320D6">
          <w:rPr>
            <w:noProof/>
            <w:webHidden/>
            <w:sz w:val="28"/>
            <w:szCs w:val="28"/>
          </w:rPr>
        </w:r>
        <w:r w:rsidRPr="008320D6">
          <w:rPr>
            <w:noProof/>
            <w:webHidden/>
            <w:sz w:val="28"/>
            <w:szCs w:val="28"/>
          </w:rPr>
          <w:fldChar w:fldCharType="separate"/>
        </w:r>
        <w:r w:rsidRPr="008320D6">
          <w:rPr>
            <w:noProof/>
            <w:webHidden/>
            <w:sz w:val="28"/>
            <w:szCs w:val="28"/>
          </w:rPr>
          <w:t>16</w:t>
        </w:r>
        <w:r w:rsidRPr="008320D6">
          <w:rPr>
            <w:noProof/>
            <w:webHidden/>
            <w:sz w:val="28"/>
            <w:szCs w:val="28"/>
          </w:rPr>
          <w:fldChar w:fldCharType="end"/>
        </w:r>
      </w:hyperlink>
    </w:p>
    <w:p w14:paraId="353290A9" w14:textId="7B4AFBF6" w:rsidR="008320D6" w:rsidRPr="008320D6" w:rsidRDefault="008320D6" w:rsidP="008320D6">
      <w:pPr>
        <w:pStyle w:val="TOC3"/>
        <w:ind w:left="0"/>
        <w:rPr>
          <w:rFonts w:eastAsiaTheme="minorEastAsia" w:cstheme="minorBidi"/>
          <w:noProof/>
          <w:kern w:val="2"/>
          <w:sz w:val="28"/>
          <w:szCs w:val="28"/>
          <w14:ligatures w14:val="standardContextual"/>
        </w:rPr>
      </w:pPr>
      <w:hyperlink w:anchor="_Toc193191074" w:history="1">
        <w:r w:rsidRPr="008320D6">
          <w:rPr>
            <w:rStyle w:val="Hyperlink"/>
            <w:noProof/>
            <w:sz w:val="28"/>
            <w:szCs w:val="28"/>
          </w:rPr>
          <w:t>Appendix C - Status of FY 2023 Findings and Recommendations</w:t>
        </w:r>
        <w:r w:rsidRPr="008320D6">
          <w:rPr>
            <w:noProof/>
            <w:webHidden/>
            <w:sz w:val="28"/>
            <w:szCs w:val="28"/>
          </w:rPr>
          <w:tab/>
        </w:r>
        <w:r w:rsidRPr="008320D6">
          <w:rPr>
            <w:noProof/>
            <w:webHidden/>
            <w:sz w:val="28"/>
            <w:szCs w:val="28"/>
          </w:rPr>
          <w:fldChar w:fldCharType="begin"/>
        </w:r>
        <w:r w:rsidRPr="008320D6">
          <w:rPr>
            <w:noProof/>
            <w:webHidden/>
            <w:sz w:val="28"/>
            <w:szCs w:val="28"/>
          </w:rPr>
          <w:instrText xml:space="preserve"> PAGEREF _Toc193191074 \h </w:instrText>
        </w:r>
        <w:r w:rsidRPr="008320D6">
          <w:rPr>
            <w:noProof/>
            <w:webHidden/>
            <w:sz w:val="28"/>
            <w:szCs w:val="28"/>
          </w:rPr>
        </w:r>
        <w:r w:rsidRPr="008320D6">
          <w:rPr>
            <w:noProof/>
            <w:webHidden/>
            <w:sz w:val="28"/>
            <w:szCs w:val="28"/>
          </w:rPr>
          <w:fldChar w:fldCharType="separate"/>
        </w:r>
        <w:r w:rsidRPr="008320D6">
          <w:rPr>
            <w:noProof/>
            <w:webHidden/>
            <w:sz w:val="28"/>
            <w:szCs w:val="28"/>
          </w:rPr>
          <w:t>18</w:t>
        </w:r>
        <w:r w:rsidRPr="008320D6">
          <w:rPr>
            <w:noProof/>
            <w:webHidden/>
            <w:sz w:val="28"/>
            <w:szCs w:val="28"/>
          </w:rPr>
          <w:fldChar w:fldCharType="end"/>
        </w:r>
      </w:hyperlink>
    </w:p>
    <w:p w14:paraId="6FE4609C" w14:textId="509F17AA" w:rsidR="008320D6" w:rsidRDefault="008320D6" w:rsidP="008320D6">
      <w:pPr>
        <w:pStyle w:val="TOC3"/>
        <w:ind w:left="0"/>
        <w:rPr>
          <w:rFonts w:eastAsiaTheme="minorEastAsia" w:cstheme="minorBidi"/>
          <w:noProof/>
          <w:kern w:val="2"/>
          <w:szCs w:val="24"/>
          <w14:ligatures w14:val="standardContextual"/>
        </w:rPr>
      </w:pPr>
      <w:hyperlink w:anchor="_Toc193191075" w:history="1">
        <w:r w:rsidRPr="008320D6">
          <w:rPr>
            <w:rStyle w:val="Hyperlink"/>
            <w:rFonts w:eastAsia="Calibri"/>
            <w:noProof/>
            <w:sz w:val="28"/>
            <w:szCs w:val="28"/>
          </w:rPr>
          <w:t>Appendix D – FY 2024 State Activity Mandated Measures (SAMM) Report</w:t>
        </w:r>
        <w:r w:rsidRPr="008320D6">
          <w:rPr>
            <w:noProof/>
            <w:webHidden/>
            <w:sz w:val="28"/>
            <w:szCs w:val="28"/>
          </w:rPr>
          <w:tab/>
        </w:r>
        <w:r w:rsidRPr="008320D6">
          <w:rPr>
            <w:noProof/>
            <w:webHidden/>
            <w:sz w:val="28"/>
            <w:szCs w:val="28"/>
          </w:rPr>
          <w:fldChar w:fldCharType="begin"/>
        </w:r>
        <w:r w:rsidRPr="008320D6">
          <w:rPr>
            <w:noProof/>
            <w:webHidden/>
            <w:sz w:val="28"/>
            <w:szCs w:val="28"/>
          </w:rPr>
          <w:instrText xml:space="preserve"> PAGEREF _Toc193191075 \h </w:instrText>
        </w:r>
        <w:r w:rsidRPr="008320D6">
          <w:rPr>
            <w:noProof/>
            <w:webHidden/>
            <w:sz w:val="28"/>
            <w:szCs w:val="28"/>
          </w:rPr>
        </w:r>
        <w:r w:rsidRPr="008320D6">
          <w:rPr>
            <w:noProof/>
            <w:webHidden/>
            <w:sz w:val="28"/>
            <w:szCs w:val="28"/>
          </w:rPr>
          <w:fldChar w:fldCharType="separate"/>
        </w:r>
        <w:r w:rsidRPr="008320D6">
          <w:rPr>
            <w:noProof/>
            <w:webHidden/>
            <w:sz w:val="28"/>
            <w:szCs w:val="28"/>
          </w:rPr>
          <w:t>22</w:t>
        </w:r>
        <w:r w:rsidRPr="008320D6">
          <w:rPr>
            <w:noProof/>
            <w:webHidden/>
            <w:sz w:val="28"/>
            <w:szCs w:val="28"/>
          </w:rPr>
          <w:fldChar w:fldCharType="end"/>
        </w:r>
      </w:hyperlink>
    </w:p>
    <w:p w14:paraId="2A952C03" w14:textId="275B29DF" w:rsidR="00B823A3" w:rsidRPr="00EE48C7" w:rsidRDefault="000F63C1" w:rsidP="000F63C1">
      <w:pPr>
        <w:rPr>
          <w:sz w:val="28"/>
          <w:szCs w:val="28"/>
        </w:rPr>
      </w:pPr>
      <w:r w:rsidRPr="00EE48C7">
        <w:rPr>
          <w:sz w:val="28"/>
          <w:szCs w:val="28"/>
        </w:rPr>
        <w:fldChar w:fldCharType="end"/>
      </w:r>
      <w:r w:rsidR="00B823A3" w:rsidRPr="00EE48C7">
        <w:rPr>
          <w:sz w:val="28"/>
          <w:szCs w:val="28"/>
        </w:rPr>
        <w:br w:type="page"/>
      </w:r>
    </w:p>
    <w:p w14:paraId="57C8B837" w14:textId="1DC3F881" w:rsidR="000A134A" w:rsidRPr="001C1E47" w:rsidRDefault="000A134A" w:rsidP="00991DF7">
      <w:pPr>
        <w:pStyle w:val="Heading2"/>
      </w:pPr>
      <w:bookmarkStart w:id="3" w:name="_Toc338764303"/>
      <w:bookmarkStart w:id="4" w:name="_Toc118900170"/>
      <w:bookmarkStart w:id="5" w:name="_Toc118905009"/>
      <w:bookmarkStart w:id="6" w:name="_Toc193191066"/>
      <w:r w:rsidRPr="001C1E47">
        <w:t>Executive Summary</w:t>
      </w:r>
      <w:bookmarkEnd w:id="3"/>
      <w:bookmarkEnd w:id="4"/>
      <w:bookmarkEnd w:id="5"/>
      <w:bookmarkEnd w:id="6"/>
    </w:p>
    <w:p w14:paraId="4A4FF058" w14:textId="77777777" w:rsidR="000A134A" w:rsidRPr="001C1E47" w:rsidRDefault="000A134A" w:rsidP="00783189">
      <w:pPr>
        <w:widowControl/>
        <w:autoSpaceDE/>
        <w:autoSpaceDN/>
        <w:adjustRightInd/>
        <w:rPr>
          <w:rFonts w:cs="Calibri"/>
          <w:b/>
        </w:rPr>
      </w:pPr>
    </w:p>
    <w:p w14:paraId="39F0F883" w14:textId="67641ACC" w:rsidR="00077D1C" w:rsidRPr="000C1C52" w:rsidRDefault="7867A60B" w:rsidP="674FF59B">
      <w:pPr>
        <w:autoSpaceDE/>
        <w:autoSpaceDN/>
        <w:adjustRightInd/>
        <w:rPr>
          <w:rFonts w:eastAsia="Calibri" w:cs="Calibri"/>
        </w:rPr>
      </w:pPr>
      <w:r w:rsidRPr="674FF59B">
        <w:rPr>
          <w:rFonts w:eastAsia="Calibri" w:cs="Calibri"/>
          <w:color w:val="000000" w:themeColor="text1"/>
        </w:rPr>
        <w:t xml:space="preserve">The purpose of this report is to assess the activities of </w:t>
      </w:r>
      <w:r w:rsidR="00083FD1">
        <w:rPr>
          <w:rFonts w:eastAsia="Calibri" w:cs="Calibri"/>
          <w:color w:val="000000" w:themeColor="text1"/>
        </w:rPr>
        <w:t xml:space="preserve">the </w:t>
      </w:r>
      <w:r w:rsidR="0025757C">
        <w:rPr>
          <w:rFonts w:eastAsia="Calibri" w:cs="Calibri"/>
          <w:color w:val="000000" w:themeColor="text1"/>
        </w:rPr>
        <w:t>Washington</w:t>
      </w:r>
      <w:r w:rsidR="0025757C" w:rsidRPr="674FF59B">
        <w:rPr>
          <w:rFonts w:eastAsia="Calibri" w:cs="Calibri"/>
          <w:color w:val="000000" w:themeColor="text1"/>
        </w:rPr>
        <w:t xml:space="preserve"> </w:t>
      </w:r>
      <w:r w:rsidRPr="674FF59B">
        <w:rPr>
          <w:rFonts w:eastAsia="Calibri" w:cs="Calibri"/>
          <w:color w:val="000000" w:themeColor="text1"/>
        </w:rPr>
        <w:t xml:space="preserve">Division </w:t>
      </w:r>
      <w:r w:rsidR="00B004F9">
        <w:rPr>
          <w:rFonts w:eastAsia="Calibri" w:cs="Calibri"/>
          <w:color w:val="000000" w:themeColor="text1"/>
        </w:rPr>
        <w:t>of Occupational Safety and Health (DOSH)</w:t>
      </w:r>
      <w:r w:rsidRPr="674FF59B">
        <w:rPr>
          <w:rFonts w:eastAsia="Calibri" w:cs="Calibri"/>
          <w:color w:val="000000" w:themeColor="text1"/>
        </w:rPr>
        <w:t xml:space="preserve"> for Fiscal Year (FY) 2024 regarding activities mandated by the Occupational Safety and Health Administration (OSHA).  In addition, this report gauges the State Plan’s progress in resolving any outstanding findings and observations from the previous FY 2023 Comprehensive Federal Annual Monitoring Evaluation (FAME) Report.</w:t>
      </w:r>
    </w:p>
    <w:p w14:paraId="5AEECF6C" w14:textId="4BA358F1" w:rsidR="00077D1C" w:rsidRPr="000C1C52" w:rsidRDefault="00077D1C" w:rsidP="00C42DD2">
      <w:pPr>
        <w:widowControl/>
        <w:autoSpaceDE/>
        <w:autoSpaceDN/>
        <w:adjustRightInd/>
        <w:rPr>
          <w:rFonts w:cs="Calibri"/>
          <w:iCs/>
        </w:rPr>
      </w:pPr>
    </w:p>
    <w:p w14:paraId="3C068AF6" w14:textId="5BA8BF85" w:rsidR="005A3BC0" w:rsidRDefault="009A1EE3" w:rsidP="674FF59B">
      <w:pPr>
        <w:widowControl/>
        <w:rPr>
          <w:rFonts w:cs="Calibri"/>
        </w:rPr>
      </w:pPr>
      <w:r>
        <w:rPr>
          <w:rFonts w:cs="Calibri"/>
        </w:rPr>
        <w:t>The State Plan</w:t>
      </w:r>
      <w:r w:rsidR="00AB6DEC">
        <w:rPr>
          <w:rFonts w:cs="Calibri"/>
        </w:rPr>
        <w:t xml:space="preserve"> continued to maintain a high level of program performance during the review period. </w:t>
      </w:r>
      <w:r w:rsidR="004812F0">
        <w:rPr>
          <w:rFonts w:cs="Calibri"/>
        </w:rPr>
        <w:t xml:space="preserve"> </w:t>
      </w:r>
      <w:r>
        <w:rPr>
          <w:rFonts w:eastAsia="Calibri" w:cs="Calibri"/>
        </w:rPr>
        <w:t xml:space="preserve">Washington </w:t>
      </w:r>
      <w:r w:rsidR="004812F0" w:rsidRPr="674FF59B">
        <w:rPr>
          <w:rFonts w:eastAsia="Calibri" w:cs="Calibri"/>
        </w:rPr>
        <w:t>devote</w:t>
      </w:r>
      <w:r w:rsidR="004812F0">
        <w:rPr>
          <w:rFonts w:eastAsia="Calibri" w:cs="Calibri"/>
        </w:rPr>
        <w:t>d</w:t>
      </w:r>
      <w:r w:rsidR="004812F0" w:rsidRPr="674FF59B">
        <w:rPr>
          <w:rFonts w:eastAsia="Calibri" w:cs="Calibri"/>
        </w:rPr>
        <w:t xml:space="preserve"> resources to monitoring the most hazardous industries in </w:t>
      </w:r>
      <w:r w:rsidR="00DB4495">
        <w:rPr>
          <w:rFonts w:eastAsia="Calibri" w:cs="Calibri"/>
        </w:rPr>
        <w:t>the state</w:t>
      </w:r>
      <w:r w:rsidR="004812F0" w:rsidRPr="674FF59B">
        <w:rPr>
          <w:rFonts w:eastAsia="Calibri" w:cs="Calibri"/>
        </w:rPr>
        <w:t xml:space="preserve">, including agriculture, logging, construction, healthcare, and electrical utilities and telecommunications.  </w:t>
      </w:r>
      <w:r w:rsidR="51D9992A" w:rsidRPr="674FF59B">
        <w:rPr>
          <w:rFonts w:cs="Calibri"/>
        </w:rPr>
        <w:t xml:space="preserve">In FY 2024, </w:t>
      </w:r>
      <w:r w:rsidR="00B915F2">
        <w:rPr>
          <w:rFonts w:cs="Calibri"/>
        </w:rPr>
        <w:t>Washington</w:t>
      </w:r>
      <w:r w:rsidR="007C1E3B">
        <w:rPr>
          <w:rFonts w:cs="Calibri"/>
        </w:rPr>
        <w:t xml:space="preserve"> continued to have a lower fatality rate </w:t>
      </w:r>
      <w:r w:rsidR="00154568">
        <w:rPr>
          <w:rFonts w:cs="Calibri"/>
        </w:rPr>
        <w:t>at 2.7 per 100,000 full-time equivalent</w:t>
      </w:r>
      <w:r w:rsidR="00DB5063">
        <w:rPr>
          <w:rFonts w:cs="Calibri"/>
        </w:rPr>
        <w:t xml:space="preserve"> (FTE)</w:t>
      </w:r>
      <w:r w:rsidR="00154568">
        <w:rPr>
          <w:rFonts w:cs="Calibri"/>
        </w:rPr>
        <w:t xml:space="preserve"> workers, compared </w:t>
      </w:r>
      <w:r w:rsidR="007C1E3B">
        <w:rPr>
          <w:rFonts w:cs="Calibri"/>
        </w:rPr>
        <w:t>to the national average</w:t>
      </w:r>
      <w:r w:rsidR="00154568">
        <w:rPr>
          <w:rFonts w:cs="Calibri"/>
        </w:rPr>
        <w:t xml:space="preserve"> of 3.</w:t>
      </w:r>
      <w:r w:rsidR="00017915">
        <w:rPr>
          <w:rFonts w:cs="Calibri"/>
        </w:rPr>
        <w:t>5</w:t>
      </w:r>
      <w:r w:rsidR="007C1E3B">
        <w:rPr>
          <w:rFonts w:cs="Calibri"/>
        </w:rPr>
        <w:t xml:space="preserve">. </w:t>
      </w:r>
      <w:r w:rsidR="007A24B8">
        <w:rPr>
          <w:rFonts w:cs="Calibri"/>
        </w:rPr>
        <w:t xml:space="preserve"> </w:t>
      </w:r>
      <w:r w:rsidR="0009613B">
        <w:rPr>
          <w:rFonts w:cs="Calibri"/>
        </w:rPr>
        <w:t>Although staffing</w:t>
      </w:r>
      <w:r w:rsidR="00365452">
        <w:rPr>
          <w:rFonts w:cs="Calibri"/>
        </w:rPr>
        <w:t xml:space="preserve"> vacancies were unable to be filled</w:t>
      </w:r>
      <w:r w:rsidR="008B0DAE">
        <w:rPr>
          <w:rFonts w:cs="Calibri"/>
        </w:rPr>
        <w:t xml:space="preserve"> due to a hiring freeze</w:t>
      </w:r>
      <w:r w:rsidR="00365452">
        <w:rPr>
          <w:rFonts w:cs="Calibri"/>
        </w:rPr>
        <w:t xml:space="preserve">, </w:t>
      </w:r>
      <w:r w:rsidR="007A24B8">
        <w:rPr>
          <w:rFonts w:cs="Calibri"/>
        </w:rPr>
        <w:t>DOSH exceeded</w:t>
      </w:r>
      <w:r w:rsidR="004917E7">
        <w:rPr>
          <w:rFonts w:cs="Calibri"/>
        </w:rPr>
        <w:t xml:space="preserve"> its</w:t>
      </w:r>
      <w:r w:rsidR="007A24B8">
        <w:rPr>
          <w:rFonts w:cs="Calibri"/>
        </w:rPr>
        <w:t xml:space="preserve"> inspection </w:t>
      </w:r>
      <w:r w:rsidR="004917E7">
        <w:rPr>
          <w:rFonts w:cs="Calibri"/>
        </w:rPr>
        <w:t xml:space="preserve">goal of 5,100 </w:t>
      </w:r>
      <w:r w:rsidR="002B5E3B">
        <w:rPr>
          <w:rFonts w:cs="Calibri"/>
        </w:rPr>
        <w:t xml:space="preserve">and conducted 5,884 </w:t>
      </w:r>
      <w:r w:rsidR="00A440A8">
        <w:rPr>
          <w:rFonts w:cs="Calibri"/>
        </w:rPr>
        <w:t>(115</w:t>
      </w:r>
      <w:r w:rsidR="00A440A8" w:rsidRPr="519928FB">
        <w:rPr>
          <w:rFonts w:cs="Calibri"/>
        </w:rPr>
        <w:t>%)</w:t>
      </w:r>
      <w:r w:rsidR="0009613B" w:rsidRPr="519928FB">
        <w:rPr>
          <w:rFonts w:cs="Calibri"/>
        </w:rPr>
        <w:t>,</w:t>
      </w:r>
      <w:r w:rsidR="0009613B">
        <w:rPr>
          <w:rFonts w:cs="Calibri"/>
        </w:rPr>
        <w:t xml:space="preserve"> </w:t>
      </w:r>
      <w:r w:rsidR="00365452">
        <w:rPr>
          <w:rFonts w:cs="Calibri"/>
        </w:rPr>
        <w:t xml:space="preserve">which was </w:t>
      </w:r>
      <w:r w:rsidR="0009613B">
        <w:rPr>
          <w:rFonts w:cs="Calibri"/>
        </w:rPr>
        <w:t>an increase in the total from FY 2023</w:t>
      </w:r>
      <w:r w:rsidR="005A3BC0">
        <w:rPr>
          <w:rFonts w:cs="Calibri"/>
        </w:rPr>
        <w:t xml:space="preserve">.  </w:t>
      </w:r>
      <w:r w:rsidR="006D3CED">
        <w:rPr>
          <w:rFonts w:cs="Calibri"/>
        </w:rPr>
        <w:t>Additionally, the number of o</w:t>
      </w:r>
      <w:r w:rsidR="00AC6800">
        <w:rPr>
          <w:rFonts w:cs="Calibri"/>
        </w:rPr>
        <w:t xml:space="preserve">n-site consultation visits </w:t>
      </w:r>
      <w:r w:rsidR="00922E34">
        <w:rPr>
          <w:rFonts w:cs="Calibri"/>
        </w:rPr>
        <w:t xml:space="preserve">increased from </w:t>
      </w:r>
      <w:r w:rsidR="006D3CED">
        <w:rPr>
          <w:rFonts w:cs="Calibri"/>
        </w:rPr>
        <w:t xml:space="preserve">FY 2023, </w:t>
      </w:r>
      <w:r w:rsidR="00E950A3">
        <w:rPr>
          <w:rFonts w:cs="Calibri"/>
        </w:rPr>
        <w:t>but</w:t>
      </w:r>
      <w:r w:rsidR="006D3CED">
        <w:rPr>
          <w:rFonts w:cs="Calibri"/>
        </w:rPr>
        <w:t xml:space="preserve"> ultimately </w:t>
      </w:r>
      <w:r w:rsidR="00AC6800">
        <w:rPr>
          <w:rFonts w:cs="Calibri"/>
        </w:rPr>
        <w:t xml:space="preserve">fell short </w:t>
      </w:r>
      <w:r w:rsidR="006D3CED">
        <w:rPr>
          <w:rFonts w:cs="Calibri"/>
        </w:rPr>
        <w:t xml:space="preserve">of the goal of </w:t>
      </w:r>
      <w:r w:rsidR="00527B6E">
        <w:rPr>
          <w:rFonts w:cs="Calibri"/>
        </w:rPr>
        <w:t>2,750</w:t>
      </w:r>
      <w:r w:rsidR="00E16381">
        <w:rPr>
          <w:rFonts w:cs="Calibri"/>
        </w:rPr>
        <w:t xml:space="preserve"> with 2,241</w:t>
      </w:r>
      <w:r w:rsidR="00527B6E">
        <w:rPr>
          <w:rFonts w:cs="Calibri"/>
        </w:rPr>
        <w:t xml:space="preserve"> (82%) </w:t>
      </w:r>
      <w:r w:rsidR="00E16381">
        <w:rPr>
          <w:rFonts w:cs="Calibri"/>
        </w:rPr>
        <w:t>completed</w:t>
      </w:r>
      <w:r w:rsidR="00527B6E">
        <w:rPr>
          <w:rFonts w:cs="Calibri"/>
        </w:rPr>
        <w:t xml:space="preserve">. </w:t>
      </w:r>
      <w:r w:rsidR="00AA402F">
        <w:rPr>
          <w:rFonts w:cs="Calibri"/>
        </w:rPr>
        <w:t xml:space="preserve"> </w:t>
      </w:r>
      <w:r w:rsidR="0022625C" w:rsidRPr="674FF59B">
        <w:rPr>
          <w:rFonts w:cs="Calibri"/>
        </w:rPr>
        <w:t xml:space="preserve">A new </w:t>
      </w:r>
      <w:r w:rsidR="00FC4BCA">
        <w:rPr>
          <w:rFonts w:cs="Calibri"/>
        </w:rPr>
        <w:t xml:space="preserve">Washington </w:t>
      </w:r>
      <w:r w:rsidR="004E32A4">
        <w:rPr>
          <w:rFonts w:cs="Calibri"/>
        </w:rPr>
        <w:t>Industrial Safety and Health Act (</w:t>
      </w:r>
      <w:r w:rsidR="0022625C" w:rsidRPr="674FF59B">
        <w:rPr>
          <w:rFonts w:cs="Calibri"/>
        </w:rPr>
        <w:t>WISHA</w:t>
      </w:r>
      <w:r w:rsidR="004E32A4">
        <w:rPr>
          <w:rFonts w:cs="Calibri"/>
        </w:rPr>
        <w:t>)</w:t>
      </w:r>
      <w:r w:rsidR="004D56B4">
        <w:rPr>
          <w:rFonts w:cs="Calibri"/>
        </w:rPr>
        <w:t xml:space="preserve"> </w:t>
      </w:r>
      <w:r w:rsidR="0022625C" w:rsidRPr="674FF59B">
        <w:rPr>
          <w:rFonts w:cs="Calibri"/>
        </w:rPr>
        <w:t xml:space="preserve">10 </w:t>
      </w:r>
      <w:r w:rsidR="004D56B4">
        <w:rPr>
          <w:rFonts w:cs="Calibri"/>
        </w:rPr>
        <w:t>Agriculture T</w:t>
      </w:r>
      <w:r w:rsidR="0022625C" w:rsidRPr="674FF59B">
        <w:rPr>
          <w:rFonts w:cs="Calibri"/>
        </w:rPr>
        <w:t xml:space="preserve">raining of Trainers Certification program </w:t>
      </w:r>
      <w:r w:rsidR="004D56B4">
        <w:rPr>
          <w:rFonts w:cs="Calibri"/>
        </w:rPr>
        <w:t>was</w:t>
      </w:r>
      <w:r w:rsidR="0022625C" w:rsidRPr="674FF59B">
        <w:rPr>
          <w:rFonts w:cs="Calibri"/>
        </w:rPr>
        <w:t xml:space="preserve"> developed and implemented specifically for high school educators. </w:t>
      </w:r>
      <w:r w:rsidR="0022625C">
        <w:rPr>
          <w:rFonts w:cs="Calibri"/>
        </w:rPr>
        <w:t xml:space="preserve"> </w:t>
      </w:r>
    </w:p>
    <w:p w14:paraId="18F99164" w14:textId="77777777" w:rsidR="00C77FE9" w:rsidRDefault="00C77FE9" w:rsidP="674FF59B">
      <w:pPr>
        <w:widowControl/>
        <w:rPr>
          <w:rFonts w:cs="Calibri"/>
        </w:rPr>
      </w:pPr>
    </w:p>
    <w:p w14:paraId="017C2CE1" w14:textId="21BEBB30" w:rsidR="00B915F2" w:rsidRDefault="00E559AB" w:rsidP="674FF59B">
      <w:pPr>
        <w:widowControl/>
        <w:rPr>
          <w:rFonts w:cs="Calibri"/>
        </w:rPr>
      </w:pPr>
      <w:r>
        <w:rPr>
          <w:rFonts w:cs="Calibri"/>
        </w:rPr>
        <w:t xml:space="preserve">During the review period, </w:t>
      </w:r>
      <w:r w:rsidR="00B915F2">
        <w:rPr>
          <w:rFonts w:cs="Calibri"/>
        </w:rPr>
        <w:t xml:space="preserve">DOSH </w:t>
      </w:r>
      <w:r w:rsidR="00F754CF">
        <w:rPr>
          <w:rFonts w:cs="Calibri"/>
        </w:rPr>
        <w:t xml:space="preserve">adopted </w:t>
      </w:r>
      <w:r w:rsidR="00826A70">
        <w:rPr>
          <w:rFonts w:cs="Calibri"/>
        </w:rPr>
        <w:t>permanent rules to address exposures to hazardous particles in wildfire smoke</w:t>
      </w:r>
      <w:r w:rsidR="004A317C">
        <w:rPr>
          <w:rFonts w:cs="Calibri"/>
        </w:rPr>
        <w:t xml:space="preserve"> and temporary worker housing standards. </w:t>
      </w:r>
      <w:r w:rsidR="00E62D90">
        <w:rPr>
          <w:rFonts w:cs="Calibri"/>
        </w:rPr>
        <w:t xml:space="preserve"> </w:t>
      </w:r>
      <w:r>
        <w:rPr>
          <w:rFonts w:cs="Calibri"/>
        </w:rPr>
        <w:t xml:space="preserve">In addition, </w:t>
      </w:r>
      <w:r w:rsidR="00E62D90">
        <w:rPr>
          <w:rFonts w:cs="Calibri"/>
        </w:rPr>
        <w:t xml:space="preserve">Washington was </w:t>
      </w:r>
      <w:r w:rsidR="00076ADB">
        <w:rPr>
          <w:rFonts w:cs="Calibri"/>
        </w:rPr>
        <w:t xml:space="preserve">actively </w:t>
      </w:r>
      <w:r w:rsidR="00E62D90">
        <w:rPr>
          <w:rFonts w:cs="Calibri"/>
        </w:rPr>
        <w:t>working on rulemaking related to process safety management of highly hazardous chemicals related to petroleum refineries</w:t>
      </w:r>
      <w:r w:rsidR="00076ADB">
        <w:rPr>
          <w:rFonts w:cs="Calibri"/>
        </w:rPr>
        <w:t>;</w:t>
      </w:r>
      <w:r w:rsidR="00E62D90">
        <w:rPr>
          <w:rFonts w:cs="Calibri"/>
        </w:rPr>
        <w:t xml:space="preserve"> </w:t>
      </w:r>
      <w:r>
        <w:rPr>
          <w:rFonts w:cs="Calibri"/>
        </w:rPr>
        <w:t xml:space="preserve">a </w:t>
      </w:r>
      <w:r w:rsidR="00315FEE">
        <w:rPr>
          <w:rFonts w:cs="Calibri"/>
        </w:rPr>
        <w:t>certification program for fire-resistant material applicators</w:t>
      </w:r>
      <w:r w:rsidR="00076ADB">
        <w:rPr>
          <w:rFonts w:cs="Calibri"/>
        </w:rPr>
        <w:t xml:space="preserve">; cranes, rigging, and personnel lifting; </w:t>
      </w:r>
      <w:r w:rsidR="005D1C51">
        <w:rPr>
          <w:rFonts w:cs="Calibri"/>
        </w:rPr>
        <w:t xml:space="preserve">working conditions in adult entertainment establishments; </w:t>
      </w:r>
      <w:r w:rsidR="00C77FE9">
        <w:rPr>
          <w:rFonts w:cs="Calibri"/>
        </w:rPr>
        <w:t xml:space="preserve">sanitation conditions for construction workers; ergonomics; monetary penalties and appeals; trenching rescue and excavation; and infectious diseases. </w:t>
      </w:r>
    </w:p>
    <w:p w14:paraId="6638330C" w14:textId="0C8E3947" w:rsidR="674FF59B" w:rsidRDefault="674FF59B" w:rsidP="674FF59B">
      <w:pPr>
        <w:widowControl/>
        <w:rPr>
          <w:rFonts w:cs="Calibri"/>
        </w:rPr>
      </w:pPr>
    </w:p>
    <w:p w14:paraId="5F64FBDD" w14:textId="3462391D" w:rsidR="00054BB1" w:rsidRDefault="00B348F4" w:rsidP="00783189">
      <w:pPr>
        <w:widowControl/>
        <w:autoSpaceDE/>
        <w:autoSpaceDN/>
        <w:adjustRightInd/>
      </w:pPr>
      <w:r>
        <w:t>T</w:t>
      </w:r>
      <w:r w:rsidR="003E6BDC" w:rsidRPr="003E6BDC">
        <w:t xml:space="preserve">he </w:t>
      </w:r>
      <w:r w:rsidR="003E6BDC">
        <w:t>Washington</w:t>
      </w:r>
      <w:r w:rsidR="003E6BDC" w:rsidRPr="003E6BDC">
        <w:t xml:space="preserve"> State Plan made progress to address </w:t>
      </w:r>
      <w:r w:rsidR="003E6BDC">
        <w:t>one</w:t>
      </w:r>
      <w:r w:rsidR="003E6BDC" w:rsidRPr="003E6BDC">
        <w:t xml:space="preserve"> finding and </w:t>
      </w:r>
      <w:r w:rsidR="003E6BDC">
        <w:t>10</w:t>
      </w:r>
      <w:r w:rsidR="003E6BDC" w:rsidRPr="003E6BDC">
        <w:t xml:space="preserve"> observations from the FY 2023 Comprehensive FAME </w:t>
      </w:r>
      <w:r w:rsidR="005544E8">
        <w:t>R</w:t>
      </w:r>
      <w:r w:rsidR="003E6BDC" w:rsidRPr="003E6BDC">
        <w:t xml:space="preserve">eport.  </w:t>
      </w:r>
      <w:r w:rsidR="00D65542">
        <w:t xml:space="preserve">As a result, </w:t>
      </w:r>
      <w:r w:rsidR="00914FAE">
        <w:t xml:space="preserve">two </w:t>
      </w:r>
      <w:r w:rsidR="00EA035C">
        <w:t>observation</w:t>
      </w:r>
      <w:r w:rsidR="009C01E4">
        <w:t>s</w:t>
      </w:r>
      <w:r w:rsidR="00EA035C">
        <w:t xml:space="preserve"> </w:t>
      </w:r>
      <w:r w:rsidR="00914FAE">
        <w:t xml:space="preserve">were </w:t>
      </w:r>
      <w:r w:rsidR="00EA035C">
        <w:t>closed; h</w:t>
      </w:r>
      <w:r w:rsidR="003E6BDC">
        <w:t>owever</w:t>
      </w:r>
      <w:r w:rsidR="004C22E3">
        <w:t xml:space="preserve">, </w:t>
      </w:r>
      <w:r w:rsidR="00EA035C">
        <w:t xml:space="preserve">one finding and </w:t>
      </w:r>
      <w:r w:rsidR="00914FAE">
        <w:t xml:space="preserve">eight </w:t>
      </w:r>
      <w:r w:rsidR="00EA035C">
        <w:t xml:space="preserve">observations </w:t>
      </w:r>
      <w:r w:rsidR="00CD3773">
        <w:t xml:space="preserve">will be continued into the next review period.  There were no new findings or observations that resulted </w:t>
      </w:r>
      <w:r w:rsidR="301F48C4">
        <w:t xml:space="preserve">from </w:t>
      </w:r>
      <w:r w:rsidR="00CD3773">
        <w:t xml:space="preserve">this review period. </w:t>
      </w:r>
    </w:p>
    <w:p w14:paraId="18EF48AE" w14:textId="77777777" w:rsidR="003E6BDC" w:rsidRPr="001C1E47" w:rsidRDefault="003E6BDC" w:rsidP="00783189">
      <w:pPr>
        <w:widowControl/>
        <w:autoSpaceDE/>
        <w:autoSpaceDN/>
        <w:adjustRightInd/>
        <w:rPr>
          <w:rFonts w:cs="Calibri"/>
        </w:rPr>
      </w:pPr>
    </w:p>
    <w:p w14:paraId="67E95E6F" w14:textId="6755D6C3" w:rsidR="000A134A" w:rsidRPr="001C1E47" w:rsidRDefault="001E71BA" w:rsidP="00991DF7">
      <w:pPr>
        <w:pStyle w:val="Heading2"/>
      </w:pPr>
      <w:bookmarkStart w:id="7" w:name="_Toc118900171"/>
      <w:bookmarkStart w:id="8" w:name="_Toc118905010"/>
      <w:bookmarkStart w:id="9" w:name="_Toc193191067"/>
      <w:r w:rsidRPr="001C1E47">
        <w:t>State Plan Background</w:t>
      </w:r>
      <w:bookmarkEnd w:id="7"/>
      <w:bookmarkEnd w:id="8"/>
      <w:bookmarkEnd w:id="9"/>
    </w:p>
    <w:p w14:paraId="7ED8AA2D" w14:textId="77777777" w:rsidR="000A134A" w:rsidRPr="00CB389D" w:rsidRDefault="000A134A" w:rsidP="00783189">
      <w:pPr>
        <w:widowControl/>
        <w:autoSpaceDE/>
        <w:autoSpaceDN/>
        <w:adjustRightInd/>
        <w:rPr>
          <w:rFonts w:cs="Calibri"/>
          <w:iCs/>
        </w:rPr>
      </w:pPr>
    </w:p>
    <w:p w14:paraId="0C1781C6" w14:textId="5391B53A" w:rsidR="006A497F" w:rsidRPr="006A497F" w:rsidRDefault="006A497F" w:rsidP="006A497F">
      <w:pPr>
        <w:widowControl/>
        <w:autoSpaceDE/>
        <w:autoSpaceDN/>
        <w:adjustRightInd/>
        <w:rPr>
          <w:rFonts w:cs="Calibri"/>
          <w:iCs/>
        </w:rPr>
      </w:pPr>
      <w:r w:rsidRPr="006A497F">
        <w:rPr>
          <w:rFonts w:cs="Calibri"/>
          <w:iCs/>
        </w:rPr>
        <w:t xml:space="preserve">The State of Washington, under an agreement with OSHA, operates an occupational safety and health program through its Department of </w:t>
      </w:r>
      <w:r w:rsidR="0025757C">
        <w:rPr>
          <w:rFonts w:cs="Calibri"/>
          <w:iCs/>
        </w:rPr>
        <w:t>Labor and Industries (</w:t>
      </w:r>
      <w:r w:rsidRPr="006A497F">
        <w:rPr>
          <w:rFonts w:cs="Calibri"/>
          <w:iCs/>
        </w:rPr>
        <w:t>L</w:t>
      </w:r>
      <w:r w:rsidR="00FD0917">
        <w:rPr>
          <w:rFonts w:cs="Calibri"/>
          <w:iCs/>
        </w:rPr>
        <w:t>&amp;</w:t>
      </w:r>
      <w:r w:rsidRPr="006A497F">
        <w:rPr>
          <w:rFonts w:cs="Calibri"/>
          <w:iCs/>
        </w:rPr>
        <w:t>I</w:t>
      </w:r>
      <w:r w:rsidR="0025757C">
        <w:rPr>
          <w:rFonts w:cs="Calibri"/>
          <w:iCs/>
        </w:rPr>
        <w:t>)</w:t>
      </w:r>
      <w:r w:rsidRPr="006A497F">
        <w:rPr>
          <w:rFonts w:cs="Calibri"/>
          <w:iCs/>
        </w:rPr>
        <w:t xml:space="preserve">, DOSH. </w:t>
      </w:r>
      <w:r w:rsidR="00FD0917">
        <w:rPr>
          <w:rFonts w:cs="Calibri"/>
          <w:iCs/>
        </w:rPr>
        <w:t xml:space="preserve"> </w:t>
      </w:r>
      <w:r w:rsidRPr="006A497F">
        <w:rPr>
          <w:rFonts w:cs="Calibri"/>
          <w:iCs/>
        </w:rPr>
        <w:t>The Revised Code of Washington (RCW), Title 49, Chapter 49.17, Washington Industrial Safety and Health Act, was established in accordance with Section 18 of the Occupational Safety and Health</w:t>
      </w:r>
      <w:r w:rsidR="008D47D2">
        <w:rPr>
          <w:rFonts w:cs="Calibri"/>
          <w:iCs/>
        </w:rPr>
        <w:t xml:space="preserve"> (OSH)</w:t>
      </w:r>
      <w:r w:rsidRPr="006A497F">
        <w:rPr>
          <w:rFonts w:cs="Calibri"/>
          <w:iCs/>
        </w:rPr>
        <w:t xml:space="preserve"> Act of 1970 and took effect in 1973. </w:t>
      </w:r>
      <w:r w:rsidR="008D7D61">
        <w:rPr>
          <w:rFonts w:cs="Calibri"/>
          <w:iCs/>
        </w:rPr>
        <w:t xml:space="preserve"> </w:t>
      </w:r>
      <w:r w:rsidRPr="006A497F">
        <w:rPr>
          <w:rFonts w:cs="Calibri"/>
          <w:iCs/>
        </w:rPr>
        <w:t xml:space="preserve">The Secretary of Labor certified that the State Plan had completed the required developmental steps in 1982. </w:t>
      </w:r>
      <w:r w:rsidR="008D7D61">
        <w:rPr>
          <w:rFonts w:cs="Calibri"/>
          <w:iCs/>
        </w:rPr>
        <w:t xml:space="preserve"> </w:t>
      </w:r>
      <w:r w:rsidRPr="006A497F">
        <w:rPr>
          <w:rFonts w:cs="Calibri"/>
          <w:iCs/>
        </w:rPr>
        <w:t>The Washington State Plan has not sought 18(e) final approval.</w:t>
      </w:r>
    </w:p>
    <w:p w14:paraId="7CDA41B9" w14:textId="77777777" w:rsidR="006A497F" w:rsidRPr="006A497F" w:rsidRDefault="006A497F" w:rsidP="006A497F">
      <w:pPr>
        <w:widowControl/>
        <w:autoSpaceDE/>
        <w:autoSpaceDN/>
        <w:adjustRightInd/>
        <w:rPr>
          <w:rFonts w:cs="Calibri"/>
          <w:iCs/>
        </w:rPr>
      </w:pPr>
    </w:p>
    <w:p w14:paraId="5C184A45" w14:textId="711D003C" w:rsidR="006A497F" w:rsidRPr="006A497F" w:rsidRDefault="006A497F" w:rsidP="006A497F">
      <w:pPr>
        <w:widowControl/>
        <w:autoSpaceDE/>
        <w:autoSpaceDN/>
        <w:adjustRightInd/>
        <w:rPr>
          <w:rFonts w:cs="Calibri"/>
          <w:iCs/>
        </w:rPr>
      </w:pPr>
      <w:r w:rsidRPr="006A497F">
        <w:rPr>
          <w:rFonts w:cs="Calibri"/>
          <w:iCs/>
        </w:rPr>
        <w:t>The Director of the Washington State Department of</w:t>
      </w:r>
      <w:r w:rsidR="00203C6E">
        <w:rPr>
          <w:rFonts w:cs="Calibri"/>
          <w:iCs/>
        </w:rPr>
        <w:t xml:space="preserve"> L&amp;I</w:t>
      </w:r>
      <w:r w:rsidRPr="006A497F">
        <w:rPr>
          <w:rFonts w:cs="Calibri"/>
          <w:iCs/>
        </w:rPr>
        <w:t xml:space="preserve">, Joel Sacks, was appointed by the </w:t>
      </w:r>
      <w:r w:rsidR="002A4BF7">
        <w:rPr>
          <w:rFonts w:cs="Calibri"/>
          <w:iCs/>
        </w:rPr>
        <w:t>G</w:t>
      </w:r>
      <w:r w:rsidR="002A4BF7" w:rsidRPr="006A497F">
        <w:rPr>
          <w:rFonts w:cs="Calibri"/>
          <w:iCs/>
        </w:rPr>
        <w:t>overnor</w:t>
      </w:r>
      <w:r w:rsidRPr="006A497F">
        <w:rPr>
          <w:rFonts w:cs="Calibri"/>
          <w:iCs/>
        </w:rPr>
        <w:t xml:space="preserve">, and serves as the State Plan </w:t>
      </w:r>
      <w:r w:rsidR="006E6F6E">
        <w:rPr>
          <w:rFonts w:cs="Calibri"/>
          <w:iCs/>
        </w:rPr>
        <w:t>D</w:t>
      </w:r>
      <w:r w:rsidRPr="006A497F">
        <w:rPr>
          <w:rFonts w:cs="Calibri"/>
          <w:iCs/>
        </w:rPr>
        <w:t xml:space="preserve">esignee. </w:t>
      </w:r>
      <w:r w:rsidR="008D7D61">
        <w:rPr>
          <w:rFonts w:cs="Calibri"/>
          <w:iCs/>
        </w:rPr>
        <w:t xml:space="preserve"> </w:t>
      </w:r>
      <w:r w:rsidRPr="006A497F">
        <w:rPr>
          <w:rFonts w:cs="Calibri"/>
          <w:iCs/>
        </w:rPr>
        <w:t xml:space="preserve">The L&amp;I Assistant Director, </w:t>
      </w:r>
      <w:r>
        <w:rPr>
          <w:rFonts w:cs="Calibri"/>
          <w:iCs/>
        </w:rPr>
        <w:t xml:space="preserve">Craig Blackwood, is </w:t>
      </w:r>
      <w:r w:rsidRPr="006A497F">
        <w:rPr>
          <w:rFonts w:cs="Calibri"/>
          <w:iCs/>
        </w:rPr>
        <w:t>designated by statute under Chapter 43.22.040 RCW as the Supervisor of Industrial Safety and Healt</w:t>
      </w:r>
      <w:r w:rsidR="00895EB0">
        <w:rPr>
          <w:rFonts w:cs="Calibri"/>
          <w:iCs/>
        </w:rPr>
        <w:t>h</w:t>
      </w:r>
      <w:r w:rsidR="00203C6E">
        <w:rPr>
          <w:rFonts w:cs="Calibri"/>
          <w:iCs/>
        </w:rPr>
        <w:t xml:space="preserve"> overseeing</w:t>
      </w:r>
      <w:r w:rsidR="00895EB0">
        <w:rPr>
          <w:rFonts w:cs="Calibri"/>
          <w:iCs/>
        </w:rPr>
        <w:t xml:space="preserve"> </w:t>
      </w:r>
      <w:r w:rsidRPr="006A497F">
        <w:rPr>
          <w:rFonts w:cs="Calibri"/>
          <w:iCs/>
        </w:rPr>
        <w:t xml:space="preserve">DOSH. </w:t>
      </w:r>
      <w:r w:rsidR="008D7D61">
        <w:rPr>
          <w:rFonts w:cs="Calibri"/>
          <w:iCs/>
        </w:rPr>
        <w:t xml:space="preserve"> </w:t>
      </w:r>
      <w:r w:rsidRPr="006A497F">
        <w:rPr>
          <w:rFonts w:cs="Calibri"/>
          <w:iCs/>
        </w:rPr>
        <w:t>The Assistant Director has authority and responsibility for administration of Washington’s occupational safety and health program and directs both central office and regional operations.</w:t>
      </w:r>
    </w:p>
    <w:p w14:paraId="2AE620D8" w14:textId="77777777" w:rsidR="006A497F" w:rsidRPr="006A497F" w:rsidRDefault="006A497F" w:rsidP="006A497F">
      <w:pPr>
        <w:widowControl/>
        <w:autoSpaceDE/>
        <w:autoSpaceDN/>
        <w:adjustRightInd/>
        <w:rPr>
          <w:rFonts w:cs="Calibri"/>
          <w:iCs/>
        </w:rPr>
      </w:pPr>
    </w:p>
    <w:p w14:paraId="5986C7E6" w14:textId="7C81819B" w:rsidR="006A497F" w:rsidRPr="006A497F" w:rsidRDefault="00484F51" w:rsidP="006A497F">
      <w:pPr>
        <w:widowControl/>
        <w:autoSpaceDE/>
        <w:autoSpaceDN/>
        <w:adjustRightInd/>
        <w:rPr>
          <w:rFonts w:cs="Calibri"/>
          <w:iCs/>
        </w:rPr>
      </w:pPr>
      <w:r>
        <w:rPr>
          <w:rFonts w:cs="Calibri"/>
          <w:iCs/>
        </w:rPr>
        <w:t>DOSH</w:t>
      </w:r>
      <w:r w:rsidR="006A497F" w:rsidRPr="006A497F">
        <w:rPr>
          <w:rFonts w:cs="Calibri"/>
          <w:iCs/>
        </w:rPr>
        <w:t xml:space="preserve"> establishes policy</w:t>
      </w:r>
      <w:r w:rsidR="00203C6E">
        <w:rPr>
          <w:rFonts w:cs="Calibri"/>
          <w:iCs/>
        </w:rPr>
        <w:t>;</w:t>
      </w:r>
      <w:r w:rsidR="006A497F" w:rsidRPr="006A497F">
        <w:rPr>
          <w:rFonts w:cs="Calibri"/>
          <w:iCs/>
        </w:rPr>
        <w:t xml:space="preserve"> provides technical guidance</w:t>
      </w:r>
      <w:r w:rsidR="00203C6E">
        <w:rPr>
          <w:rFonts w:cs="Calibri"/>
          <w:iCs/>
        </w:rPr>
        <w:t>;</w:t>
      </w:r>
      <w:r w:rsidR="006A497F" w:rsidRPr="006A497F">
        <w:rPr>
          <w:rFonts w:cs="Calibri"/>
          <w:iCs/>
        </w:rPr>
        <w:t xml:space="preserve"> writes standards</w:t>
      </w:r>
      <w:r w:rsidR="00203C6E">
        <w:rPr>
          <w:rFonts w:cs="Calibri"/>
          <w:iCs/>
        </w:rPr>
        <w:t>;</w:t>
      </w:r>
      <w:r w:rsidR="006A497F" w:rsidRPr="006A497F">
        <w:rPr>
          <w:rFonts w:cs="Calibri"/>
          <w:iCs/>
        </w:rPr>
        <w:t xml:space="preserve"> develops and provides internal and external training</w:t>
      </w:r>
      <w:r w:rsidR="00203C6E">
        <w:rPr>
          <w:rFonts w:cs="Calibri"/>
          <w:iCs/>
        </w:rPr>
        <w:t>;</w:t>
      </w:r>
      <w:r w:rsidR="006A497F" w:rsidRPr="006A497F">
        <w:rPr>
          <w:rFonts w:cs="Calibri"/>
          <w:iCs/>
        </w:rPr>
        <w:t xml:space="preserve"> monitors and evaluates programs</w:t>
      </w:r>
      <w:r w:rsidR="00203C6E">
        <w:rPr>
          <w:rFonts w:cs="Calibri"/>
          <w:iCs/>
        </w:rPr>
        <w:t>;</w:t>
      </w:r>
      <w:r w:rsidR="006A497F" w:rsidRPr="006A497F">
        <w:rPr>
          <w:rFonts w:cs="Calibri"/>
          <w:iCs/>
        </w:rPr>
        <w:t xml:space="preserve"> conducts inspections</w:t>
      </w:r>
      <w:r w:rsidR="00203C6E">
        <w:rPr>
          <w:rFonts w:cs="Calibri"/>
          <w:iCs/>
        </w:rPr>
        <w:t>;</w:t>
      </w:r>
      <w:r w:rsidR="006A497F" w:rsidRPr="006A497F">
        <w:rPr>
          <w:rFonts w:cs="Calibri"/>
          <w:iCs/>
        </w:rPr>
        <w:t xml:space="preserve"> and provides consultation services in addition to </w:t>
      </w:r>
      <w:r w:rsidR="00203C6E">
        <w:rPr>
          <w:rFonts w:cs="Calibri"/>
          <w:iCs/>
        </w:rPr>
        <w:t xml:space="preserve">conducting </w:t>
      </w:r>
      <w:r w:rsidR="006A497F" w:rsidRPr="006A497F">
        <w:rPr>
          <w:rFonts w:cs="Calibri"/>
          <w:iCs/>
        </w:rPr>
        <w:t>public safety activities</w:t>
      </w:r>
      <w:r w:rsidR="00203C6E">
        <w:rPr>
          <w:rFonts w:cs="Calibri"/>
          <w:iCs/>
        </w:rPr>
        <w:t xml:space="preserve"> not related to occupational safety and health concerns</w:t>
      </w:r>
      <w:r w:rsidR="006A497F" w:rsidRPr="006A497F">
        <w:rPr>
          <w:rFonts w:cs="Calibri"/>
          <w:iCs/>
        </w:rPr>
        <w:t xml:space="preserve">. </w:t>
      </w:r>
      <w:r w:rsidR="008D7D61">
        <w:rPr>
          <w:rFonts w:cs="Calibri"/>
          <w:iCs/>
        </w:rPr>
        <w:t xml:space="preserve"> </w:t>
      </w:r>
      <w:r w:rsidR="000E757B">
        <w:rPr>
          <w:rFonts w:cs="Calibri"/>
          <w:iCs/>
        </w:rPr>
        <w:t>DOSH</w:t>
      </w:r>
      <w:r w:rsidR="00585431">
        <w:rPr>
          <w:rFonts w:cs="Calibri"/>
          <w:iCs/>
        </w:rPr>
        <w:t xml:space="preserve"> includes its </w:t>
      </w:r>
      <w:r w:rsidR="000E757B">
        <w:rPr>
          <w:rFonts w:cs="Calibri"/>
          <w:iCs/>
        </w:rPr>
        <w:t xml:space="preserve">consultation </w:t>
      </w:r>
      <w:r w:rsidR="00585431">
        <w:rPr>
          <w:rFonts w:cs="Calibri"/>
          <w:iCs/>
        </w:rPr>
        <w:t>program services</w:t>
      </w:r>
      <w:r w:rsidR="000E757B">
        <w:rPr>
          <w:rFonts w:cs="Calibri"/>
          <w:iCs/>
        </w:rPr>
        <w:t xml:space="preserve"> </w:t>
      </w:r>
      <w:r w:rsidR="007A37A8">
        <w:rPr>
          <w:rFonts w:cs="Calibri"/>
          <w:iCs/>
        </w:rPr>
        <w:t>for both private and state and local government workplaces</w:t>
      </w:r>
      <w:r w:rsidR="00585431">
        <w:rPr>
          <w:rFonts w:cs="Calibri"/>
          <w:iCs/>
        </w:rPr>
        <w:t xml:space="preserve"> under a 23(g) grant agreement and </w:t>
      </w:r>
      <w:r w:rsidR="009D320A">
        <w:rPr>
          <w:rFonts w:cs="Calibri"/>
          <w:iCs/>
        </w:rPr>
        <w:t xml:space="preserve">uses </w:t>
      </w:r>
      <w:r w:rsidR="006A497F" w:rsidRPr="006A497F">
        <w:rPr>
          <w:rFonts w:cs="Calibri"/>
          <w:iCs/>
        </w:rPr>
        <w:t>100% state fund</w:t>
      </w:r>
      <w:r w:rsidR="0000070A">
        <w:rPr>
          <w:rFonts w:cs="Calibri"/>
          <w:iCs/>
        </w:rPr>
        <w:t>s</w:t>
      </w:r>
      <w:r w:rsidR="009D320A">
        <w:rPr>
          <w:rFonts w:cs="Calibri"/>
          <w:iCs/>
        </w:rPr>
        <w:t xml:space="preserve"> for these activities.  T</w:t>
      </w:r>
      <w:r w:rsidR="0000070A">
        <w:rPr>
          <w:rFonts w:cs="Calibri"/>
          <w:iCs/>
        </w:rPr>
        <w:t xml:space="preserve">here </w:t>
      </w:r>
      <w:r w:rsidR="006A497F" w:rsidRPr="006A497F">
        <w:rPr>
          <w:rFonts w:cs="Calibri"/>
          <w:iCs/>
        </w:rPr>
        <w:t xml:space="preserve">are no consultation services under a Section 21(d) cooperative agreement. </w:t>
      </w:r>
    </w:p>
    <w:p w14:paraId="22AF9CB2" w14:textId="77777777" w:rsidR="006A497F" w:rsidRDefault="006A497F" w:rsidP="006A497F">
      <w:pPr>
        <w:widowControl/>
        <w:autoSpaceDE/>
        <w:autoSpaceDN/>
        <w:adjustRightInd/>
        <w:rPr>
          <w:rFonts w:cs="Calibri"/>
          <w:iCs/>
        </w:rPr>
      </w:pPr>
    </w:p>
    <w:p w14:paraId="30E7C6BF" w14:textId="31E8DF2E" w:rsidR="00484F51" w:rsidRPr="00382E82" w:rsidRDefault="00484F51" w:rsidP="00484F51">
      <w:pPr>
        <w:widowControl/>
        <w:autoSpaceDE/>
        <w:autoSpaceDN/>
        <w:adjustRightInd/>
        <w:rPr>
          <w:rFonts w:cs="Calibri"/>
          <w:iCs/>
        </w:rPr>
      </w:pPr>
      <w:r>
        <w:rPr>
          <w:rFonts w:cs="Calibri"/>
          <w:iCs/>
        </w:rPr>
        <w:t xml:space="preserve">The Washington State Plan has adopted </w:t>
      </w:r>
      <w:r w:rsidRPr="006A497F">
        <w:rPr>
          <w:rFonts w:cs="Calibri"/>
          <w:iCs/>
        </w:rPr>
        <w:t xml:space="preserve">several safety and health standards that differ from the OSHA counterpart. </w:t>
      </w:r>
      <w:r>
        <w:rPr>
          <w:rFonts w:cs="Calibri"/>
          <w:iCs/>
        </w:rPr>
        <w:t xml:space="preserve"> </w:t>
      </w:r>
      <w:r w:rsidRPr="006A497F">
        <w:rPr>
          <w:rFonts w:cs="Calibri"/>
          <w:iCs/>
        </w:rPr>
        <w:t>Examples include rules for crane safety, respiratory protection, aerial lifts, and agriculture.</w:t>
      </w:r>
      <w:r>
        <w:rPr>
          <w:rFonts w:cs="Calibri"/>
          <w:iCs/>
        </w:rPr>
        <w:t xml:space="preserve"> </w:t>
      </w:r>
      <w:r w:rsidRPr="006A497F">
        <w:rPr>
          <w:rFonts w:cs="Calibri"/>
          <w:iCs/>
        </w:rPr>
        <w:t xml:space="preserve"> In addition, </w:t>
      </w:r>
      <w:r>
        <w:rPr>
          <w:rFonts w:cs="Calibri"/>
          <w:iCs/>
        </w:rPr>
        <w:t xml:space="preserve">DOSH adopted </w:t>
      </w:r>
      <w:r w:rsidRPr="006A497F">
        <w:rPr>
          <w:rFonts w:cs="Calibri"/>
          <w:iCs/>
        </w:rPr>
        <w:t>several</w:t>
      </w:r>
      <w:r>
        <w:rPr>
          <w:rFonts w:cs="Calibri"/>
          <w:iCs/>
        </w:rPr>
        <w:t xml:space="preserve"> unique, </w:t>
      </w:r>
      <w:r w:rsidRPr="006A497F">
        <w:rPr>
          <w:rFonts w:cs="Calibri"/>
          <w:iCs/>
        </w:rPr>
        <w:t>state-initiated</w:t>
      </w:r>
      <w:r>
        <w:rPr>
          <w:rFonts w:cs="Calibri"/>
          <w:iCs/>
        </w:rPr>
        <w:t xml:space="preserve"> standards</w:t>
      </w:r>
      <w:r w:rsidRPr="006A497F">
        <w:rPr>
          <w:rFonts w:cs="Calibri"/>
          <w:iCs/>
        </w:rPr>
        <w:t>, such as requirements for written safety and health programs, safety committees, and heat-related illnesses.</w:t>
      </w:r>
    </w:p>
    <w:p w14:paraId="140F7AD4" w14:textId="77777777" w:rsidR="00484F51" w:rsidRPr="006A497F" w:rsidRDefault="00484F51" w:rsidP="006A497F">
      <w:pPr>
        <w:widowControl/>
        <w:autoSpaceDE/>
        <w:autoSpaceDN/>
        <w:adjustRightInd/>
        <w:rPr>
          <w:rFonts w:cs="Calibri"/>
          <w:iCs/>
        </w:rPr>
      </w:pPr>
    </w:p>
    <w:p w14:paraId="19A190BD" w14:textId="7B0D17FF" w:rsidR="006A497F" w:rsidRPr="006A497F" w:rsidRDefault="006A497F" w:rsidP="006A497F">
      <w:pPr>
        <w:widowControl/>
        <w:autoSpaceDE/>
        <w:autoSpaceDN/>
        <w:adjustRightInd/>
        <w:rPr>
          <w:rFonts w:cs="Calibri"/>
          <w:iCs/>
        </w:rPr>
      </w:pPr>
      <w:r w:rsidRPr="006A497F">
        <w:rPr>
          <w:rFonts w:cs="Calibri"/>
          <w:iCs/>
        </w:rPr>
        <w:t>DOSH exercises jurisdiction over state and local government</w:t>
      </w:r>
      <w:r w:rsidR="00762E59">
        <w:rPr>
          <w:rFonts w:cs="Calibri"/>
          <w:iCs/>
        </w:rPr>
        <w:t xml:space="preserve"> </w:t>
      </w:r>
      <w:r w:rsidRPr="006A497F">
        <w:rPr>
          <w:rFonts w:cs="Calibri"/>
          <w:iCs/>
        </w:rPr>
        <w:t xml:space="preserve">workplaces and private sector employers not covered by OSHA. </w:t>
      </w:r>
      <w:r w:rsidR="008D7D61">
        <w:rPr>
          <w:rFonts w:cs="Calibri"/>
          <w:iCs/>
        </w:rPr>
        <w:t xml:space="preserve"> </w:t>
      </w:r>
      <w:r w:rsidRPr="006A497F">
        <w:rPr>
          <w:rFonts w:cs="Calibri"/>
          <w:iCs/>
        </w:rPr>
        <w:t>OSHA’s inspection authority is limited to private employers at national parks and military installations, maritime activities on the navigable waters, and federal government employers.</w:t>
      </w:r>
      <w:r>
        <w:rPr>
          <w:rFonts w:cs="Calibri"/>
          <w:iCs/>
        </w:rPr>
        <w:t xml:space="preserve"> </w:t>
      </w:r>
      <w:r w:rsidR="008D7D61">
        <w:rPr>
          <w:rFonts w:cs="Calibri"/>
          <w:iCs/>
        </w:rPr>
        <w:t xml:space="preserve"> </w:t>
      </w:r>
      <w:r w:rsidRPr="006A497F">
        <w:rPr>
          <w:rFonts w:cs="Calibri"/>
          <w:iCs/>
        </w:rPr>
        <w:t>OSHA also covers establishments on Native American lands that are tribally owned, and employers enrolled as tribal members working on reservations, or on trust lands.</w:t>
      </w:r>
      <w:r w:rsidR="00E452C0">
        <w:rPr>
          <w:rFonts w:cs="Calibri"/>
          <w:iCs/>
        </w:rPr>
        <w:t xml:space="preserve">  According to the demographic profile in the FY 2024 23(g) grant application, there were approximately </w:t>
      </w:r>
      <w:r w:rsidR="009F706B">
        <w:rPr>
          <w:rFonts w:cs="Calibri"/>
          <w:iCs/>
        </w:rPr>
        <w:t xml:space="preserve">3,437,770 workers employed in </w:t>
      </w:r>
      <w:r w:rsidR="00157705">
        <w:rPr>
          <w:rFonts w:cs="Calibri"/>
          <w:iCs/>
        </w:rPr>
        <w:t>all industries</w:t>
      </w:r>
      <w:r w:rsidR="000D2E36">
        <w:rPr>
          <w:rFonts w:cs="Calibri"/>
          <w:iCs/>
        </w:rPr>
        <w:t xml:space="preserve"> throughout Washington</w:t>
      </w:r>
      <w:r w:rsidR="00157705">
        <w:rPr>
          <w:rFonts w:cs="Calibri"/>
          <w:iCs/>
        </w:rPr>
        <w:t xml:space="preserve">.  </w:t>
      </w:r>
    </w:p>
    <w:p w14:paraId="663A7262" w14:textId="77777777" w:rsidR="006A497F" w:rsidRDefault="006A497F" w:rsidP="006A497F">
      <w:pPr>
        <w:widowControl/>
        <w:autoSpaceDE/>
        <w:autoSpaceDN/>
        <w:adjustRightInd/>
        <w:rPr>
          <w:rFonts w:cs="Calibri"/>
          <w:iCs/>
        </w:rPr>
      </w:pPr>
    </w:p>
    <w:p w14:paraId="02916C84" w14:textId="270EE4E2" w:rsidR="00DB5063" w:rsidRPr="006A497F" w:rsidRDefault="00DB5063" w:rsidP="006A497F">
      <w:pPr>
        <w:widowControl/>
        <w:autoSpaceDE/>
        <w:autoSpaceDN/>
        <w:adjustRightInd/>
        <w:rPr>
          <w:rFonts w:cs="Calibri"/>
          <w:iCs/>
        </w:rPr>
      </w:pPr>
      <w:r>
        <w:rPr>
          <w:rFonts w:cs="Calibri"/>
          <w:iCs/>
        </w:rPr>
        <w:t xml:space="preserve">In FY 2024, the 23(g) grant provided funding for a </w:t>
      </w:r>
      <w:r w:rsidR="0010050C">
        <w:rPr>
          <w:rFonts w:cs="Calibri"/>
          <w:iCs/>
        </w:rPr>
        <w:t>s</w:t>
      </w:r>
      <w:r>
        <w:rPr>
          <w:rFonts w:cs="Calibri"/>
          <w:iCs/>
        </w:rPr>
        <w:t xml:space="preserve">taff comprised of </w:t>
      </w:r>
      <w:r w:rsidR="00DF34D3">
        <w:rPr>
          <w:rFonts w:cs="Calibri"/>
          <w:iCs/>
        </w:rPr>
        <w:t>443.5</w:t>
      </w:r>
      <w:r w:rsidR="006C43F5">
        <w:rPr>
          <w:rFonts w:cs="Calibri"/>
          <w:iCs/>
        </w:rPr>
        <w:t>0</w:t>
      </w:r>
      <w:r w:rsidR="00DF34D3">
        <w:rPr>
          <w:rFonts w:cs="Calibri"/>
          <w:iCs/>
        </w:rPr>
        <w:t xml:space="preserve"> </w:t>
      </w:r>
      <w:r w:rsidR="0010050C">
        <w:rPr>
          <w:rFonts w:cs="Calibri"/>
          <w:iCs/>
        </w:rPr>
        <w:t xml:space="preserve">FTE </w:t>
      </w:r>
      <w:r w:rsidR="00DF34D3">
        <w:rPr>
          <w:rFonts w:cs="Calibri"/>
          <w:iCs/>
        </w:rPr>
        <w:t>positions</w:t>
      </w:r>
      <w:r w:rsidR="0010050C">
        <w:rPr>
          <w:rFonts w:cs="Calibri"/>
          <w:iCs/>
        </w:rPr>
        <w:t xml:space="preserve">. </w:t>
      </w:r>
      <w:r w:rsidR="003C3B39">
        <w:rPr>
          <w:rFonts w:cs="Calibri"/>
          <w:iCs/>
        </w:rPr>
        <w:t xml:space="preserve"> This included 36 managers, 64 first line supervisors, 102 safety compliance officers</w:t>
      </w:r>
      <w:r w:rsidR="00324E05">
        <w:rPr>
          <w:rFonts w:cs="Calibri"/>
          <w:iCs/>
        </w:rPr>
        <w:t>, 50 health compliance officers, 6 discrimination investigators, 3</w:t>
      </w:r>
      <w:r w:rsidR="002B5C37">
        <w:rPr>
          <w:rFonts w:cs="Calibri"/>
          <w:iCs/>
        </w:rPr>
        <w:t>1</w:t>
      </w:r>
      <w:r w:rsidR="00324E05">
        <w:rPr>
          <w:rFonts w:cs="Calibri"/>
          <w:iCs/>
        </w:rPr>
        <w:t xml:space="preserve"> safety consultants, 1</w:t>
      </w:r>
      <w:r w:rsidR="002B5C37">
        <w:rPr>
          <w:rFonts w:cs="Calibri"/>
          <w:iCs/>
        </w:rPr>
        <w:t>9</w:t>
      </w:r>
      <w:r w:rsidR="00324E05">
        <w:rPr>
          <w:rFonts w:cs="Calibri"/>
          <w:iCs/>
        </w:rPr>
        <w:t xml:space="preserve"> health consultants, </w:t>
      </w:r>
      <w:r w:rsidR="002B5C37">
        <w:rPr>
          <w:rFonts w:cs="Calibri"/>
          <w:iCs/>
        </w:rPr>
        <w:t>1 compliance assistance specialist, 9 clerical/administrative, and 125.5</w:t>
      </w:r>
      <w:r w:rsidR="006C43F5">
        <w:rPr>
          <w:rFonts w:cs="Calibri"/>
          <w:iCs/>
        </w:rPr>
        <w:t>0 other positions.</w:t>
      </w:r>
      <w:r w:rsidR="001122FA">
        <w:rPr>
          <w:rFonts w:cs="Calibri"/>
          <w:iCs/>
        </w:rPr>
        <w:t xml:space="preserve">  </w:t>
      </w:r>
      <w:r w:rsidR="00FE1927">
        <w:rPr>
          <w:rFonts w:cs="Calibri"/>
          <w:iCs/>
        </w:rPr>
        <w:t xml:space="preserve">The review period started with </w:t>
      </w:r>
      <w:r w:rsidR="00995868">
        <w:rPr>
          <w:rFonts w:cs="Calibri"/>
          <w:iCs/>
        </w:rPr>
        <w:t>36 vacant</w:t>
      </w:r>
      <w:r w:rsidR="00943AC1">
        <w:rPr>
          <w:rFonts w:cs="Calibri"/>
          <w:iCs/>
        </w:rPr>
        <w:t xml:space="preserve"> FTEs</w:t>
      </w:r>
      <w:r w:rsidR="00113CA8">
        <w:rPr>
          <w:rFonts w:cs="Calibri"/>
          <w:iCs/>
        </w:rPr>
        <w:t>,</w:t>
      </w:r>
      <w:r w:rsidR="00995868">
        <w:rPr>
          <w:rFonts w:cs="Calibri"/>
          <w:iCs/>
        </w:rPr>
        <w:t xml:space="preserve"> and </w:t>
      </w:r>
      <w:r w:rsidR="007443DD">
        <w:rPr>
          <w:rFonts w:cs="Calibri"/>
          <w:iCs/>
        </w:rPr>
        <w:t xml:space="preserve">due to a </w:t>
      </w:r>
      <w:r w:rsidR="00AD1AF8">
        <w:rPr>
          <w:rFonts w:cs="Calibri"/>
          <w:iCs/>
        </w:rPr>
        <w:t xml:space="preserve">statewide </w:t>
      </w:r>
      <w:r w:rsidR="007443DD">
        <w:rPr>
          <w:rFonts w:cs="Calibri"/>
          <w:iCs/>
        </w:rPr>
        <w:t xml:space="preserve">hiring freeze, </w:t>
      </w:r>
      <w:r w:rsidR="00995868">
        <w:rPr>
          <w:rFonts w:cs="Calibri"/>
          <w:iCs/>
        </w:rPr>
        <w:t xml:space="preserve">DOSH </w:t>
      </w:r>
      <w:r w:rsidR="007443DD">
        <w:rPr>
          <w:rFonts w:cs="Calibri"/>
          <w:iCs/>
        </w:rPr>
        <w:t xml:space="preserve">was unable to fill vacant positions </w:t>
      </w:r>
      <w:r w:rsidR="00113CA8">
        <w:rPr>
          <w:rFonts w:cs="Calibri"/>
          <w:iCs/>
        </w:rPr>
        <w:t xml:space="preserve">during the majority of </w:t>
      </w:r>
      <w:r w:rsidR="00943AC1">
        <w:rPr>
          <w:rFonts w:cs="Calibri"/>
          <w:iCs/>
        </w:rPr>
        <w:t xml:space="preserve">the year.  </w:t>
      </w:r>
    </w:p>
    <w:p w14:paraId="20599A72" w14:textId="2886C8AE" w:rsidR="00443B75" w:rsidRDefault="00443B75" w:rsidP="006A497F">
      <w:pPr>
        <w:widowControl/>
        <w:autoSpaceDE/>
        <w:autoSpaceDN/>
        <w:adjustRightInd/>
        <w:rPr>
          <w:rFonts w:cs="Calibri"/>
          <w:iCs/>
          <w:highlight w:val="yellow"/>
        </w:rPr>
      </w:pPr>
    </w:p>
    <w:p w14:paraId="07E4A0DB" w14:textId="44CB3D6E" w:rsidR="00783189" w:rsidRPr="00054BB1" w:rsidRDefault="008D0610" w:rsidP="58C580B2">
      <w:pPr>
        <w:widowControl/>
        <w:autoSpaceDE/>
        <w:autoSpaceDN/>
        <w:adjustRightInd/>
        <w:rPr>
          <w:rFonts w:cs="Calibri"/>
        </w:rPr>
      </w:pPr>
      <w:r w:rsidRPr="13993596">
        <w:rPr>
          <w:rFonts w:cs="Calibri"/>
        </w:rPr>
        <w:t>The initial base award to fund the program was $</w:t>
      </w:r>
      <w:r w:rsidR="27178C99" w:rsidRPr="13993596">
        <w:rPr>
          <w:rFonts w:cs="Calibri"/>
        </w:rPr>
        <w:t>8,345</w:t>
      </w:r>
      <w:r w:rsidRPr="13993596">
        <w:rPr>
          <w:rFonts w:cs="Calibri"/>
        </w:rPr>
        <w:t>,</w:t>
      </w:r>
      <w:r w:rsidR="46365402" w:rsidRPr="13993596">
        <w:rPr>
          <w:rFonts w:cs="Calibri"/>
        </w:rPr>
        <w:t>0</w:t>
      </w:r>
      <w:r w:rsidRPr="13993596">
        <w:rPr>
          <w:rFonts w:cs="Calibri"/>
        </w:rPr>
        <w:t xml:space="preserve">00 in federal funds.  </w:t>
      </w:r>
      <w:r w:rsidR="0CDCCE48" w:rsidRPr="13993596">
        <w:rPr>
          <w:rFonts w:cs="Calibri"/>
        </w:rPr>
        <w:t>Due to the fund reduction of all OSHA 23(g) programs, t</w:t>
      </w:r>
      <w:r w:rsidRPr="13993596">
        <w:rPr>
          <w:rFonts w:cs="Calibri"/>
        </w:rPr>
        <w:t xml:space="preserve">he federal base award was </w:t>
      </w:r>
      <w:r w:rsidR="707D3D63" w:rsidRPr="13993596">
        <w:rPr>
          <w:rFonts w:cs="Calibri"/>
        </w:rPr>
        <w:t>de</w:t>
      </w:r>
      <w:r w:rsidRPr="13993596">
        <w:rPr>
          <w:rFonts w:cs="Calibri"/>
        </w:rPr>
        <w:t>creased by $</w:t>
      </w:r>
      <w:r w:rsidR="3ED9E1B9" w:rsidRPr="13993596">
        <w:rPr>
          <w:rFonts w:cs="Calibri"/>
        </w:rPr>
        <w:t>30</w:t>
      </w:r>
      <w:r w:rsidRPr="13993596">
        <w:rPr>
          <w:rFonts w:cs="Calibri"/>
        </w:rPr>
        <w:t>1,</w:t>
      </w:r>
      <w:r w:rsidR="47C180B8" w:rsidRPr="13993596">
        <w:rPr>
          <w:rFonts w:cs="Calibri"/>
        </w:rPr>
        <w:t>0</w:t>
      </w:r>
      <w:r w:rsidRPr="13993596">
        <w:rPr>
          <w:rFonts w:cs="Calibri"/>
        </w:rPr>
        <w:t>00 in July 202</w:t>
      </w:r>
      <w:r w:rsidR="4CF71071" w:rsidRPr="13993596">
        <w:rPr>
          <w:rFonts w:cs="Calibri"/>
        </w:rPr>
        <w:t>4</w:t>
      </w:r>
      <w:r w:rsidRPr="13993596">
        <w:rPr>
          <w:rFonts w:cs="Calibri"/>
        </w:rPr>
        <w:t xml:space="preserve">. </w:t>
      </w:r>
      <w:r w:rsidR="008D7D61" w:rsidRPr="13993596">
        <w:rPr>
          <w:rFonts w:cs="Calibri"/>
        </w:rPr>
        <w:t xml:space="preserve"> </w:t>
      </w:r>
      <w:r w:rsidR="00CD50EA" w:rsidRPr="13993596">
        <w:rPr>
          <w:rFonts w:cs="Calibri"/>
        </w:rPr>
        <w:t>A o</w:t>
      </w:r>
      <w:r w:rsidRPr="13993596">
        <w:rPr>
          <w:rFonts w:cs="Calibri"/>
        </w:rPr>
        <w:t>ne-time only award in the fourth quarter increased the federal share of the grant by $</w:t>
      </w:r>
      <w:r w:rsidR="05E7EFE1" w:rsidRPr="13993596">
        <w:rPr>
          <w:rFonts w:cs="Calibri"/>
        </w:rPr>
        <w:t>74,815</w:t>
      </w:r>
      <w:r w:rsidRPr="13993596">
        <w:rPr>
          <w:rFonts w:cs="Calibri"/>
        </w:rPr>
        <w:t xml:space="preserve">. </w:t>
      </w:r>
      <w:r w:rsidR="008D7D61" w:rsidRPr="13993596">
        <w:rPr>
          <w:rFonts w:cs="Calibri"/>
        </w:rPr>
        <w:t xml:space="preserve"> </w:t>
      </w:r>
      <w:r w:rsidRPr="13993596">
        <w:rPr>
          <w:rFonts w:cs="Calibri"/>
        </w:rPr>
        <w:t>The state matched the federal funds and provided an additional</w:t>
      </w:r>
      <w:r w:rsidR="00CD50EA" w:rsidRPr="13993596">
        <w:rPr>
          <w:rFonts w:cs="Calibri"/>
        </w:rPr>
        <w:t xml:space="preserve"> </w:t>
      </w:r>
      <w:r w:rsidRPr="13993596">
        <w:rPr>
          <w:rFonts w:cs="Calibri"/>
        </w:rPr>
        <w:t>$5</w:t>
      </w:r>
      <w:r w:rsidR="584040CE" w:rsidRPr="13993596">
        <w:rPr>
          <w:rFonts w:cs="Calibri"/>
        </w:rPr>
        <w:t>2</w:t>
      </w:r>
      <w:r w:rsidRPr="13993596">
        <w:rPr>
          <w:rFonts w:cs="Calibri"/>
        </w:rPr>
        <w:t>,</w:t>
      </w:r>
      <w:r w:rsidR="4A12ED07" w:rsidRPr="13993596">
        <w:rPr>
          <w:rFonts w:cs="Calibri"/>
        </w:rPr>
        <w:t>590</w:t>
      </w:r>
      <w:r w:rsidRPr="13993596">
        <w:rPr>
          <w:rFonts w:cs="Calibri"/>
        </w:rPr>
        <w:t>,</w:t>
      </w:r>
      <w:r w:rsidR="3EA5762C" w:rsidRPr="13993596">
        <w:rPr>
          <w:rFonts w:cs="Calibri"/>
        </w:rPr>
        <w:t>712</w:t>
      </w:r>
      <w:r w:rsidRPr="13993596">
        <w:rPr>
          <w:rFonts w:cs="Calibri"/>
        </w:rPr>
        <w:t xml:space="preserve"> for a total grant allocation of $</w:t>
      </w:r>
      <w:r w:rsidR="01072626" w:rsidRPr="13993596">
        <w:rPr>
          <w:rFonts w:cs="Calibri"/>
        </w:rPr>
        <w:t>68</w:t>
      </w:r>
      <w:r w:rsidRPr="13993596">
        <w:rPr>
          <w:rFonts w:cs="Calibri"/>
        </w:rPr>
        <w:t>,</w:t>
      </w:r>
      <w:r w:rsidR="2C11D422" w:rsidRPr="13993596">
        <w:rPr>
          <w:rFonts w:cs="Calibri"/>
        </w:rPr>
        <w:t>828</w:t>
      </w:r>
      <w:r w:rsidRPr="13993596">
        <w:rPr>
          <w:rFonts w:cs="Calibri"/>
        </w:rPr>
        <w:t>,</w:t>
      </w:r>
      <w:r w:rsidR="1EF02B5F" w:rsidRPr="13993596">
        <w:rPr>
          <w:rFonts w:cs="Calibri"/>
        </w:rPr>
        <w:t>342</w:t>
      </w:r>
      <w:r w:rsidRPr="13993596">
        <w:rPr>
          <w:rFonts w:cs="Calibri"/>
        </w:rPr>
        <w:t xml:space="preserve">. </w:t>
      </w:r>
      <w:r w:rsidR="00F37F69" w:rsidRPr="13993596">
        <w:rPr>
          <w:rFonts w:cs="Calibri"/>
        </w:rPr>
        <w:t xml:space="preserve"> </w:t>
      </w:r>
      <w:r w:rsidRPr="13993596">
        <w:rPr>
          <w:rFonts w:cs="Calibri"/>
        </w:rPr>
        <w:t>The state reported final expenditures to be</w:t>
      </w:r>
      <w:r w:rsidR="0000070A" w:rsidRPr="13993596">
        <w:rPr>
          <w:rFonts w:cs="Calibri"/>
        </w:rPr>
        <w:t xml:space="preserve"> </w:t>
      </w:r>
      <w:r w:rsidRPr="13993596">
        <w:rPr>
          <w:rFonts w:cs="Calibri"/>
        </w:rPr>
        <w:t>$</w:t>
      </w:r>
      <w:r w:rsidR="02A78DAC" w:rsidRPr="13993596">
        <w:rPr>
          <w:rFonts w:cs="Calibri"/>
        </w:rPr>
        <w:t>5</w:t>
      </w:r>
      <w:r w:rsidRPr="13993596">
        <w:rPr>
          <w:rFonts w:cs="Calibri"/>
        </w:rPr>
        <w:t>9,</w:t>
      </w:r>
      <w:r w:rsidR="273CB335" w:rsidRPr="13993596">
        <w:rPr>
          <w:rFonts w:cs="Calibri"/>
        </w:rPr>
        <w:t>174</w:t>
      </w:r>
      <w:r w:rsidRPr="13993596">
        <w:rPr>
          <w:rFonts w:cs="Calibri"/>
        </w:rPr>
        <w:t>,</w:t>
      </w:r>
      <w:r w:rsidR="1678C402" w:rsidRPr="13993596">
        <w:rPr>
          <w:rFonts w:cs="Calibri"/>
        </w:rPr>
        <w:t>721.78</w:t>
      </w:r>
      <w:r w:rsidRPr="13993596">
        <w:rPr>
          <w:rFonts w:cs="Calibri"/>
        </w:rPr>
        <w:t xml:space="preserve"> ($</w:t>
      </w:r>
      <w:r w:rsidR="61871FE4" w:rsidRPr="13993596">
        <w:rPr>
          <w:rFonts w:cs="Calibri"/>
        </w:rPr>
        <w:t>8,118,</w:t>
      </w:r>
      <w:r w:rsidR="6C111466" w:rsidRPr="13993596">
        <w:rPr>
          <w:rFonts w:cs="Calibri"/>
        </w:rPr>
        <w:t>348.81</w:t>
      </w:r>
      <w:r w:rsidRPr="13993596">
        <w:rPr>
          <w:rFonts w:cs="Calibri"/>
        </w:rPr>
        <w:t xml:space="preserve"> federal, $8,</w:t>
      </w:r>
      <w:r w:rsidR="110D6AB4" w:rsidRPr="13993596">
        <w:rPr>
          <w:rFonts w:cs="Calibri"/>
        </w:rPr>
        <w:t>11</w:t>
      </w:r>
      <w:r w:rsidR="08A6AD37" w:rsidRPr="13993596">
        <w:rPr>
          <w:rFonts w:cs="Calibri"/>
        </w:rPr>
        <w:t>8,348.81</w:t>
      </w:r>
      <w:r w:rsidRPr="13993596">
        <w:rPr>
          <w:rFonts w:cs="Calibri"/>
        </w:rPr>
        <w:t xml:space="preserve"> state match, and $</w:t>
      </w:r>
      <w:r w:rsidR="5982B396" w:rsidRPr="13993596">
        <w:rPr>
          <w:rFonts w:cs="Calibri"/>
        </w:rPr>
        <w:t>42</w:t>
      </w:r>
      <w:r w:rsidRPr="13993596">
        <w:rPr>
          <w:rFonts w:cs="Calibri"/>
        </w:rPr>
        <w:t>,</w:t>
      </w:r>
      <w:r w:rsidR="4CF54CAF" w:rsidRPr="13993596">
        <w:rPr>
          <w:rFonts w:cs="Calibri"/>
        </w:rPr>
        <w:t>938,024.16</w:t>
      </w:r>
      <w:r w:rsidRPr="13993596">
        <w:rPr>
          <w:rFonts w:cs="Calibri"/>
        </w:rPr>
        <w:t xml:space="preserve"> in 100% state funds – direct costs).</w:t>
      </w:r>
      <w:r w:rsidR="00443B75" w:rsidRPr="13993596">
        <w:rPr>
          <w:rFonts w:cs="Calibri"/>
        </w:rPr>
        <w:t xml:space="preserve"> </w:t>
      </w:r>
      <w:r w:rsidR="00382E82" w:rsidRPr="13993596">
        <w:rPr>
          <w:rFonts w:cs="Calibri"/>
        </w:rPr>
        <w:t xml:space="preserve"> </w:t>
      </w:r>
    </w:p>
    <w:p w14:paraId="12A3F7DE" w14:textId="5A5ED46D" w:rsidR="13993596" w:rsidRDefault="13993596" w:rsidP="13993596">
      <w:pPr>
        <w:widowControl/>
        <w:rPr>
          <w:rFonts w:cs="Calibri"/>
        </w:rPr>
      </w:pPr>
    </w:p>
    <w:p w14:paraId="68FBAFD2" w14:textId="13C78A39" w:rsidR="00781312" w:rsidRPr="001C1E47" w:rsidRDefault="00781312" w:rsidP="00783189">
      <w:pPr>
        <w:widowControl/>
        <w:autoSpaceDE/>
        <w:autoSpaceDN/>
        <w:adjustRightInd/>
        <w:contextualSpacing/>
        <w:rPr>
          <w:rFonts w:cs="Calibri"/>
          <w:b/>
        </w:rPr>
      </w:pPr>
      <w:r w:rsidRPr="001C1E47">
        <w:rPr>
          <w:rFonts w:cs="Calibri"/>
          <w:b/>
        </w:rPr>
        <w:t>New Issues</w:t>
      </w:r>
    </w:p>
    <w:p w14:paraId="458970FD" w14:textId="7FFA0A1A" w:rsidR="00781312" w:rsidRDefault="00781312" w:rsidP="006A52CC">
      <w:pPr>
        <w:contextualSpacing/>
        <w:rPr>
          <w:rFonts w:cs="Calibri"/>
          <w:sz w:val="28"/>
          <w:szCs w:val="28"/>
        </w:rPr>
      </w:pPr>
    </w:p>
    <w:p w14:paraId="139B10AC" w14:textId="49899A75" w:rsidR="006A52CC" w:rsidRPr="006A52CC" w:rsidRDefault="006A52CC" w:rsidP="006A52CC">
      <w:pPr>
        <w:contextualSpacing/>
        <w:rPr>
          <w:rFonts w:cs="Calibri"/>
        </w:rPr>
      </w:pPr>
      <w:r w:rsidRPr="006A52CC">
        <w:rPr>
          <w:rFonts w:cs="Calibri"/>
        </w:rPr>
        <w:t xml:space="preserve">There were no new issues </w:t>
      </w:r>
      <w:r w:rsidR="00FA25D9">
        <w:rPr>
          <w:rFonts w:cs="Calibri"/>
        </w:rPr>
        <w:t xml:space="preserve">identified </w:t>
      </w:r>
      <w:r w:rsidRPr="006A52CC">
        <w:rPr>
          <w:rFonts w:cs="Calibri"/>
        </w:rPr>
        <w:t xml:space="preserve">in FY 2024. </w:t>
      </w:r>
    </w:p>
    <w:p w14:paraId="4D45CF2E" w14:textId="0535CA70" w:rsidR="00780E29" w:rsidRPr="00AB16D9" w:rsidRDefault="00780E29" w:rsidP="00783189">
      <w:pPr>
        <w:widowControl/>
        <w:autoSpaceDE/>
        <w:autoSpaceDN/>
        <w:adjustRightInd/>
        <w:rPr>
          <w:rFonts w:cs="Calibri"/>
          <w:iCs/>
        </w:rPr>
      </w:pPr>
    </w:p>
    <w:p w14:paraId="0A29FCDE" w14:textId="3FE04551" w:rsidR="00054900" w:rsidRPr="00476C08" w:rsidRDefault="00054900" w:rsidP="00991DF7">
      <w:pPr>
        <w:pStyle w:val="Heading2"/>
      </w:pPr>
      <w:bookmarkStart w:id="10" w:name="_Toc118900172"/>
      <w:bookmarkStart w:id="11" w:name="_Toc118905011"/>
      <w:bookmarkStart w:id="12" w:name="_Toc193191068"/>
      <w:r w:rsidRPr="00476C08">
        <w:t xml:space="preserve">Assessment of State Plan </w:t>
      </w:r>
      <w:r w:rsidR="001E2FBB" w:rsidRPr="00476C08">
        <w:t xml:space="preserve">Progress and </w:t>
      </w:r>
      <w:r w:rsidRPr="00476C08">
        <w:t>Performance</w:t>
      </w:r>
      <w:bookmarkEnd w:id="10"/>
      <w:bookmarkEnd w:id="11"/>
      <w:bookmarkEnd w:id="12"/>
    </w:p>
    <w:p w14:paraId="07D68C5F" w14:textId="77777777" w:rsidR="00054900" w:rsidRPr="001C1E47" w:rsidRDefault="00054900" w:rsidP="00783189">
      <w:pPr>
        <w:widowControl/>
        <w:autoSpaceDE/>
        <w:autoSpaceDN/>
        <w:adjustRightInd/>
        <w:rPr>
          <w:rFonts w:cs="Calibri"/>
        </w:rPr>
      </w:pPr>
    </w:p>
    <w:p w14:paraId="4CD3C312" w14:textId="42D68C7A" w:rsidR="000A134A" w:rsidRPr="00C53328" w:rsidRDefault="000A134A" w:rsidP="006C04A5">
      <w:pPr>
        <w:pStyle w:val="Heading3"/>
        <w:numPr>
          <w:ilvl w:val="0"/>
          <w:numId w:val="14"/>
        </w:numPr>
      </w:pPr>
      <w:bookmarkStart w:id="13" w:name="_Toc118900173"/>
      <w:bookmarkStart w:id="14" w:name="_Toc118905012"/>
      <w:bookmarkStart w:id="15" w:name="_Toc193191069"/>
      <w:r w:rsidRPr="00C53328">
        <w:t>Data and Methodology</w:t>
      </w:r>
      <w:bookmarkEnd w:id="13"/>
      <w:bookmarkEnd w:id="14"/>
      <w:bookmarkEnd w:id="15"/>
    </w:p>
    <w:p w14:paraId="72EF69F8" w14:textId="77777777" w:rsidR="000A134A" w:rsidRPr="001C1E47" w:rsidRDefault="000A134A" w:rsidP="00783189">
      <w:pPr>
        <w:widowControl/>
        <w:autoSpaceDE/>
        <w:autoSpaceDN/>
        <w:adjustRightInd/>
        <w:ind w:left="1440"/>
        <w:rPr>
          <w:rFonts w:cs="Calibri"/>
          <w:bCs/>
        </w:rPr>
      </w:pPr>
    </w:p>
    <w:p w14:paraId="3EEE3A69" w14:textId="77777777" w:rsidR="005504BC" w:rsidRPr="001C1E47" w:rsidRDefault="000A134A" w:rsidP="00783189">
      <w:pPr>
        <w:widowControl/>
        <w:autoSpaceDE/>
        <w:autoSpaceDN/>
        <w:adjustRightInd/>
        <w:rPr>
          <w:rFonts w:cs="Calibri"/>
          <w:bCs/>
        </w:rPr>
      </w:pPr>
      <w:r w:rsidRPr="001C1E47">
        <w:rPr>
          <w:rFonts w:cs="Calibri"/>
          <w:bCs/>
        </w:rPr>
        <w:t>OSHA has established a two-year cycle for the FAME process.  This is the follow-up year</w:t>
      </w:r>
      <w:r w:rsidR="005E3EFB" w:rsidRPr="001C1E47">
        <w:rPr>
          <w:rFonts w:cs="Calibri"/>
          <w:bCs/>
        </w:rPr>
        <w:t>,</w:t>
      </w:r>
      <w:r w:rsidRPr="001C1E47">
        <w:rPr>
          <w:rFonts w:cs="Calibri"/>
          <w:bCs/>
        </w:rPr>
        <w:t xml:space="preserve"> and as such</w:t>
      </w:r>
      <w:r w:rsidR="005E3EFB" w:rsidRPr="001C1E47">
        <w:rPr>
          <w:rFonts w:cs="Calibri"/>
          <w:bCs/>
        </w:rPr>
        <w:t>,</w:t>
      </w:r>
      <w:r w:rsidRPr="001C1E47">
        <w:rPr>
          <w:rFonts w:cs="Calibri"/>
          <w:bCs/>
        </w:rPr>
        <w:t xml:space="preserve"> OSHA did not perform </w:t>
      </w:r>
      <w:r w:rsidR="00957E7E" w:rsidRPr="001C1E47">
        <w:rPr>
          <w:rFonts w:cs="Calibri"/>
          <w:bCs/>
        </w:rPr>
        <w:t>an on</w:t>
      </w:r>
      <w:r w:rsidR="00DC6559" w:rsidRPr="001C1E47">
        <w:rPr>
          <w:rFonts w:cs="Calibri"/>
          <w:bCs/>
        </w:rPr>
        <w:t>-</w:t>
      </w:r>
      <w:r w:rsidR="00957E7E" w:rsidRPr="001C1E47">
        <w:rPr>
          <w:rFonts w:cs="Calibri"/>
          <w:bCs/>
        </w:rPr>
        <w:t>site</w:t>
      </w:r>
      <w:r w:rsidRPr="001C1E47">
        <w:rPr>
          <w:rFonts w:cs="Calibri"/>
          <w:bCs/>
        </w:rPr>
        <w:t xml:space="preserve"> case file review associated with a comprehensive FAME.  This strategy allows the State Plan to focus on correcting deficiencies identified in the most recent comprehensive FAME</w:t>
      </w:r>
      <w:r w:rsidR="003A4F3E" w:rsidRPr="001C1E47">
        <w:rPr>
          <w:rFonts w:cs="Calibri"/>
          <w:bCs/>
        </w:rPr>
        <w:t>.</w:t>
      </w:r>
      <w:r w:rsidR="00733729" w:rsidRPr="001C1E47">
        <w:rPr>
          <w:rFonts w:cs="Calibri"/>
          <w:bCs/>
        </w:rPr>
        <w:t xml:space="preserve">  </w:t>
      </w:r>
      <w:r w:rsidR="005504BC" w:rsidRPr="001C1E47">
        <w:rPr>
          <w:rFonts w:cs="Calibri"/>
          <w:bCs/>
        </w:rPr>
        <w:t>The analyses and conclusions described in this report are based on information obtained from a variety of monitoring sources, including:</w:t>
      </w:r>
    </w:p>
    <w:p w14:paraId="54439AF2" w14:textId="77777777" w:rsidR="005504BC" w:rsidRPr="001C1E47" w:rsidRDefault="005504BC" w:rsidP="007A71AC">
      <w:pPr>
        <w:widowControl/>
        <w:autoSpaceDE/>
        <w:autoSpaceDN/>
        <w:adjustRightInd/>
        <w:rPr>
          <w:rFonts w:cs="Calibri"/>
          <w:bCs/>
        </w:rPr>
      </w:pPr>
    </w:p>
    <w:p w14:paraId="4F7029B3" w14:textId="77777777" w:rsidR="00F77C87" w:rsidRPr="00EB2232" w:rsidRDefault="00F77C87" w:rsidP="00227B81">
      <w:pPr>
        <w:pStyle w:val="ListParagraph"/>
        <w:numPr>
          <w:ilvl w:val="0"/>
          <w:numId w:val="7"/>
        </w:numPr>
        <w:spacing w:after="0"/>
        <w:rPr>
          <w:sz w:val="24"/>
          <w:szCs w:val="24"/>
        </w:rPr>
      </w:pPr>
      <w:r w:rsidRPr="45A38A98">
        <w:rPr>
          <w:sz w:val="24"/>
          <w:szCs w:val="24"/>
        </w:rPr>
        <w:t>State Activity Mandated Measures (SAMM) Report (Appendix D</w:t>
      </w:r>
      <w:r>
        <w:rPr>
          <w:sz w:val="24"/>
          <w:szCs w:val="24"/>
        </w:rPr>
        <w:t>,</w:t>
      </w:r>
      <w:r w:rsidRPr="45A38A98">
        <w:rPr>
          <w:sz w:val="24"/>
          <w:szCs w:val="24"/>
        </w:rPr>
        <w:t xml:space="preserve"> dated 11/</w:t>
      </w:r>
      <w:r>
        <w:rPr>
          <w:sz w:val="24"/>
          <w:szCs w:val="24"/>
        </w:rPr>
        <w:t>12</w:t>
      </w:r>
      <w:r w:rsidRPr="45A38A98">
        <w:rPr>
          <w:sz w:val="24"/>
          <w:szCs w:val="24"/>
        </w:rPr>
        <w:t>/202</w:t>
      </w:r>
      <w:r>
        <w:rPr>
          <w:sz w:val="24"/>
          <w:szCs w:val="24"/>
        </w:rPr>
        <w:t>4</w:t>
      </w:r>
      <w:r w:rsidRPr="45A38A98">
        <w:rPr>
          <w:sz w:val="24"/>
          <w:szCs w:val="24"/>
        </w:rPr>
        <w:t xml:space="preserve">) </w:t>
      </w:r>
    </w:p>
    <w:p w14:paraId="1CFCA1C1" w14:textId="6E53D3E6" w:rsidR="00F77C87" w:rsidRPr="00EB2232" w:rsidRDefault="00F77C87" w:rsidP="00227B81">
      <w:pPr>
        <w:pStyle w:val="ListParagraph"/>
        <w:numPr>
          <w:ilvl w:val="0"/>
          <w:numId w:val="7"/>
        </w:numPr>
        <w:spacing w:after="0"/>
        <w:rPr>
          <w:bCs/>
          <w:sz w:val="24"/>
          <w:szCs w:val="24"/>
        </w:rPr>
      </w:pPr>
      <w:r w:rsidRPr="00EB2232">
        <w:rPr>
          <w:bCs/>
          <w:sz w:val="24"/>
          <w:szCs w:val="24"/>
        </w:rPr>
        <w:t>State Information Report (SIR</w:t>
      </w:r>
      <w:r w:rsidR="0058105A">
        <w:rPr>
          <w:bCs/>
          <w:sz w:val="24"/>
          <w:szCs w:val="24"/>
        </w:rPr>
        <w:t>)</w:t>
      </w:r>
      <w:r w:rsidRPr="00EB2232">
        <w:rPr>
          <w:bCs/>
          <w:sz w:val="24"/>
          <w:szCs w:val="24"/>
        </w:rPr>
        <w:t xml:space="preserve"> dated 11/</w:t>
      </w:r>
      <w:r>
        <w:rPr>
          <w:bCs/>
          <w:sz w:val="24"/>
          <w:szCs w:val="24"/>
        </w:rPr>
        <w:t>12</w:t>
      </w:r>
      <w:r w:rsidRPr="00EB2232">
        <w:rPr>
          <w:bCs/>
          <w:sz w:val="24"/>
          <w:szCs w:val="24"/>
        </w:rPr>
        <w:t>/202</w:t>
      </w:r>
      <w:r>
        <w:rPr>
          <w:bCs/>
          <w:sz w:val="24"/>
          <w:szCs w:val="24"/>
        </w:rPr>
        <w:t>4</w:t>
      </w:r>
    </w:p>
    <w:p w14:paraId="3ECB1339" w14:textId="77777777" w:rsidR="005E22AD" w:rsidRPr="00EB2232" w:rsidRDefault="005E22AD" w:rsidP="00227B81">
      <w:pPr>
        <w:pStyle w:val="ListParagraph"/>
        <w:numPr>
          <w:ilvl w:val="0"/>
          <w:numId w:val="7"/>
        </w:numPr>
        <w:spacing w:after="0"/>
        <w:rPr>
          <w:sz w:val="24"/>
          <w:szCs w:val="24"/>
        </w:rPr>
      </w:pPr>
      <w:r>
        <w:rPr>
          <w:sz w:val="24"/>
          <w:szCs w:val="24"/>
        </w:rPr>
        <w:t>Whistleblower Application in the OSHA IT Support System (OITSS)</w:t>
      </w:r>
    </w:p>
    <w:p w14:paraId="4054753A" w14:textId="7A55C9A3" w:rsidR="00FF4AE2" w:rsidRPr="001C1E47" w:rsidRDefault="005E22AD" w:rsidP="00227B81">
      <w:pPr>
        <w:pStyle w:val="ListParagraph"/>
        <w:numPr>
          <w:ilvl w:val="0"/>
          <w:numId w:val="7"/>
        </w:numPr>
        <w:spacing w:after="0"/>
        <w:rPr>
          <w:bCs/>
        </w:rPr>
      </w:pPr>
      <w:r>
        <w:rPr>
          <w:bCs/>
          <w:sz w:val="24"/>
          <w:szCs w:val="24"/>
        </w:rPr>
        <w:t>State OSHA Annual Report (</w:t>
      </w:r>
      <w:r w:rsidR="0024397A">
        <w:rPr>
          <w:bCs/>
          <w:sz w:val="24"/>
          <w:szCs w:val="24"/>
        </w:rPr>
        <w:t>SOAR</w:t>
      </w:r>
      <w:r>
        <w:rPr>
          <w:bCs/>
          <w:sz w:val="24"/>
          <w:szCs w:val="24"/>
        </w:rPr>
        <w:t>)</w:t>
      </w:r>
    </w:p>
    <w:p w14:paraId="03220F96" w14:textId="3137FC53" w:rsidR="00FF4AE2" w:rsidRPr="001C1E47" w:rsidRDefault="00FF4AE2" w:rsidP="00227B81">
      <w:pPr>
        <w:pStyle w:val="ListParagraph"/>
        <w:numPr>
          <w:ilvl w:val="0"/>
          <w:numId w:val="7"/>
        </w:numPr>
        <w:spacing w:after="0"/>
        <w:rPr>
          <w:bCs/>
        </w:rPr>
      </w:pPr>
      <w:r w:rsidRPr="001C1E47">
        <w:rPr>
          <w:bCs/>
          <w:sz w:val="24"/>
          <w:szCs w:val="24"/>
        </w:rPr>
        <w:t>State Plan Annual Performance Plan</w:t>
      </w:r>
      <w:r w:rsidR="0061362E">
        <w:rPr>
          <w:bCs/>
          <w:sz w:val="24"/>
          <w:szCs w:val="24"/>
        </w:rPr>
        <w:t xml:space="preserve"> (APP)</w:t>
      </w:r>
    </w:p>
    <w:p w14:paraId="4CBC94FB" w14:textId="7BDCBFF9" w:rsidR="00FF4AE2" w:rsidRPr="00131BA5" w:rsidRDefault="00FF4AE2" w:rsidP="00227B81">
      <w:pPr>
        <w:pStyle w:val="ListParagraph"/>
        <w:numPr>
          <w:ilvl w:val="0"/>
          <w:numId w:val="7"/>
        </w:numPr>
        <w:spacing w:after="0"/>
        <w:rPr>
          <w:bCs/>
          <w:sz w:val="24"/>
          <w:szCs w:val="24"/>
        </w:rPr>
      </w:pPr>
      <w:r w:rsidRPr="00131BA5">
        <w:rPr>
          <w:bCs/>
          <w:sz w:val="24"/>
          <w:szCs w:val="24"/>
        </w:rPr>
        <w:t>State Plan</w:t>
      </w:r>
      <w:r w:rsidR="000A43EF" w:rsidRPr="00131BA5">
        <w:rPr>
          <w:bCs/>
          <w:sz w:val="24"/>
          <w:szCs w:val="24"/>
        </w:rPr>
        <w:t xml:space="preserve"> 23(g)</w:t>
      </w:r>
      <w:r w:rsidRPr="00131BA5">
        <w:rPr>
          <w:bCs/>
          <w:sz w:val="24"/>
          <w:szCs w:val="24"/>
        </w:rPr>
        <w:t xml:space="preserve"> Grant </w:t>
      </w:r>
      <w:r w:rsidR="00DC6559" w:rsidRPr="00131BA5">
        <w:rPr>
          <w:bCs/>
          <w:sz w:val="24"/>
          <w:szCs w:val="24"/>
        </w:rPr>
        <w:t>A</w:t>
      </w:r>
      <w:r w:rsidRPr="00131BA5">
        <w:rPr>
          <w:bCs/>
          <w:sz w:val="24"/>
          <w:szCs w:val="24"/>
        </w:rPr>
        <w:t xml:space="preserve">pplication </w:t>
      </w:r>
    </w:p>
    <w:p w14:paraId="6A0EB4F1" w14:textId="1FDF48EB" w:rsidR="00FD44CB" w:rsidRPr="00131BA5" w:rsidRDefault="00FF4AE2" w:rsidP="000A43EF">
      <w:pPr>
        <w:pStyle w:val="ListParagraph"/>
        <w:numPr>
          <w:ilvl w:val="0"/>
          <w:numId w:val="7"/>
        </w:numPr>
        <w:spacing w:after="0"/>
        <w:rPr>
          <w:bCs/>
          <w:sz w:val="24"/>
          <w:szCs w:val="24"/>
        </w:rPr>
      </w:pPr>
      <w:r w:rsidRPr="00131BA5">
        <w:rPr>
          <w:bCs/>
          <w:sz w:val="24"/>
          <w:szCs w:val="24"/>
        </w:rPr>
        <w:t>Quarterly monitoring meetings between OSHA and the State Plan</w:t>
      </w:r>
    </w:p>
    <w:p w14:paraId="33C52716" w14:textId="19B54791" w:rsidR="000A43EF" w:rsidRPr="00131BA5" w:rsidRDefault="000A43EF" w:rsidP="000A43EF">
      <w:pPr>
        <w:pStyle w:val="ListParagraph"/>
        <w:numPr>
          <w:ilvl w:val="0"/>
          <w:numId w:val="7"/>
        </w:numPr>
        <w:spacing w:after="0"/>
        <w:rPr>
          <w:bCs/>
          <w:sz w:val="24"/>
          <w:szCs w:val="24"/>
        </w:rPr>
      </w:pPr>
      <w:r w:rsidRPr="00131BA5">
        <w:rPr>
          <w:bCs/>
          <w:sz w:val="24"/>
          <w:szCs w:val="24"/>
        </w:rPr>
        <w:t>OSHA Information System (OIS)</w:t>
      </w:r>
    </w:p>
    <w:p w14:paraId="09162A61" w14:textId="264FCCB0" w:rsidR="00E602C4" w:rsidRPr="00131BA5" w:rsidRDefault="00E602C4" w:rsidP="000A43EF">
      <w:pPr>
        <w:pStyle w:val="ListParagraph"/>
        <w:numPr>
          <w:ilvl w:val="0"/>
          <w:numId w:val="7"/>
        </w:numPr>
        <w:spacing w:after="0"/>
        <w:rPr>
          <w:bCs/>
          <w:sz w:val="24"/>
          <w:szCs w:val="24"/>
        </w:rPr>
      </w:pPr>
      <w:r w:rsidRPr="00131BA5">
        <w:rPr>
          <w:bCs/>
          <w:sz w:val="24"/>
          <w:szCs w:val="24"/>
        </w:rPr>
        <w:t>State Plan Application (SPA)</w:t>
      </w:r>
    </w:p>
    <w:p w14:paraId="7EC30639" w14:textId="77777777" w:rsidR="000A43EF" w:rsidRPr="000A43EF" w:rsidRDefault="000A43EF" w:rsidP="000A43EF">
      <w:pPr>
        <w:pStyle w:val="ListParagraph"/>
        <w:spacing w:after="0"/>
        <w:rPr>
          <w:bCs/>
        </w:rPr>
      </w:pPr>
    </w:p>
    <w:p w14:paraId="51B991F5" w14:textId="7CE39538" w:rsidR="000A134A" w:rsidRPr="001C1E47" w:rsidRDefault="38CAC38E" w:rsidP="00622182">
      <w:pPr>
        <w:pStyle w:val="Heading3"/>
        <w:numPr>
          <w:ilvl w:val="0"/>
          <w:numId w:val="14"/>
        </w:numPr>
      </w:pPr>
      <w:bookmarkStart w:id="16" w:name="_Toc118900174"/>
      <w:bookmarkStart w:id="17" w:name="_Toc118905013"/>
      <w:bookmarkStart w:id="18" w:name="_Toc193191070"/>
      <w:r>
        <w:t>Findings and Observations</w:t>
      </w:r>
      <w:bookmarkEnd w:id="16"/>
      <w:bookmarkEnd w:id="17"/>
      <w:bookmarkEnd w:id="18"/>
    </w:p>
    <w:p w14:paraId="6C7BE9F8" w14:textId="77777777" w:rsidR="00E71FB7" w:rsidRPr="001C1E47" w:rsidRDefault="00E71FB7" w:rsidP="00783189">
      <w:pPr>
        <w:widowControl/>
        <w:autoSpaceDE/>
        <w:autoSpaceDN/>
        <w:adjustRightInd/>
        <w:rPr>
          <w:rFonts w:cs="Calibri"/>
          <w:highlight w:val="yellow"/>
          <w:u w:val="single"/>
        </w:rPr>
      </w:pPr>
    </w:p>
    <w:p w14:paraId="68CBB2BF" w14:textId="5E54E284" w:rsidR="004E505A" w:rsidRDefault="00456C45" w:rsidP="00783189">
      <w:pPr>
        <w:widowControl/>
        <w:autoSpaceDE/>
        <w:autoSpaceDN/>
        <w:adjustRightInd/>
        <w:rPr>
          <w:rFonts w:cs="Calibri"/>
        </w:rPr>
      </w:pPr>
      <w:r w:rsidRPr="00180D36">
        <w:rPr>
          <w:rFonts w:cs="Calibri"/>
        </w:rPr>
        <w:t>The</w:t>
      </w:r>
      <w:r w:rsidR="00C02C7B">
        <w:rPr>
          <w:rFonts w:cs="Calibri"/>
        </w:rPr>
        <w:t xml:space="preserve"> Washington</w:t>
      </w:r>
      <w:r w:rsidRPr="00180D36">
        <w:rPr>
          <w:rFonts w:cs="Calibri"/>
        </w:rPr>
        <w:t xml:space="preserve"> State Plan</w:t>
      </w:r>
      <w:r w:rsidR="005D5383" w:rsidRPr="00180D36">
        <w:rPr>
          <w:rFonts w:cs="Calibri"/>
        </w:rPr>
        <w:t xml:space="preserve"> made </w:t>
      </w:r>
      <w:r w:rsidR="004E505A" w:rsidRPr="00180D36">
        <w:rPr>
          <w:rFonts w:cs="Calibri"/>
        </w:rPr>
        <w:t>progre</w:t>
      </w:r>
      <w:r w:rsidR="00443054" w:rsidRPr="00180D36">
        <w:rPr>
          <w:rFonts w:cs="Calibri"/>
        </w:rPr>
        <w:t>ss to address</w:t>
      </w:r>
      <w:r w:rsidRPr="00180D36">
        <w:rPr>
          <w:rFonts w:cs="Calibri"/>
        </w:rPr>
        <w:t xml:space="preserve"> the previous </w:t>
      </w:r>
      <w:r w:rsidR="004E505A" w:rsidRPr="00180D36">
        <w:rPr>
          <w:rFonts w:cs="Calibri"/>
        </w:rPr>
        <w:t xml:space="preserve">finding and </w:t>
      </w:r>
      <w:r w:rsidR="00A4260A">
        <w:rPr>
          <w:rFonts w:cs="Calibri"/>
        </w:rPr>
        <w:t>10</w:t>
      </w:r>
      <w:r w:rsidRPr="00180D36">
        <w:rPr>
          <w:rFonts w:cs="Calibri"/>
        </w:rPr>
        <w:t xml:space="preserve"> observations from the FY </w:t>
      </w:r>
      <w:r w:rsidR="00512339" w:rsidRPr="00180D36">
        <w:rPr>
          <w:rFonts w:cs="Calibri"/>
        </w:rPr>
        <w:t>20</w:t>
      </w:r>
      <w:r w:rsidR="00185C7D" w:rsidRPr="00180D36">
        <w:rPr>
          <w:rFonts w:cs="Calibri"/>
        </w:rPr>
        <w:t>2</w:t>
      </w:r>
      <w:r w:rsidR="00A4260A">
        <w:rPr>
          <w:rFonts w:cs="Calibri"/>
        </w:rPr>
        <w:t>3</w:t>
      </w:r>
      <w:r w:rsidR="000003C7" w:rsidRPr="00180D36">
        <w:rPr>
          <w:rFonts w:cs="Calibri"/>
        </w:rPr>
        <w:t xml:space="preserve"> </w:t>
      </w:r>
      <w:r w:rsidRPr="00180D36">
        <w:rPr>
          <w:rFonts w:cs="Calibri"/>
        </w:rPr>
        <w:t xml:space="preserve">Comprehensive FAME </w:t>
      </w:r>
      <w:r w:rsidR="00C457DA">
        <w:rPr>
          <w:rFonts w:cs="Calibri"/>
        </w:rPr>
        <w:t>R</w:t>
      </w:r>
      <w:r w:rsidR="004E505A" w:rsidRPr="00180D36">
        <w:rPr>
          <w:rFonts w:cs="Calibri"/>
        </w:rPr>
        <w:t>eport</w:t>
      </w:r>
      <w:r w:rsidR="00DA690B">
        <w:rPr>
          <w:rFonts w:cs="Calibri"/>
        </w:rPr>
        <w:t xml:space="preserve">, and as a result, </w:t>
      </w:r>
      <w:bookmarkStart w:id="19" w:name="_Hlk134096452"/>
      <w:r w:rsidR="00914FAE">
        <w:rPr>
          <w:rFonts w:cs="Calibri"/>
        </w:rPr>
        <w:t xml:space="preserve">two </w:t>
      </w:r>
      <w:r w:rsidR="00DA690B">
        <w:rPr>
          <w:rFonts w:cs="Calibri"/>
        </w:rPr>
        <w:t xml:space="preserve">previous </w:t>
      </w:r>
      <w:r w:rsidR="004917E7">
        <w:rPr>
          <w:rFonts w:cs="Calibri"/>
        </w:rPr>
        <w:t>observation</w:t>
      </w:r>
      <w:r w:rsidR="00914FAE">
        <w:rPr>
          <w:rFonts w:cs="Calibri"/>
        </w:rPr>
        <w:t>s</w:t>
      </w:r>
      <w:r w:rsidR="004917E7">
        <w:rPr>
          <w:rFonts w:cs="Calibri"/>
        </w:rPr>
        <w:t xml:space="preserve"> </w:t>
      </w:r>
      <w:r w:rsidR="00914FAE">
        <w:rPr>
          <w:rFonts w:cs="Calibri"/>
        </w:rPr>
        <w:t xml:space="preserve">were </w:t>
      </w:r>
      <w:r w:rsidR="00E04653">
        <w:rPr>
          <w:rFonts w:cs="Calibri"/>
        </w:rPr>
        <w:t xml:space="preserve">closed this review period.  </w:t>
      </w:r>
      <w:r w:rsidR="004E505A" w:rsidRPr="00180D36">
        <w:rPr>
          <w:rFonts w:cs="Calibri"/>
        </w:rPr>
        <w:t xml:space="preserve">This follow-up FAME </w:t>
      </w:r>
      <w:r w:rsidR="005544E8">
        <w:rPr>
          <w:rFonts w:cs="Calibri"/>
        </w:rPr>
        <w:t>r</w:t>
      </w:r>
      <w:r w:rsidR="004E505A" w:rsidRPr="00180D36">
        <w:rPr>
          <w:rFonts w:cs="Calibri"/>
        </w:rPr>
        <w:t xml:space="preserve">eport contains </w:t>
      </w:r>
      <w:r w:rsidR="005C400E">
        <w:rPr>
          <w:rFonts w:cs="Calibri"/>
        </w:rPr>
        <w:t>one</w:t>
      </w:r>
      <w:r w:rsidR="005C400E" w:rsidRPr="005C400E">
        <w:t xml:space="preserve"> </w:t>
      </w:r>
      <w:r w:rsidR="005C400E" w:rsidRPr="005C400E">
        <w:rPr>
          <w:rFonts w:cs="Calibri"/>
        </w:rPr>
        <w:t>continued</w:t>
      </w:r>
      <w:r w:rsidR="005D5383" w:rsidRPr="00180D36">
        <w:rPr>
          <w:rFonts w:cs="Calibri"/>
        </w:rPr>
        <w:t xml:space="preserve"> finding</w:t>
      </w:r>
      <w:r w:rsidR="00D65542">
        <w:rPr>
          <w:rFonts w:cs="Calibri"/>
        </w:rPr>
        <w:t xml:space="preserve"> and nine continued</w:t>
      </w:r>
      <w:r w:rsidR="1EAB270B" w:rsidRPr="674FF59B">
        <w:rPr>
          <w:rFonts w:cs="Calibri"/>
        </w:rPr>
        <w:t xml:space="preserve"> </w:t>
      </w:r>
      <w:r w:rsidR="6FA192DE" w:rsidRPr="674FF59B">
        <w:rPr>
          <w:rFonts w:cs="Calibri"/>
        </w:rPr>
        <w:t>observations</w:t>
      </w:r>
      <w:r w:rsidR="37D589F4" w:rsidRPr="674FF59B">
        <w:rPr>
          <w:rFonts w:cs="Calibri"/>
        </w:rPr>
        <w:t>.</w:t>
      </w:r>
      <w:r w:rsidR="004E505A" w:rsidRPr="00180D36">
        <w:rPr>
          <w:rFonts w:cs="Calibri"/>
        </w:rPr>
        <w:t xml:space="preserve"> </w:t>
      </w:r>
      <w:bookmarkEnd w:id="19"/>
      <w:r w:rsidR="005544E8">
        <w:rPr>
          <w:rFonts w:cs="Calibri"/>
        </w:rPr>
        <w:t xml:space="preserve"> </w:t>
      </w:r>
      <w:r w:rsidR="004E505A" w:rsidRPr="00180D36">
        <w:rPr>
          <w:rFonts w:cs="Calibri"/>
        </w:rPr>
        <w:t>Appendix A describes the continued findings and</w:t>
      </w:r>
      <w:r w:rsidR="00982EF4" w:rsidRPr="00180D36">
        <w:rPr>
          <w:rFonts w:cs="Calibri"/>
        </w:rPr>
        <w:t xml:space="preserve"> </w:t>
      </w:r>
      <w:r w:rsidR="004E505A" w:rsidRPr="00180D36">
        <w:rPr>
          <w:rFonts w:cs="Calibri"/>
        </w:rPr>
        <w:t>recommendations.  Appendix B describes observations subject to continued monitoring</w:t>
      </w:r>
      <w:r w:rsidR="001E4F8A" w:rsidRPr="00180D36">
        <w:rPr>
          <w:rFonts w:cs="Calibri"/>
        </w:rPr>
        <w:t xml:space="preserve"> and the related federal monitoring plan</w:t>
      </w:r>
      <w:r w:rsidR="004E505A" w:rsidRPr="00180D36">
        <w:rPr>
          <w:rFonts w:cs="Calibri"/>
        </w:rPr>
        <w:t>.  Appendix C describes the status of each FY 20</w:t>
      </w:r>
      <w:r w:rsidR="00B66C2A" w:rsidRPr="00180D36">
        <w:rPr>
          <w:rFonts w:cs="Calibri"/>
        </w:rPr>
        <w:t>2</w:t>
      </w:r>
      <w:r w:rsidR="00261CEB">
        <w:rPr>
          <w:rFonts w:cs="Calibri"/>
        </w:rPr>
        <w:t>3</w:t>
      </w:r>
      <w:r w:rsidR="004E505A" w:rsidRPr="00180D36">
        <w:rPr>
          <w:rFonts w:cs="Calibri"/>
        </w:rPr>
        <w:t xml:space="preserve"> </w:t>
      </w:r>
      <w:r w:rsidR="00B66C2A" w:rsidRPr="00180D36">
        <w:rPr>
          <w:rFonts w:cs="Calibri"/>
        </w:rPr>
        <w:t xml:space="preserve">finding and </w:t>
      </w:r>
      <w:r w:rsidR="004E505A" w:rsidRPr="00180D36">
        <w:rPr>
          <w:rFonts w:cs="Calibri"/>
        </w:rPr>
        <w:t>recommendation in detail.</w:t>
      </w:r>
    </w:p>
    <w:p w14:paraId="699539B4" w14:textId="77777777" w:rsidR="004E505A" w:rsidRPr="001C1E47" w:rsidRDefault="004E505A" w:rsidP="00783189">
      <w:pPr>
        <w:widowControl/>
        <w:autoSpaceDE/>
        <w:autoSpaceDN/>
        <w:adjustRightInd/>
        <w:rPr>
          <w:rFonts w:cs="Calibri"/>
          <w:highlight w:val="yellow"/>
        </w:rPr>
      </w:pPr>
    </w:p>
    <w:p w14:paraId="09F52672" w14:textId="6C80EDFA" w:rsidR="1B99C3D8" w:rsidRDefault="1B99C3D8" w:rsidP="5991425A">
      <w:pPr>
        <w:widowControl/>
        <w:rPr>
          <w:rFonts w:eastAsia="Calibri" w:cs="Calibri"/>
        </w:rPr>
      </w:pPr>
      <w:r w:rsidRPr="5991425A">
        <w:rPr>
          <w:rFonts w:eastAsia="Calibri" w:cs="Calibri"/>
          <w:b/>
          <w:bCs/>
          <w:color w:val="000000" w:themeColor="text1"/>
        </w:rPr>
        <w:t>Findings (Status of Previous and New Items)</w:t>
      </w:r>
    </w:p>
    <w:p w14:paraId="03F9A971" w14:textId="12EC47D5" w:rsidR="5991425A" w:rsidRDefault="5991425A" w:rsidP="5991425A">
      <w:pPr>
        <w:widowControl/>
        <w:rPr>
          <w:rFonts w:cs="Calibri"/>
          <w:b/>
          <w:bCs/>
        </w:rPr>
      </w:pPr>
    </w:p>
    <w:p w14:paraId="1CD392F2" w14:textId="3E7960F6" w:rsidR="005C1BFC" w:rsidRPr="0061362E" w:rsidRDefault="15A18E2B" w:rsidP="00783189">
      <w:pPr>
        <w:widowControl/>
        <w:autoSpaceDE/>
        <w:autoSpaceDN/>
        <w:adjustRightInd/>
        <w:rPr>
          <w:rFonts w:cs="Calibri"/>
          <w:b/>
          <w:bCs/>
        </w:rPr>
      </w:pPr>
      <w:r w:rsidRPr="5991425A">
        <w:rPr>
          <w:rFonts w:cs="Calibri"/>
          <w:b/>
          <w:bCs/>
        </w:rPr>
        <w:t xml:space="preserve">Completed </w:t>
      </w:r>
      <w:r w:rsidR="667A7224" w:rsidRPr="5991425A">
        <w:rPr>
          <w:rFonts w:cs="Calibri"/>
          <w:b/>
          <w:bCs/>
        </w:rPr>
        <w:t>Finding</w:t>
      </w:r>
      <w:r w:rsidR="1D6D03CB" w:rsidRPr="5991425A">
        <w:rPr>
          <w:rFonts w:cs="Calibri"/>
          <w:b/>
          <w:bCs/>
        </w:rPr>
        <w:t>s</w:t>
      </w:r>
    </w:p>
    <w:p w14:paraId="7BB91E9C" w14:textId="77777777" w:rsidR="007C0A36" w:rsidRPr="001C1E47" w:rsidRDefault="007C0A36" w:rsidP="00783189">
      <w:pPr>
        <w:widowControl/>
        <w:autoSpaceDE/>
        <w:autoSpaceDN/>
        <w:adjustRightInd/>
        <w:rPr>
          <w:rFonts w:cs="Calibri"/>
          <w:highlight w:val="yellow"/>
          <w:u w:val="single"/>
        </w:rPr>
      </w:pPr>
    </w:p>
    <w:p w14:paraId="3F39077B" w14:textId="565DCB3C" w:rsidR="291E0D53" w:rsidRDefault="291E0D53" w:rsidP="5991425A">
      <w:pPr>
        <w:widowControl/>
        <w:rPr>
          <w:rFonts w:eastAsia="Calibri" w:cs="Calibri"/>
        </w:rPr>
      </w:pPr>
      <w:r w:rsidRPr="5991425A">
        <w:rPr>
          <w:rFonts w:eastAsia="Calibri" w:cs="Calibri"/>
          <w:color w:val="000000" w:themeColor="text1"/>
        </w:rPr>
        <w:t xml:space="preserve">There were no completed findings in FY 2024. </w:t>
      </w:r>
      <w:r w:rsidRPr="5991425A">
        <w:rPr>
          <w:rFonts w:eastAsia="Calibri" w:cs="Calibri"/>
        </w:rPr>
        <w:t xml:space="preserve"> </w:t>
      </w:r>
    </w:p>
    <w:p w14:paraId="72D502AF" w14:textId="44BA3445" w:rsidR="5991425A" w:rsidRDefault="5991425A" w:rsidP="5991425A">
      <w:pPr>
        <w:widowControl/>
        <w:rPr>
          <w:rFonts w:eastAsia="Calibri" w:cs="Calibri"/>
        </w:rPr>
      </w:pPr>
    </w:p>
    <w:p w14:paraId="2173071C" w14:textId="7AA8533D" w:rsidR="291E0D53" w:rsidRDefault="291E0D53" w:rsidP="5991425A">
      <w:pPr>
        <w:widowControl/>
        <w:rPr>
          <w:rFonts w:eastAsia="Calibri" w:cs="Calibri"/>
          <w:color w:val="000000" w:themeColor="text1"/>
        </w:rPr>
      </w:pPr>
      <w:r w:rsidRPr="5991425A">
        <w:rPr>
          <w:rFonts w:eastAsia="Calibri" w:cs="Calibri"/>
          <w:b/>
          <w:bCs/>
          <w:color w:val="000000" w:themeColor="text1"/>
        </w:rPr>
        <w:t>Closed Findings</w:t>
      </w:r>
    </w:p>
    <w:p w14:paraId="6E41BE6B" w14:textId="2412B733" w:rsidR="5991425A" w:rsidRDefault="5991425A" w:rsidP="5991425A">
      <w:pPr>
        <w:widowControl/>
        <w:rPr>
          <w:rFonts w:eastAsia="Calibri" w:cs="Calibri"/>
          <w:color w:val="000000" w:themeColor="text1"/>
        </w:rPr>
      </w:pPr>
    </w:p>
    <w:p w14:paraId="6845478E" w14:textId="0EC58935" w:rsidR="291E0D53" w:rsidRDefault="291E0D53" w:rsidP="5991425A">
      <w:pPr>
        <w:widowControl/>
        <w:rPr>
          <w:rFonts w:eastAsia="Calibri" w:cs="Calibri"/>
          <w:color w:val="000000" w:themeColor="text1"/>
        </w:rPr>
      </w:pPr>
      <w:r w:rsidRPr="5991425A">
        <w:rPr>
          <w:rFonts w:eastAsia="Calibri" w:cs="Calibri"/>
          <w:color w:val="000000" w:themeColor="text1"/>
        </w:rPr>
        <w:t>There were no closed findings in FY 2024.</w:t>
      </w:r>
    </w:p>
    <w:p w14:paraId="0CFEC9C0" w14:textId="77777777" w:rsidR="00733D36" w:rsidRPr="001C1E47" w:rsidRDefault="00733D36" w:rsidP="00783189">
      <w:pPr>
        <w:widowControl/>
        <w:autoSpaceDE/>
        <w:autoSpaceDN/>
        <w:adjustRightInd/>
        <w:rPr>
          <w:rFonts w:cs="Calibri"/>
        </w:rPr>
      </w:pPr>
    </w:p>
    <w:p w14:paraId="66699C18" w14:textId="6E81F7D6" w:rsidR="00A33959" w:rsidRPr="00530ED9" w:rsidRDefault="7B25DBB0" w:rsidP="5991425A">
      <w:pPr>
        <w:widowControl/>
        <w:autoSpaceDE/>
        <w:autoSpaceDN/>
        <w:adjustRightInd/>
        <w:rPr>
          <w:rFonts w:cs="Calibri"/>
          <w:b/>
          <w:bCs/>
          <w:i/>
          <w:iCs/>
        </w:rPr>
      </w:pPr>
      <w:r w:rsidRPr="5991425A">
        <w:rPr>
          <w:rFonts w:cs="Calibri"/>
          <w:b/>
          <w:bCs/>
        </w:rPr>
        <w:t>Continued</w:t>
      </w:r>
      <w:r w:rsidR="0372E009" w:rsidRPr="5991425A">
        <w:rPr>
          <w:rFonts w:cs="Calibri"/>
          <w:b/>
          <w:bCs/>
        </w:rPr>
        <w:t xml:space="preserve"> </w:t>
      </w:r>
      <w:r w:rsidR="667A7224" w:rsidRPr="5991425A">
        <w:rPr>
          <w:rFonts w:cs="Calibri"/>
          <w:b/>
          <w:bCs/>
        </w:rPr>
        <w:t>Findings</w:t>
      </w:r>
      <w:r w:rsidR="73887818" w:rsidRPr="5991425A">
        <w:rPr>
          <w:rFonts w:cs="Calibri"/>
          <w:b/>
          <w:bCs/>
        </w:rPr>
        <w:t xml:space="preserve"> </w:t>
      </w:r>
    </w:p>
    <w:p w14:paraId="7C96273F" w14:textId="77777777" w:rsidR="00A33959" w:rsidRPr="00530ED9" w:rsidRDefault="00A33959" w:rsidP="00783189">
      <w:pPr>
        <w:widowControl/>
        <w:tabs>
          <w:tab w:val="center" w:pos="270"/>
          <w:tab w:val="left" w:pos="360"/>
        </w:tabs>
        <w:autoSpaceDE/>
        <w:autoSpaceDN/>
        <w:adjustRightInd/>
        <w:rPr>
          <w:rFonts w:eastAsia="Calibri" w:cs="Calibri"/>
          <w:b/>
        </w:rPr>
      </w:pPr>
    </w:p>
    <w:p w14:paraId="6F72A3A7" w14:textId="69956658" w:rsidR="00A33959" w:rsidRPr="001C1E47" w:rsidRDefault="2A7C4360" w:rsidP="00783189">
      <w:pPr>
        <w:widowControl/>
        <w:tabs>
          <w:tab w:val="center" w:pos="270"/>
          <w:tab w:val="left" w:pos="360"/>
        </w:tabs>
        <w:autoSpaceDE/>
        <w:autoSpaceDN/>
        <w:adjustRightInd/>
        <w:rPr>
          <w:rFonts w:eastAsia="Calibri" w:cs="Calibri"/>
        </w:rPr>
      </w:pPr>
      <w:r w:rsidRPr="5991425A">
        <w:rPr>
          <w:rFonts w:eastAsia="Calibri" w:cs="Calibri"/>
          <w:b/>
          <w:bCs/>
        </w:rPr>
        <w:t xml:space="preserve">Finding </w:t>
      </w:r>
      <w:r w:rsidR="577A7093" w:rsidRPr="5991425A">
        <w:rPr>
          <w:rFonts w:eastAsia="Calibri" w:cs="Calibri"/>
          <w:b/>
          <w:bCs/>
        </w:rPr>
        <w:t>FY 202</w:t>
      </w:r>
      <w:r w:rsidR="6BBC042A" w:rsidRPr="5991425A">
        <w:rPr>
          <w:rFonts w:eastAsia="Calibri" w:cs="Calibri"/>
          <w:b/>
          <w:bCs/>
        </w:rPr>
        <w:t>4</w:t>
      </w:r>
      <w:r w:rsidR="577A7093" w:rsidRPr="5991425A">
        <w:rPr>
          <w:rFonts w:eastAsia="Calibri" w:cs="Calibri"/>
          <w:b/>
          <w:bCs/>
        </w:rPr>
        <w:t>-01</w:t>
      </w:r>
      <w:r w:rsidRPr="5991425A">
        <w:rPr>
          <w:rFonts w:eastAsia="Calibri" w:cs="Calibri"/>
          <w:b/>
          <w:bCs/>
        </w:rPr>
        <w:t xml:space="preserve">: </w:t>
      </w:r>
      <w:r w:rsidR="6706F3AB" w:rsidRPr="5991425A">
        <w:rPr>
          <w:rFonts w:eastAsia="Calibri" w:cs="Calibri"/>
          <w:b/>
          <w:bCs/>
        </w:rPr>
        <w:t xml:space="preserve"> </w:t>
      </w:r>
      <w:r w:rsidR="1082775D" w:rsidRPr="5991425A">
        <w:rPr>
          <w:rFonts w:asciiTheme="minorHAnsi" w:hAnsiTheme="minorHAnsi" w:cstheme="minorBidi"/>
        </w:rPr>
        <w:t xml:space="preserve">In FY </w:t>
      </w:r>
      <w:r w:rsidR="001134BA">
        <w:rPr>
          <w:rFonts w:asciiTheme="minorHAnsi" w:hAnsiTheme="minorHAnsi" w:cstheme="minorBidi"/>
        </w:rPr>
        <w:t>2024</w:t>
      </w:r>
      <w:r w:rsidR="1082775D" w:rsidRPr="5991425A">
        <w:rPr>
          <w:rFonts w:asciiTheme="minorHAnsi" w:hAnsiTheme="minorHAnsi" w:cstheme="minorBidi"/>
        </w:rPr>
        <w:t>, standards were not adopted by their due date.</w:t>
      </w:r>
    </w:p>
    <w:p w14:paraId="1BFD3508" w14:textId="77777777" w:rsidR="00A33959" w:rsidRPr="001C1E47" w:rsidRDefault="00A33959" w:rsidP="00783189">
      <w:pPr>
        <w:widowControl/>
        <w:tabs>
          <w:tab w:val="center" w:pos="270"/>
          <w:tab w:val="left" w:pos="360"/>
        </w:tabs>
        <w:autoSpaceDE/>
        <w:autoSpaceDN/>
        <w:adjustRightInd/>
        <w:rPr>
          <w:rFonts w:eastAsia="Calibri" w:cs="Calibri"/>
        </w:rPr>
      </w:pPr>
    </w:p>
    <w:p w14:paraId="36EC54B1" w14:textId="574E1A86" w:rsidR="0E180F53" w:rsidRDefault="2A7C4360" w:rsidP="519928FB">
      <w:pPr>
        <w:widowControl/>
        <w:rPr>
          <w:rFonts w:eastAsia="Calibri" w:cs="Calibri"/>
        </w:rPr>
      </w:pPr>
      <w:r w:rsidRPr="5991425A">
        <w:rPr>
          <w:rFonts w:eastAsia="Calibri" w:cs="Calibri"/>
          <w:b/>
          <w:bCs/>
        </w:rPr>
        <w:t>Status:</w:t>
      </w:r>
      <w:r w:rsidRPr="5991425A">
        <w:rPr>
          <w:rFonts w:eastAsia="Calibri" w:cs="Calibri"/>
        </w:rPr>
        <w:t xml:space="preserve"> </w:t>
      </w:r>
      <w:r w:rsidR="00CE2E24">
        <w:rPr>
          <w:rFonts w:eastAsia="Calibri" w:cs="Calibri"/>
        </w:rPr>
        <w:t>During the review period</w:t>
      </w:r>
      <w:r w:rsidR="00C4303A">
        <w:rPr>
          <w:rFonts w:eastAsia="Calibri" w:cs="Calibri"/>
        </w:rPr>
        <w:t xml:space="preserve">, </w:t>
      </w:r>
      <w:r w:rsidR="5B661051" w:rsidRPr="5991425A">
        <w:rPr>
          <w:rFonts w:eastAsia="Calibri" w:cs="Calibri"/>
        </w:rPr>
        <w:t xml:space="preserve">OSHA issued </w:t>
      </w:r>
      <w:r w:rsidR="00D442EB">
        <w:rPr>
          <w:rFonts w:eastAsia="Calibri" w:cs="Calibri"/>
        </w:rPr>
        <w:t xml:space="preserve">three standards.  </w:t>
      </w:r>
      <w:r w:rsidR="3145E762" w:rsidRPr="5991425A">
        <w:rPr>
          <w:rFonts w:eastAsia="Calibri" w:cs="Calibri"/>
        </w:rPr>
        <w:t xml:space="preserve">DOSH </w:t>
      </w:r>
      <w:r w:rsidR="1C8FF7B4" w:rsidRPr="5991425A">
        <w:rPr>
          <w:rFonts w:eastAsia="Calibri" w:cs="Calibri"/>
        </w:rPr>
        <w:t xml:space="preserve">provided a timely response with its intent </w:t>
      </w:r>
      <w:r w:rsidR="431DECE6" w:rsidRPr="519928FB">
        <w:rPr>
          <w:rFonts w:eastAsia="Calibri" w:cs="Calibri"/>
        </w:rPr>
        <w:t>for</w:t>
      </w:r>
      <w:r w:rsidR="00577BBE" w:rsidRPr="00A5700F">
        <w:rPr>
          <w:rFonts w:eastAsia="Calibri" w:cs="Calibri"/>
        </w:rPr>
        <w:t xml:space="preserve"> </w:t>
      </w:r>
      <w:r w:rsidR="47F28E4C" w:rsidRPr="00625487">
        <w:rPr>
          <w:rFonts w:eastAsia="Calibri" w:cs="Calibri"/>
        </w:rPr>
        <w:t>all three</w:t>
      </w:r>
      <w:r w:rsidR="00577BBE" w:rsidRPr="519928FB">
        <w:rPr>
          <w:rFonts w:eastAsia="Calibri" w:cs="Calibri"/>
        </w:rPr>
        <w:t xml:space="preserve"> </w:t>
      </w:r>
      <w:r w:rsidR="00577BBE">
        <w:rPr>
          <w:rFonts w:eastAsia="Calibri" w:cs="Calibri"/>
        </w:rPr>
        <w:t xml:space="preserve">(100%).  </w:t>
      </w:r>
      <w:r w:rsidR="00C95E54">
        <w:rPr>
          <w:rFonts w:eastAsia="Calibri" w:cs="Calibri"/>
        </w:rPr>
        <w:t>T</w:t>
      </w:r>
      <w:r w:rsidR="00E75077">
        <w:rPr>
          <w:rFonts w:eastAsia="Calibri" w:cs="Calibri"/>
        </w:rPr>
        <w:t>hree</w:t>
      </w:r>
      <w:r w:rsidR="0E180F53" w:rsidRPr="519928FB">
        <w:rPr>
          <w:rFonts w:eastAsia="Calibri" w:cs="Calibri"/>
        </w:rPr>
        <w:t xml:space="preserve"> standard adoptions remain</w:t>
      </w:r>
      <w:r w:rsidR="00E75077">
        <w:rPr>
          <w:rFonts w:eastAsia="Calibri" w:cs="Calibri"/>
        </w:rPr>
        <w:t>ed</w:t>
      </w:r>
      <w:r w:rsidR="0E180F53" w:rsidRPr="519928FB">
        <w:rPr>
          <w:rFonts w:eastAsia="Calibri" w:cs="Calibri"/>
        </w:rPr>
        <w:t xml:space="preserve"> open and overdue from the previous review period,</w:t>
      </w:r>
      <w:r w:rsidR="00B5083B">
        <w:rPr>
          <w:rFonts w:eastAsia="Calibri" w:cs="Calibri"/>
        </w:rPr>
        <w:t xml:space="preserve"> including the Final Rule on Crane Operator Certification Requirements, Final Rule on Standards Improvement Project Phase IV, and Final Rule to Improve Tracking of Workplace Injuries and Illnesses.  </w:t>
      </w:r>
    </w:p>
    <w:p w14:paraId="64FB2515" w14:textId="77777777" w:rsidR="00E03FFC" w:rsidRDefault="00E03FFC" w:rsidP="5991425A">
      <w:pPr>
        <w:widowControl/>
        <w:autoSpaceDE/>
        <w:autoSpaceDN/>
        <w:adjustRightInd/>
        <w:rPr>
          <w:rFonts w:eastAsia="Calibri" w:cs="Calibri"/>
        </w:rPr>
      </w:pPr>
    </w:p>
    <w:p w14:paraId="28D50A17" w14:textId="0B452ECE" w:rsidR="007A3249" w:rsidRDefault="00FB786D" w:rsidP="5991425A">
      <w:pPr>
        <w:widowControl/>
        <w:autoSpaceDE/>
        <w:autoSpaceDN/>
        <w:adjustRightInd/>
        <w:rPr>
          <w:rFonts w:eastAsia="Calibri" w:cs="Calibri"/>
        </w:rPr>
      </w:pPr>
      <w:r>
        <w:rPr>
          <w:rFonts w:eastAsia="Calibri" w:cs="Calibri"/>
        </w:rPr>
        <w:t xml:space="preserve">Washington’s </w:t>
      </w:r>
      <w:r w:rsidR="00E03FFC">
        <w:rPr>
          <w:rFonts w:eastAsia="Calibri" w:cs="Calibri"/>
        </w:rPr>
        <w:t xml:space="preserve">goal </w:t>
      </w:r>
      <w:r w:rsidR="00456F54">
        <w:rPr>
          <w:rFonts w:eastAsia="Calibri" w:cs="Calibri"/>
        </w:rPr>
        <w:t>was</w:t>
      </w:r>
      <w:r w:rsidR="00E03FFC">
        <w:rPr>
          <w:rFonts w:eastAsia="Calibri" w:cs="Calibri"/>
        </w:rPr>
        <w:t xml:space="preserve"> to adopt </w:t>
      </w:r>
      <w:r w:rsidR="67172036" w:rsidRPr="519928FB">
        <w:rPr>
          <w:rFonts w:eastAsia="Calibri" w:cs="Calibri"/>
        </w:rPr>
        <w:t>standards</w:t>
      </w:r>
      <w:r w:rsidR="00E03FFC">
        <w:rPr>
          <w:rFonts w:eastAsia="Calibri" w:cs="Calibri"/>
        </w:rPr>
        <w:t xml:space="preserve"> within six months, but </w:t>
      </w:r>
      <w:r w:rsidR="005B19AC">
        <w:rPr>
          <w:rFonts w:eastAsia="Calibri" w:cs="Calibri"/>
        </w:rPr>
        <w:t xml:space="preserve">the </w:t>
      </w:r>
      <w:r w:rsidR="00AA1279">
        <w:rPr>
          <w:rFonts w:eastAsia="Calibri" w:cs="Calibri"/>
        </w:rPr>
        <w:t>process</w:t>
      </w:r>
      <w:r w:rsidR="005B19AC">
        <w:rPr>
          <w:rFonts w:eastAsia="Calibri" w:cs="Calibri"/>
        </w:rPr>
        <w:t xml:space="preserve"> </w:t>
      </w:r>
      <w:r w:rsidR="13B634D5" w:rsidRPr="519928FB">
        <w:rPr>
          <w:rFonts w:eastAsia="Calibri" w:cs="Calibri"/>
        </w:rPr>
        <w:t xml:space="preserve">typically </w:t>
      </w:r>
      <w:r w:rsidR="005B19AC">
        <w:rPr>
          <w:rFonts w:eastAsia="Calibri" w:cs="Calibri"/>
        </w:rPr>
        <w:t>takes longer and does not align with OSHA’s</w:t>
      </w:r>
      <w:r w:rsidR="00AA1279">
        <w:rPr>
          <w:rFonts w:eastAsia="Calibri" w:cs="Calibri"/>
        </w:rPr>
        <w:t xml:space="preserve"> timelines</w:t>
      </w:r>
      <w:r w:rsidR="005B19AC">
        <w:rPr>
          <w:rFonts w:eastAsia="Calibri" w:cs="Calibri"/>
        </w:rPr>
        <w:t xml:space="preserve">.  </w:t>
      </w:r>
      <w:r w:rsidR="00456F54">
        <w:rPr>
          <w:rFonts w:eastAsia="Calibri" w:cs="Calibri"/>
        </w:rPr>
        <w:t>Washington tried</w:t>
      </w:r>
      <w:r w:rsidR="005B19AC">
        <w:rPr>
          <w:rFonts w:eastAsia="Calibri" w:cs="Calibri"/>
        </w:rPr>
        <w:t xml:space="preserve"> to use the expedited rulemaking process whenever possible, but there is an objection period </w:t>
      </w:r>
      <w:r w:rsidR="00E26D55">
        <w:rPr>
          <w:rFonts w:eastAsia="Calibri" w:cs="Calibri"/>
        </w:rPr>
        <w:t xml:space="preserve">that </w:t>
      </w:r>
      <w:r w:rsidR="00456F54">
        <w:rPr>
          <w:rFonts w:eastAsia="Calibri" w:cs="Calibri"/>
        </w:rPr>
        <w:t xml:space="preserve">may </w:t>
      </w:r>
      <w:r w:rsidR="00AA1279">
        <w:rPr>
          <w:rFonts w:eastAsia="Calibri" w:cs="Calibri"/>
        </w:rPr>
        <w:t>slow</w:t>
      </w:r>
      <w:r w:rsidR="00334387">
        <w:rPr>
          <w:rFonts w:eastAsia="Calibri" w:cs="Calibri"/>
        </w:rPr>
        <w:t xml:space="preserve"> the</w:t>
      </w:r>
      <w:r w:rsidR="00E26D55">
        <w:rPr>
          <w:rFonts w:eastAsia="Calibri" w:cs="Calibri"/>
        </w:rPr>
        <w:t xml:space="preserve"> process.  Washington continue</w:t>
      </w:r>
      <w:r w:rsidR="00334387">
        <w:rPr>
          <w:rFonts w:eastAsia="Calibri" w:cs="Calibri"/>
        </w:rPr>
        <w:t>d</w:t>
      </w:r>
      <w:r w:rsidR="00E26D55">
        <w:rPr>
          <w:rFonts w:eastAsia="Calibri" w:cs="Calibri"/>
        </w:rPr>
        <w:t xml:space="preserve"> to communicate federal program change information to OSHA frequently throughout the review period</w:t>
      </w:r>
      <w:r w:rsidR="00334387">
        <w:rPr>
          <w:rFonts w:eastAsia="Calibri" w:cs="Calibri"/>
        </w:rPr>
        <w:t xml:space="preserve">, even </w:t>
      </w:r>
      <w:r w:rsidR="009D044A">
        <w:rPr>
          <w:rFonts w:eastAsia="Calibri" w:cs="Calibri"/>
        </w:rPr>
        <w:t>when</w:t>
      </w:r>
      <w:r w:rsidR="00334387">
        <w:rPr>
          <w:rFonts w:eastAsia="Calibri" w:cs="Calibri"/>
        </w:rPr>
        <w:t xml:space="preserve"> timeframes were not met</w:t>
      </w:r>
      <w:r w:rsidR="00E26D55">
        <w:rPr>
          <w:rFonts w:eastAsia="Calibri" w:cs="Calibri"/>
        </w:rPr>
        <w:t>.  T</w:t>
      </w:r>
      <w:r w:rsidR="0055331D">
        <w:rPr>
          <w:rFonts w:eastAsia="Calibri" w:cs="Calibri"/>
        </w:rPr>
        <w:t xml:space="preserve">his finding is continued.  </w:t>
      </w:r>
    </w:p>
    <w:p w14:paraId="1BB13993" w14:textId="77777777" w:rsidR="00F202BC" w:rsidRDefault="00F202BC" w:rsidP="00783189">
      <w:pPr>
        <w:widowControl/>
        <w:autoSpaceDE/>
        <w:autoSpaceDN/>
        <w:adjustRightInd/>
        <w:rPr>
          <w:rFonts w:cs="Calibri"/>
          <w:b/>
          <w:color w:val="0070C0"/>
        </w:rPr>
      </w:pPr>
    </w:p>
    <w:p w14:paraId="2D0C820B" w14:textId="6FECB66B" w:rsidR="005C1BFC" w:rsidRDefault="28CA39A5" w:rsidP="5991425A">
      <w:pPr>
        <w:widowControl/>
        <w:autoSpaceDE/>
        <w:autoSpaceDN/>
        <w:adjustRightInd/>
        <w:rPr>
          <w:rFonts w:cs="Calibri"/>
          <w:b/>
          <w:bCs/>
        </w:rPr>
      </w:pPr>
      <w:r w:rsidRPr="5991425A">
        <w:rPr>
          <w:rFonts w:cs="Calibri"/>
          <w:b/>
          <w:bCs/>
        </w:rPr>
        <w:t xml:space="preserve">New </w:t>
      </w:r>
      <w:r w:rsidR="55AEFBFC" w:rsidRPr="5991425A">
        <w:rPr>
          <w:rFonts w:cs="Calibri"/>
          <w:b/>
          <w:bCs/>
        </w:rPr>
        <w:t>FY 202</w:t>
      </w:r>
      <w:r w:rsidR="3A68D02E" w:rsidRPr="5991425A">
        <w:rPr>
          <w:rFonts w:cs="Calibri"/>
          <w:b/>
          <w:bCs/>
        </w:rPr>
        <w:t>4</w:t>
      </w:r>
      <w:r w:rsidR="55AEFBFC" w:rsidRPr="5991425A">
        <w:rPr>
          <w:rFonts w:cs="Calibri"/>
          <w:b/>
          <w:bCs/>
        </w:rPr>
        <w:t xml:space="preserve"> Finding </w:t>
      </w:r>
    </w:p>
    <w:p w14:paraId="37261AA4" w14:textId="4D735E53" w:rsidR="5991425A" w:rsidRDefault="5991425A" w:rsidP="5991425A">
      <w:pPr>
        <w:widowControl/>
        <w:rPr>
          <w:rFonts w:cs="Calibri"/>
          <w:b/>
          <w:bCs/>
        </w:rPr>
      </w:pPr>
    </w:p>
    <w:p w14:paraId="040C8CDE" w14:textId="568344AA" w:rsidR="5FD11C93" w:rsidRDefault="5FD11C93" w:rsidP="5991425A">
      <w:pPr>
        <w:widowControl/>
        <w:rPr>
          <w:rFonts w:eastAsia="Calibri" w:cs="Calibri"/>
        </w:rPr>
      </w:pPr>
      <w:r w:rsidRPr="5991425A">
        <w:rPr>
          <w:rFonts w:eastAsia="Calibri" w:cs="Calibri"/>
          <w:color w:val="000000" w:themeColor="text1"/>
        </w:rPr>
        <w:t xml:space="preserve">There were no new findings identified in FY 2024. </w:t>
      </w:r>
      <w:r w:rsidRPr="5991425A">
        <w:rPr>
          <w:rFonts w:eastAsia="Calibri" w:cs="Calibri"/>
        </w:rPr>
        <w:t xml:space="preserve"> </w:t>
      </w:r>
    </w:p>
    <w:p w14:paraId="6FB67BEE" w14:textId="4197C1E4" w:rsidR="5991425A" w:rsidRDefault="5991425A" w:rsidP="5991425A">
      <w:pPr>
        <w:widowControl/>
        <w:rPr>
          <w:rFonts w:cs="Calibri"/>
          <w:b/>
          <w:bCs/>
        </w:rPr>
      </w:pPr>
    </w:p>
    <w:p w14:paraId="1887BAC9" w14:textId="2BF3E52E" w:rsidR="5FD11C93" w:rsidRDefault="5FD11C93" w:rsidP="5991425A">
      <w:pPr>
        <w:widowControl/>
        <w:rPr>
          <w:rFonts w:eastAsia="Calibri" w:cs="Calibri"/>
        </w:rPr>
      </w:pPr>
      <w:r w:rsidRPr="5991425A">
        <w:rPr>
          <w:rFonts w:eastAsia="Calibri" w:cs="Calibri"/>
          <w:b/>
          <w:bCs/>
          <w:color w:val="000000" w:themeColor="text1"/>
        </w:rPr>
        <w:t>Observations (Status of Previous and New Items)</w:t>
      </w:r>
    </w:p>
    <w:p w14:paraId="35804140" w14:textId="7C5BE743" w:rsidR="5991425A" w:rsidRDefault="5991425A" w:rsidP="5991425A">
      <w:pPr>
        <w:widowControl/>
        <w:rPr>
          <w:rFonts w:cs="Calibri"/>
          <w:b/>
          <w:bCs/>
        </w:rPr>
      </w:pPr>
    </w:p>
    <w:p w14:paraId="797DBF32" w14:textId="39CE6C19" w:rsidR="00211016" w:rsidRPr="00DC107C" w:rsidRDefault="14ECCA66" w:rsidP="5991425A">
      <w:pPr>
        <w:widowControl/>
        <w:autoSpaceDE/>
        <w:autoSpaceDN/>
        <w:adjustRightInd/>
        <w:rPr>
          <w:rFonts w:cs="Calibri"/>
          <w:b/>
          <w:bCs/>
        </w:rPr>
      </w:pPr>
      <w:r w:rsidRPr="5991425A">
        <w:rPr>
          <w:rFonts w:cs="Calibri"/>
          <w:b/>
          <w:bCs/>
        </w:rPr>
        <w:t>Closed Observation</w:t>
      </w:r>
      <w:r w:rsidR="000317F3">
        <w:rPr>
          <w:rFonts w:cs="Calibri"/>
          <w:b/>
          <w:bCs/>
        </w:rPr>
        <w:t>s</w:t>
      </w:r>
    </w:p>
    <w:p w14:paraId="75460B91" w14:textId="3A97A886" w:rsidR="00211016" w:rsidRDefault="00211016" w:rsidP="5991425A">
      <w:pPr>
        <w:widowControl/>
        <w:autoSpaceDE/>
        <w:autoSpaceDN/>
        <w:adjustRightInd/>
        <w:rPr>
          <w:rFonts w:cs="Calibri"/>
          <w:b/>
          <w:bCs/>
        </w:rPr>
      </w:pPr>
    </w:p>
    <w:p w14:paraId="5D8A6E33" w14:textId="1BE9B6FE" w:rsidR="008202FD" w:rsidRPr="001C1E47" w:rsidRDefault="008202FD" w:rsidP="008202FD">
      <w:pPr>
        <w:widowControl/>
        <w:tabs>
          <w:tab w:val="left" w:pos="1890"/>
          <w:tab w:val="left" w:pos="2430"/>
        </w:tabs>
        <w:autoSpaceDE/>
        <w:autoSpaceDN/>
        <w:adjustRightInd/>
        <w:contextualSpacing/>
        <w:rPr>
          <w:rFonts w:cs="Calibri"/>
          <w:b/>
          <w:bCs/>
        </w:rPr>
      </w:pPr>
      <w:r w:rsidRPr="13993596">
        <w:rPr>
          <w:rFonts w:cs="Calibri"/>
          <w:b/>
          <w:bCs/>
        </w:rPr>
        <w:t>Observation FY 2023-OB-02</w:t>
      </w:r>
      <w:r w:rsidRPr="1C610283">
        <w:rPr>
          <w:rFonts w:cs="Calibri"/>
          <w:b/>
          <w:bCs/>
        </w:rPr>
        <w:t>:</w:t>
      </w:r>
      <w:r w:rsidRPr="13993596">
        <w:rPr>
          <w:rFonts w:cs="Calibri"/>
          <w:b/>
          <w:bCs/>
        </w:rPr>
        <w:t xml:space="preserve"> </w:t>
      </w:r>
      <w:r w:rsidRPr="13993596">
        <w:rPr>
          <w:rFonts w:cs="Calibri"/>
        </w:rPr>
        <w:t xml:space="preserve">In FY </w:t>
      </w:r>
      <w:r w:rsidRPr="5C5D9FC2">
        <w:rPr>
          <w:rFonts w:cs="Calibri"/>
        </w:rPr>
        <w:t>2023, 26</w:t>
      </w:r>
      <w:r w:rsidRPr="13993596">
        <w:rPr>
          <w:rFonts w:cs="Calibri"/>
        </w:rPr>
        <w:t xml:space="preserve"> out of 30 (86.67%) workplace related fatalities were responded to in one workday (SAMM 10). The </w:t>
      </w:r>
      <w:r w:rsidR="001B47CF">
        <w:rPr>
          <w:rFonts w:cs="Calibri"/>
        </w:rPr>
        <w:t>further review level (</w:t>
      </w:r>
      <w:r w:rsidRPr="13993596">
        <w:rPr>
          <w:rFonts w:cs="Calibri"/>
        </w:rPr>
        <w:t>FRL</w:t>
      </w:r>
      <w:r w:rsidR="001B47CF">
        <w:rPr>
          <w:rFonts w:cs="Calibri"/>
        </w:rPr>
        <w:t>)</w:t>
      </w:r>
      <w:r w:rsidRPr="13993596">
        <w:rPr>
          <w:rFonts w:cs="Calibri"/>
        </w:rPr>
        <w:t xml:space="preserve"> is 100%.</w:t>
      </w:r>
    </w:p>
    <w:p w14:paraId="22B2945D" w14:textId="77777777" w:rsidR="008202FD" w:rsidRPr="001C1E47" w:rsidRDefault="008202FD" w:rsidP="008202FD">
      <w:pPr>
        <w:widowControl/>
        <w:tabs>
          <w:tab w:val="left" w:pos="1890"/>
          <w:tab w:val="left" w:pos="2430"/>
        </w:tabs>
        <w:autoSpaceDE/>
        <w:autoSpaceDN/>
        <w:adjustRightInd/>
        <w:contextualSpacing/>
        <w:rPr>
          <w:rFonts w:cs="Calibri"/>
          <w:b/>
          <w:highlight w:val="yellow"/>
          <w:u w:val="single"/>
        </w:rPr>
      </w:pPr>
    </w:p>
    <w:p w14:paraId="37F27499" w14:textId="5884ECE0" w:rsidR="008202FD" w:rsidRDefault="008202FD" w:rsidP="008202FD">
      <w:pPr>
        <w:widowControl/>
        <w:autoSpaceDE/>
        <w:autoSpaceDN/>
        <w:adjustRightInd/>
        <w:contextualSpacing/>
        <w:rPr>
          <w:rFonts w:eastAsia="Calibri" w:cs="Calibri"/>
        </w:rPr>
      </w:pPr>
      <w:r w:rsidRPr="5C5D9FC2">
        <w:rPr>
          <w:rFonts w:cs="Calibri"/>
          <w:b/>
          <w:bCs/>
        </w:rPr>
        <w:t xml:space="preserve">Status:  </w:t>
      </w:r>
      <w:r w:rsidRPr="5C5D9FC2">
        <w:rPr>
          <w:rFonts w:cs="Calibri"/>
        </w:rPr>
        <w:t xml:space="preserve">According to the SAMM report, </w:t>
      </w:r>
      <w:r>
        <w:rPr>
          <w:rFonts w:cs="Calibri"/>
        </w:rPr>
        <w:t xml:space="preserve">in FY 2024, </w:t>
      </w:r>
      <w:r w:rsidRPr="5C5D9FC2">
        <w:rPr>
          <w:rFonts w:cs="Calibri"/>
        </w:rPr>
        <w:t xml:space="preserve">DOSH </w:t>
      </w:r>
      <w:r>
        <w:rPr>
          <w:rFonts w:cs="Calibri"/>
        </w:rPr>
        <w:t>initiated 18</w:t>
      </w:r>
      <w:r w:rsidRPr="5C5D9FC2">
        <w:rPr>
          <w:rFonts w:cs="Calibri"/>
        </w:rPr>
        <w:t xml:space="preserve"> of 21</w:t>
      </w:r>
      <w:r>
        <w:rPr>
          <w:rFonts w:cs="Calibri"/>
        </w:rPr>
        <w:t xml:space="preserve"> (85.71%)</w:t>
      </w:r>
      <w:r w:rsidRPr="5C5D9FC2">
        <w:rPr>
          <w:rFonts w:cs="Calibri"/>
        </w:rPr>
        <w:t xml:space="preserve"> fatality investigations within one working day.  </w:t>
      </w:r>
      <w:r>
        <w:rPr>
          <w:rFonts w:cs="Calibri"/>
        </w:rPr>
        <w:t xml:space="preserve">Washington’s </w:t>
      </w:r>
      <w:r w:rsidRPr="5C5D9FC2">
        <w:rPr>
          <w:rFonts w:cs="Calibri"/>
        </w:rPr>
        <w:t xml:space="preserve">goal </w:t>
      </w:r>
      <w:r>
        <w:rPr>
          <w:rFonts w:cs="Calibri"/>
        </w:rPr>
        <w:t>was</w:t>
      </w:r>
      <w:r w:rsidRPr="5C5D9FC2">
        <w:rPr>
          <w:rFonts w:cs="Calibri"/>
        </w:rPr>
        <w:t xml:space="preserve"> to initiate fatality investigation</w:t>
      </w:r>
      <w:r>
        <w:rPr>
          <w:rFonts w:cs="Calibri"/>
        </w:rPr>
        <w:t>s</w:t>
      </w:r>
      <w:r w:rsidRPr="5C5D9FC2">
        <w:rPr>
          <w:rFonts w:cs="Calibri"/>
        </w:rPr>
        <w:t xml:space="preserve"> within one working day. </w:t>
      </w:r>
      <w:r>
        <w:rPr>
          <w:rFonts w:cs="Calibri"/>
        </w:rPr>
        <w:t xml:space="preserve"> </w:t>
      </w:r>
      <w:r w:rsidR="006400C9">
        <w:rPr>
          <w:rFonts w:cs="Calibri"/>
        </w:rPr>
        <w:t xml:space="preserve">In the three </w:t>
      </w:r>
      <w:r>
        <w:rPr>
          <w:rFonts w:cs="Calibri"/>
        </w:rPr>
        <w:t>instances where inspections not opened within the established timeframe</w:t>
      </w:r>
      <w:r w:rsidR="006400C9">
        <w:rPr>
          <w:rFonts w:cs="Calibri"/>
        </w:rPr>
        <w:t xml:space="preserve"> in FY 2024, the explanation for the delay was reasonable. </w:t>
      </w:r>
      <w:r>
        <w:rPr>
          <w:rFonts w:cs="Calibri"/>
        </w:rPr>
        <w:t xml:space="preserve"> </w:t>
      </w:r>
      <w:r w:rsidR="008B4E63">
        <w:rPr>
          <w:rFonts w:cs="Calibri"/>
        </w:rPr>
        <w:t xml:space="preserve">In one </w:t>
      </w:r>
      <w:r w:rsidR="007A3576">
        <w:rPr>
          <w:rFonts w:cs="Calibri"/>
        </w:rPr>
        <w:t>instance,</w:t>
      </w:r>
      <w:r w:rsidR="00034B6D">
        <w:rPr>
          <w:rFonts w:cs="Calibri"/>
        </w:rPr>
        <w:t xml:space="preserve"> </w:t>
      </w:r>
      <w:r w:rsidR="006400C9">
        <w:rPr>
          <w:rFonts w:cs="Calibri"/>
        </w:rPr>
        <w:t>DOSH attempted to make c</w:t>
      </w:r>
      <w:r>
        <w:rPr>
          <w:rFonts w:cs="Calibri"/>
        </w:rPr>
        <w:t xml:space="preserve">ontact with </w:t>
      </w:r>
      <w:r w:rsidR="00FB6468">
        <w:rPr>
          <w:rFonts w:cs="Calibri"/>
        </w:rPr>
        <w:t xml:space="preserve">an </w:t>
      </w:r>
      <w:r>
        <w:rPr>
          <w:rFonts w:cs="Calibri"/>
        </w:rPr>
        <w:t xml:space="preserve">employer to open </w:t>
      </w:r>
      <w:r w:rsidR="005E63E9">
        <w:rPr>
          <w:rFonts w:cs="Calibri"/>
        </w:rPr>
        <w:t>an</w:t>
      </w:r>
      <w:r>
        <w:rPr>
          <w:rFonts w:cs="Calibri"/>
        </w:rPr>
        <w:t xml:space="preserve"> investigation</w:t>
      </w:r>
      <w:r w:rsidR="006400C9">
        <w:rPr>
          <w:rFonts w:cs="Calibri"/>
        </w:rPr>
        <w:t xml:space="preserve"> </w:t>
      </w:r>
      <w:r w:rsidR="005E63E9">
        <w:rPr>
          <w:rFonts w:cs="Calibri"/>
        </w:rPr>
        <w:t>within one working day</w:t>
      </w:r>
      <w:r w:rsidR="00F74F83">
        <w:rPr>
          <w:rFonts w:cs="Calibri"/>
        </w:rPr>
        <w:t xml:space="preserve"> </w:t>
      </w:r>
      <w:r w:rsidR="00F942D1">
        <w:rPr>
          <w:rFonts w:cs="Calibri"/>
        </w:rPr>
        <w:t xml:space="preserve">after notification of a </w:t>
      </w:r>
      <w:r w:rsidR="00982633">
        <w:rPr>
          <w:rFonts w:cs="Calibri"/>
        </w:rPr>
        <w:t>fatality but</w:t>
      </w:r>
      <w:r w:rsidR="006400C9">
        <w:rPr>
          <w:rFonts w:cs="Calibri"/>
        </w:rPr>
        <w:t xml:space="preserve"> was not able to reach them </w:t>
      </w:r>
      <w:r w:rsidR="00547518">
        <w:rPr>
          <w:rFonts w:cs="Calibri"/>
        </w:rPr>
        <w:t>for two days after the event</w:t>
      </w:r>
      <w:r>
        <w:rPr>
          <w:rFonts w:cs="Calibri"/>
        </w:rPr>
        <w:t xml:space="preserve">.  </w:t>
      </w:r>
      <w:r w:rsidR="006400C9">
        <w:rPr>
          <w:rFonts w:cs="Calibri"/>
        </w:rPr>
        <w:t xml:space="preserve">In </w:t>
      </w:r>
      <w:r w:rsidR="00FB6468">
        <w:rPr>
          <w:rFonts w:cs="Calibri"/>
        </w:rPr>
        <w:t xml:space="preserve">a second </w:t>
      </w:r>
      <w:r w:rsidR="006400C9">
        <w:rPr>
          <w:rFonts w:cs="Calibri"/>
        </w:rPr>
        <w:t>instance,</w:t>
      </w:r>
      <w:r>
        <w:rPr>
          <w:rFonts w:cs="Calibri"/>
        </w:rPr>
        <w:t xml:space="preserve"> an inspection </w:t>
      </w:r>
      <w:r w:rsidR="006400C9">
        <w:rPr>
          <w:rFonts w:cs="Calibri"/>
        </w:rPr>
        <w:t xml:space="preserve">was </w:t>
      </w:r>
      <w:r>
        <w:rPr>
          <w:rFonts w:cs="Calibri"/>
        </w:rPr>
        <w:t xml:space="preserve">opened two days after a report of a worker hospitalization.  The worker passed away the following month, and although the inspection was opened prior, it was two days after the event occurred.  </w:t>
      </w:r>
      <w:r w:rsidR="00795BE1">
        <w:rPr>
          <w:rFonts w:cs="Calibri"/>
        </w:rPr>
        <w:t>In the third occurrence</w:t>
      </w:r>
      <w:r w:rsidR="00FB6468">
        <w:rPr>
          <w:rFonts w:cs="Calibri"/>
        </w:rPr>
        <w:t>,</w:t>
      </w:r>
      <w:r w:rsidR="00467373">
        <w:rPr>
          <w:rFonts w:cs="Calibri"/>
        </w:rPr>
        <w:t xml:space="preserve"> </w:t>
      </w:r>
      <w:r w:rsidR="003F57FF">
        <w:rPr>
          <w:rFonts w:cs="Calibri"/>
        </w:rPr>
        <w:t xml:space="preserve">DOSH </w:t>
      </w:r>
      <w:r w:rsidR="00E54E04">
        <w:rPr>
          <w:rFonts w:cs="Calibri"/>
        </w:rPr>
        <w:t xml:space="preserve">was notified </w:t>
      </w:r>
      <w:r w:rsidR="00795BE1">
        <w:rPr>
          <w:rFonts w:cs="Calibri"/>
        </w:rPr>
        <w:t xml:space="preserve">of </w:t>
      </w:r>
      <w:r w:rsidR="003F57FF">
        <w:rPr>
          <w:rFonts w:cs="Calibri"/>
        </w:rPr>
        <w:t>the fatality almost</w:t>
      </w:r>
      <w:r w:rsidR="00795BE1">
        <w:rPr>
          <w:rFonts w:cs="Calibri"/>
        </w:rPr>
        <w:t xml:space="preserve"> six months after </w:t>
      </w:r>
      <w:r w:rsidR="00F47A59">
        <w:rPr>
          <w:rFonts w:cs="Calibri"/>
        </w:rPr>
        <w:t>the</w:t>
      </w:r>
      <w:r w:rsidR="00795BE1">
        <w:rPr>
          <w:rFonts w:cs="Calibri"/>
        </w:rPr>
        <w:t xml:space="preserve"> event occurred</w:t>
      </w:r>
      <w:r w:rsidR="003F57FF">
        <w:rPr>
          <w:rFonts w:cs="Calibri"/>
        </w:rPr>
        <w:t xml:space="preserve">, and an inspection was initiated. </w:t>
      </w:r>
      <w:r w:rsidR="00795BE1">
        <w:rPr>
          <w:rFonts w:cs="Calibri"/>
        </w:rPr>
        <w:t xml:space="preserve"> </w:t>
      </w:r>
      <w:r w:rsidRPr="5C5D9FC2">
        <w:rPr>
          <w:rFonts w:cs="Calibri"/>
        </w:rPr>
        <w:t xml:space="preserve">OSHA will continue to monitor this data through the SAMM report during the next review period.  This observation is </w:t>
      </w:r>
      <w:r>
        <w:rPr>
          <w:rFonts w:cs="Calibri"/>
        </w:rPr>
        <w:t>closed</w:t>
      </w:r>
      <w:r w:rsidRPr="5C5D9FC2">
        <w:rPr>
          <w:rFonts w:cs="Calibri"/>
        </w:rPr>
        <w:t xml:space="preserve">. </w:t>
      </w:r>
    </w:p>
    <w:p w14:paraId="20FAEC0A" w14:textId="52524BD6" w:rsidR="00FE3635" w:rsidRPr="001C1E47" w:rsidRDefault="00FE3635" w:rsidP="00FE3635">
      <w:pPr>
        <w:widowControl/>
        <w:tabs>
          <w:tab w:val="left" w:pos="1890"/>
          <w:tab w:val="left" w:pos="2430"/>
        </w:tabs>
        <w:autoSpaceDE/>
        <w:autoSpaceDN/>
        <w:adjustRightInd/>
        <w:contextualSpacing/>
        <w:rPr>
          <w:rFonts w:cs="Calibri"/>
          <w:b/>
          <w:bCs/>
        </w:rPr>
      </w:pPr>
      <w:r w:rsidRPr="5991425A">
        <w:rPr>
          <w:rFonts w:cs="Calibri"/>
          <w:b/>
          <w:bCs/>
        </w:rPr>
        <w:t>Observation FY 202</w:t>
      </w:r>
      <w:r>
        <w:rPr>
          <w:rFonts w:cs="Calibri"/>
          <w:b/>
          <w:bCs/>
        </w:rPr>
        <w:t>3</w:t>
      </w:r>
      <w:r w:rsidRPr="5991425A">
        <w:rPr>
          <w:rFonts w:cs="Calibri"/>
          <w:b/>
          <w:bCs/>
        </w:rPr>
        <w:t>-OB-</w:t>
      </w:r>
      <w:r w:rsidR="009D47BF">
        <w:rPr>
          <w:rFonts w:cs="Calibri"/>
          <w:b/>
          <w:bCs/>
        </w:rPr>
        <w:t>03</w:t>
      </w:r>
      <w:r w:rsidRPr="5991425A">
        <w:rPr>
          <w:rFonts w:cs="Calibri"/>
          <w:b/>
          <w:bCs/>
        </w:rPr>
        <w:t>:</w:t>
      </w:r>
      <w:r w:rsidR="000947BF">
        <w:rPr>
          <w:rFonts w:cs="Calibri"/>
          <w:b/>
          <w:bCs/>
        </w:rPr>
        <w:t xml:space="preserve"> </w:t>
      </w:r>
      <w:r w:rsidRPr="5991425A">
        <w:rPr>
          <w:rFonts w:cs="Calibri"/>
          <w:b/>
          <w:bCs/>
        </w:rPr>
        <w:t xml:space="preserve"> </w:t>
      </w:r>
      <w:r w:rsidR="000947BF" w:rsidRPr="000947BF">
        <w:rPr>
          <w:rFonts w:asciiTheme="minorHAnsi" w:hAnsiTheme="minorHAnsi" w:cstheme="minorHAnsi"/>
          <w:iCs/>
        </w:rPr>
        <w:t>In FY 2023, in 394 of 5,304 (7.43%) initial inspections, DOSH did not ensure worker involvement (SAMM 13).</w:t>
      </w:r>
    </w:p>
    <w:p w14:paraId="553DEE49" w14:textId="77777777" w:rsidR="00FE3635" w:rsidRPr="001C1E47" w:rsidRDefault="00FE3635" w:rsidP="00FE3635">
      <w:pPr>
        <w:widowControl/>
        <w:tabs>
          <w:tab w:val="left" w:pos="1890"/>
          <w:tab w:val="left" w:pos="2430"/>
        </w:tabs>
        <w:autoSpaceDE/>
        <w:autoSpaceDN/>
        <w:adjustRightInd/>
        <w:contextualSpacing/>
        <w:rPr>
          <w:rFonts w:cs="Calibri"/>
          <w:b/>
          <w:highlight w:val="yellow"/>
          <w:u w:val="single"/>
        </w:rPr>
      </w:pPr>
    </w:p>
    <w:p w14:paraId="43EB3844" w14:textId="2CA717E3" w:rsidR="00FE3635" w:rsidRDefault="00FE3635" w:rsidP="00FE3635">
      <w:pPr>
        <w:widowControl/>
        <w:autoSpaceDE/>
        <w:autoSpaceDN/>
        <w:adjustRightInd/>
        <w:rPr>
          <w:rFonts w:cs="Calibri"/>
          <w:b/>
          <w:bCs/>
        </w:rPr>
      </w:pPr>
      <w:r w:rsidRPr="13993596">
        <w:rPr>
          <w:rFonts w:cs="Calibri"/>
          <w:b/>
          <w:bCs/>
        </w:rPr>
        <w:t xml:space="preserve">Status: </w:t>
      </w:r>
      <w:r>
        <w:rPr>
          <w:rFonts w:cs="Calibri"/>
        </w:rPr>
        <w:t xml:space="preserve">The FRL for this metric is fixed at 100% for all state plans.  </w:t>
      </w:r>
      <w:r w:rsidRPr="00CB0708">
        <w:rPr>
          <w:rFonts w:cs="Calibri"/>
        </w:rPr>
        <w:t>According to the SAMM report,</w:t>
      </w:r>
      <w:r>
        <w:rPr>
          <w:rFonts w:cs="Calibri"/>
          <w:b/>
          <w:bCs/>
        </w:rPr>
        <w:t xml:space="preserve"> </w:t>
      </w:r>
      <w:r>
        <w:rPr>
          <w:rFonts w:cs="Calibri"/>
        </w:rPr>
        <w:t>i</w:t>
      </w:r>
      <w:r w:rsidRPr="13993596">
        <w:rPr>
          <w:rFonts w:cs="Calibri"/>
        </w:rPr>
        <w:t>n FY 202</w:t>
      </w:r>
      <w:r>
        <w:rPr>
          <w:rFonts w:cs="Calibri"/>
        </w:rPr>
        <w:t>4</w:t>
      </w:r>
      <w:r w:rsidRPr="13993596">
        <w:rPr>
          <w:rFonts w:cs="Calibri"/>
        </w:rPr>
        <w:t xml:space="preserve">, DOSH did not ensure worker involvement in </w:t>
      </w:r>
      <w:r>
        <w:rPr>
          <w:rFonts w:cs="Calibri"/>
        </w:rPr>
        <w:t>408</w:t>
      </w:r>
      <w:r w:rsidRPr="13993596">
        <w:rPr>
          <w:rFonts w:cs="Calibri"/>
        </w:rPr>
        <w:t xml:space="preserve"> of </w:t>
      </w:r>
      <w:r>
        <w:rPr>
          <w:rFonts w:cs="Calibri"/>
        </w:rPr>
        <w:t>5,884</w:t>
      </w:r>
      <w:r w:rsidRPr="13993596">
        <w:rPr>
          <w:rFonts w:cs="Calibri"/>
        </w:rPr>
        <w:t xml:space="preserve"> (</w:t>
      </w:r>
      <w:r>
        <w:rPr>
          <w:rFonts w:cs="Calibri"/>
        </w:rPr>
        <w:t>6.93</w:t>
      </w:r>
      <w:r w:rsidRPr="13993596">
        <w:rPr>
          <w:rFonts w:cs="Calibri"/>
        </w:rPr>
        <w:t>%) initial inspections</w:t>
      </w:r>
      <w:r>
        <w:rPr>
          <w:rFonts w:cs="Calibri"/>
        </w:rPr>
        <w:t>, falling below the FRL</w:t>
      </w:r>
      <w:r w:rsidRPr="13993596">
        <w:rPr>
          <w:rFonts w:cs="Calibri"/>
        </w:rPr>
        <w:t xml:space="preserve">. </w:t>
      </w:r>
      <w:r>
        <w:rPr>
          <w:rFonts w:cs="Calibri"/>
        </w:rPr>
        <w:t xml:space="preserve"> In cases where worker involvement </w:t>
      </w:r>
      <w:r w:rsidR="000947BF">
        <w:rPr>
          <w:rFonts w:cs="Calibri"/>
        </w:rPr>
        <w:t>was</w:t>
      </w:r>
      <w:r>
        <w:rPr>
          <w:rFonts w:cs="Calibri"/>
        </w:rPr>
        <w:t xml:space="preserve"> not included, Washington’s interface system, WISHA Information Network (WIN), require</w:t>
      </w:r>
      <w:r w:rsidR="000B58BE">
        <w:rPr>
          <w:rFonts w:cs="Calibri"/>
        </w:rPr>
        <w:t>d</w:t>
      </w:r>
      <w:r>
        <w:rPr>
          <w:rFonts w:cs="Calibri"/>
        </w:rPr>
        <w:t xml:space="preserve"> a data field to explain the reason for the outlier.  According to DOSH’s outlier report, of the 408 inspection outliers, employees did participate in 3, 64 declined to participate or were unable to be contacted, 8 entries were refused, 298 had no employees involved/exposed, 27 were for miscellaneous other reasons, and 8 did not have a reason documented.  OSHA and DOSH will continue to discuss outliers through the next review period and monitor through the SAMM report.  This observation is closed. </w:t>
      </w:r>
    </w:p>
    <w:p w14:paraId="435EA302" w14:textId="77777777" w:rsidR="00FE3635" w:rsidRPr="00643D8A" w:rsidRDefault="00FE3635" w:rsidP="5991425A">
      <w:pPr>
        <w:widowControl/>
        <w:autoSpaceDE/>
        <w:autoSpaceDN/>
        <w:adjustRightInd/>
        <w:rPr>
          <w:rFonts w:eastAsia="Calibri" w:cs="Calibri"/>
        </w:rPr>
      </w:pPr>
    </w:p>
    <w:p w14:paraId="268E2B6A" w14:textId="3888E55E" w:rsidR="00211016" w:rsidRPr="00643D8A" w:rsidRDefault="64720C97" w:rsidP="5991425A">
      <w:pPr>
        <w:widowControl/>
        <w:autoSpaceDE/>
        <w:autoSpaceDN/>
        <w:adjustRightInd/>
        <w:rPr>
          <w:rFonts w:eastAsia="Calibri" w:cs="Calibri"/>
        </w:rPr>
      </w:pPr>
      <w:r w:rsidRPr="5991425A">
        <w:rPr>
          <w:rFonts w:eastAsia="Calibri" w:cs="Calibri"/>
          <w:b/>
          <w:bCs/>
          <w:color w:val="000000" w:themeColor="text1"/>
        </w:rPr>
        <w:t>Continued FY 2024 Observations</w:t>
      </w:r>
    </w:p>
    <w:p w14:paraId="4D3EBEDB" w14:textId="77777777" w:rsidR="000A7003" w:rsidRDefault="000A7003" w:rsidP="00783189">
      <w:pPr>
        <w:widowControl/>
        <w:tabs>
          <w:tab w:val="left" w:pos="1890"/>
          <w:tab w:val="left" w:pos="2430"/>
        </w:tabs>
        <w:autoSpaceDE/>
        <w:autoSpaceDN/>
        <w:adjustRightInd/>
        <w:contextualSpacing/>
        <w:rPr>
          <w:rFonts w:cs="Calibri"/>
          <w:bCs/>
        </w:rPr>
      </w:pPr>
    </w:p>
    <w:p w14:paraId="7C64EA4F" w14:textId="05F6A398" w:rsidR="000A7003" w:rsidRPr="001C1E47" w:rsidRDefault="71C4E0FB" w:rsidP="5991425A">
      <w:pPr>
        <w:widowControl/>
        <w:tabs>
          <w:tab w:val="left" w:pos="1890"/>
          <w:tab w:val="left" w:pos="2430"/>
        </w:tabs>
        <w:autoSpaceDE/>
        <w:autoSpaceDN/>
        <w:adjustRightInd/>
        <w:contextualSpacing/>
        <w:rPr>
          <w:rFonts w:cs="Calibri"/>
          <w:b/>
          <w:bCs/>
        </w:rPr>
      </w:pPr>
      <w:r w:rsidRPr="5991425A">
        <w:rPr>
          <w:rFonts w:cs="Calibri"/>
          <w:b/>
          <w:bCs/>
        </w:rPr>
        <w:t xml:space="preserve">Observation </w:t>
      </w:r>
      <w:r w:rsidR="73C02CBF" w:rsidRPr="5991425A">
        <w:rPr>
          <w:rFonts w:cs="Calibri"/>
          <w:b/>
          <w:bCs/>
        </w:rPr>
        <w:t>FY 2024-OB-01</w:t>
      </w:r>
      <w:r w:rsidRPr="5991425A">
        <w:rPr>
          <w:rFonts w:cs="Calibri"/>
          <w:b/>
          <w:bCs/>
        </w:rPr>
        <w:t xml:space="preserve">: </w:t>
      </w:r>
      <w:r w:rsidRPr="5991425A">
        <w:rPr>
          <w:rFonts w:cs="Calibri"/>
        </w:rPr>
        <w:t>In FY 2023, in 4 of 7 (57%) case files where next of kin letters were appropriate, the letters were not included in the file.</w:t>
      </w:r>
    </w:p>
    <w:p w14:paraId="1D6189A9" w14:textId="25EAE91F" w:rsidR="00EA4B05" w:rsidRPr="001C1E47" w:rsidRDefault="00EA4B05" w:rsidP="00783189">
      <w:pPr>
        <w:widowControl/>
        <w:tabs>
          <w:tab w:val="left" w:pos="1890"/>
          <w:tab w:val="left" w:pos="2430"/>
        </w:tabs>
        <w:autoSpaceDE/>
        <w:autoSpaceDN/>
        <w:adjustRightInd/>
        <w:contextualSpacing/>
        <w:rPr>
          <w:rFonts w:cs="Calibri"/>
          <w:b/>
          <w:highlight w:val="yellow"/>
          <w:u w:val="single"/>
        </w:rPr>
      </w:pPr>
    </w:p>
    <w:p w14:paraId="41EACD85" w14:textId="3BB5AEA6" w:rsidR="00EA4B05" w:rsidRDefault="00EA4B05" w:rsidP="00783189">
      <w:pPr>
        <w:widowControl/>
        <w:autoSpaceDE/>
        <w:autoSpaceDN/>
        <w:adjustRightInd/>
        <w:rPr>
          <w:rFonts w:cs="Calibri"/>
        </w:rPr>
      </w:pPr>
      <w:r w:rsidRPr="13993596">
        <w:rPr>
          <w:rFonts w:cs="Calibri"/>
          <w:b/>
          <w:bCs/>
        </w:rPr>
        <w:t xml:space="preserve">Status:  </w:t>
      </w:r>
      <w:r w:rsidR="008B57A0">
        <w:rPr>
          <w:rFonts w:cs="Calibri"/>
        </w:rPr>
        <w:t xml:space="preserve">A case file review was not performed in FY 2024 to </w:t>
      </w:r>
      <w:r w:rsidR="003C7DD3">
        <w:rPr>
          <w:rFonts w:cs="Calibri"/>
        </w:rPr>
        <w:t xml:space="preserve">ensure next of kin letters were included in the case files.  </w:t>
      </w:r>
      <w:r w:rsidRPr="13993596">
        <w:rPr>
          <w:rFonts w:cs="Calibri"/>
        </w:rPr>
        <w:t xml:space="preserve">A case file review is necessary to </w:t>
      </w:r>
      <w:r w:rsidR="005A4853">
        <w:rPr>
          <w:rFonts w:cs="Calibri"/>
        </w:rPr>
        <w:t>gather</w:t>
      </w:r>
      <w:r w:rsidR="00F7364F">
        <w:rPr>
          <w:rFonts w:cs="Calibri"/>
        </w:rPr>
        <w:t xml:space="preserve"> facts needed to evaluate progress on this observation.  </w:t>
      </w:r>
      <w:r w:rsidRPr="13993596">
        <w:rPr>
          <w:rFonts w:cs="Calibri"/>
        </w:rPr>
        <w:t>This observation will be a focus of next year’s on</w:t>
      </w:r>
      <w:r w:rsidR="00976E27" w:rsidRPr="13993596">
        <w:rPr>
          <w:rFonts w:cs="Calibri"/>
        </w:rPr>
        <w:t>-</w:t>
      </w:r>
      <w:r w:rsidRPr="13993596">
        <w:rPr>
          <w:rFonts w:cs="Calibri"/>
        </w:rPr>
        <w:t>site case file review during the FY 20</w:t>
      </w:r>
      <w:r w:rsidR="00ED7D43" w:rsidRPr="13993596">
        <w:rPr>
          <w:rFonts w:cs="Calibri"/>
        </w:rPr>
        <w:t>2</w:t>
      </w:r>
      <w:r w:rsidR="003C7DD3">
        <w:rPr>
          <w:rFonts w:cs="Calibri"/>
        </w:rPr>
        <w:t>5</w:t>
      </w:r>
      <w:r w:rsidRPr="13993596">
        <w:rPr>
          <w:rFonts w:cs="Calibri"/>
        </w:rPr>
        <w:t xml:space="preserve"> </w:t>
      </w:r>
      <w:r w:rsidR="003C7DD3">
        <w:rPr>
          <w:rFonts w:cs="Calibri"/>
        </w:rPr>
        <w:t>C</w:t>
      </w:r>
      <w:r w:rsidR="003C7DD3" w:rsidRPr="13993596">
        <w:rPr>
          <w:rFonts w:cs="Calibri"/>
        </w:rPr>
        <w:t xml:space="preserve">omprehensive </w:t>
      </w:r>
      <w:r w:rsidRPr="13993596">
        <w:rPr>
          <w:rFonts w:cs="Calibri"/>
        </w:rPr>
        <w:t>FAME</w:t>
      </w:r>
      <w:r w:rsidR="00EF5378" w:rsidRPr="13993596">
        <w:rPr>
          <w:rFonts w:cs="Calibri"/>
        </w:rPr>
        <w:t>.</w:t>
      </w:r>
      <w:r w:rsidRPr="13993596">
        <w:rPr>
          <w:rFonts w:cs="Calibri"/>
          <w:b/>
          <w:bCs/>
        </w:rPr>
        <w:t xml:space="preserve"> </w:t>
      </w:r>
      <w:r w:rsidR="008D7D61" w:rsidRPr="13993596">
        <w:rPr>
          <w:rFonts w:cs="Calibri"/>
          <w:b/>
          <w:bCs/>
        </w:rPr>
        <w:t xml:space="preserve"> </w:t>
      </w:r>
      <w:r w:rsidRPr="13993596">
        <w:rPr>
          <w:rFonts w:cs="Calibri"/>
        </w:rPr>
        <w:t xml:space="preserve">This observation </w:t>
      </w:r>
      <w:r w:rsidR="004A49A0" w:rsidRPr="13993596">
        <w:rPr>
          <w:rFonts w:cs="Calibri"/>
        </w:rPr>
        <w:t xml:space="preserve">is </w:t>
      </w:r>
      <w:r w:rsidRPr="13993596">
        <w:rPr>
          <w:rFonts w:cs="Calibri"/>
        </w:rPr>
        <w:t>continued.</w:t>
      </w:r>
    </w:p>
    <w:p w14:paraId="62EBD682" w14:textId="2D1D5364" w:rsidR="00610A50" w:rsidRDefault="00610A50" w:rsidP="13993596">
      <w:pPr>
        <w:widowControl/>
        <w:autoSpaceDE/>
        <w:autoSpaceDN/>
        <w:adjustRightInd/>
        <w:rPr>
          <w:rFonts w:cs="Calibri"/>
          <w:b/>
          <w:bCs/>
        </w:rPr>
      </w:pPr>
    </w:p>
    <w:p w14:paraId="3C70045C" w14:textId="08867780" w:rsidR="00610A50" w:rsidRDefault="76A60E0F" w:rsidP="5991425A">
      <w:pPr>
        <w:widowControl/>
        <w:tabs>
          <w:tab w:val="left" w:pos="1890"/>
          <w:tab w:val="left" w:pos="2430"/>
        </w:tabs>
        <w:autoSpaceDE/>
        <w:autoSpaceDN/>
        <w:adjustRightInd/>
        <w:contextualSpacing/>
        <w:rPr>
          <w:rFonts w:cs="Calibri"/>
          <w:b/>
          <w:bCs/>
        </w:rPr>
      </w:pPr>
      <w:r w:rsidRPr="13993596">
        <w:rPr>
          <w:rFonts w:cs="Calibri"/>
          <w:b/>
          <w:bCs/>
        </w:rPr>
        <w:t xml:space="preserve">Observation </w:t>
      </w:r>
      <w:r w:rsidR="2564AB7E" w:rsidRPr="13993596">
        <w:rPr>
          <w:rFonts w:cs="Calibri"/>
          <w:b/>
          <w:bCs/>
        </w:rPr>
        <w:t>FY 2024-OB-0</w:t>
      </w:r>
      <w:r w:rsidR="00675E64">
        <w:rPr>
          <w:rFonts w:cs="Calibri"/>
          <w:b/>
          <w:bCs/>
        </w:rPr>
        <w:t>2</w:t>
      </w:r>
      <w:r w:rsidRPr="13993596">
        <w:rPr>
          <w:rFonts w:cs="Calibri"/>
          <w:b/>
          <w:bCs/>
        </w:rPr>
        <w:t xml:space="preserve">: </w:t>
      </w:r>
      <w:r w:rsidRPr="13993596">
        <w:rPr>
          <w:rFonts w:cs="Calibri"/>
        </w:rPr>
        <w:t>In FY 2023, in 8 of 12 (66.7%) inspection case files where union workers were on the job site, the union did not participate in the inspection and there was not an explanation in the case file regarding the lack of participation.</w:t>
      </w:r>
    </w:p>
    <w:p w14:paraId="794F9D59" w14:textId="77777777" w:rsidR="00C0732D" w:rsidRPr="001C1E47" w:rsidRDefault="00C0732D" w:rsidP="00610A50">
      <w:pPr>
        <w:widowControl/>
        <w:tabs>
          <w:tab w:val="left" w:pos="1890"/>
          <w:tab w:val="left" w:pos="2430"/>
        </w:tabs>
        <w:autoSpaceDE/>
        <w:autoSpaceDN/>
        <w:adjustRightInd/>
        <w:contextualSpacing/>
        <w:rPr>
          <w:rFonts w:cs="Calibri"/>
          <w:b/>
          <w:highlight w:val="yellow"/>
          <w:u w:val="single"/>
        </w:rPr>
      </w:pPr>
    </w:p>
    <w:p w14:paraId="30640338" w14:textId="3F615443" w:rsidR="00610A50" w:rsidRDefault="00610A50" w:rsidP="00610A50">
      <w:pPr>
        <w:widowControl/>
        <w:autoSpaceDE/>
        <w:autoSpaceDN/>
        <w:adjustRightInd/>
        <w:rPr>
          <w:rFonts w:cs="Calibri"/>
        </w:rPr>
      </w:pPr>
      <w:r w:rsidRPr="13993596">
        <w:rPr>
          <w:rFonts w:cs="Calibri"/>
          <w:b/>
          <w:bCs/>
        </w:rPr>
        <w:t xml:space="preserve">Status: </w:t>
      </w:r>
      <w:r w:rsidR="003A0E9A">
        <w:rPr>
          <w:rFonts w:cs="Calibri"/>
        </w:rPr>
        <w:t xml:space="preserve">In FY 2024, a </w:t>
      </w:r>
      <w:r w:rsidR="00E660F0">
        <w:rPr>
          <w:rFonts w:cs="Calibri"/>
        </w:rPr>
        <w:t>review of files was not performed.</w:t>
      </w:r>
      <w:r w:rsidR="003A0E9A">
        <w:rPr>
          <w:rFonts w:cs="Calibri"/>
        </w:rPr>
        <w:t xml:space="preserve">  </w:t>
      </w:r>
      <w:r w:rsidRPr="13993596">
        <w:rPr>
          <w:rFonts w:cs="Calibri"/>
        </w:rPr>
        <w:t xml:space="preserve">A case file review is necessary to </w:t>
      </w:r>
      <w:r w:rsidR="00E660F0">
        <w:rPr>
          <w:rFonts w:cs="Calibri"/>
        </w:rPr>
        <w:t>gather facts needed to evaluate progress on this observation.</w:t>
      </w:r>
      <w:r w:rsidR="008D7D61" w:rsidRPr="13993596">
        <w:rPr>
          <w:rFonts w:cs="Calibri"/>
        </w:rPr>
        <w:t xml:space="preserve"> </w:t>
      </w:r>
      <w:r w:rsidRPr="13993596">
        <w:rPr>
          <w:rFonts w:cs="Calibri"/>
        </w:rPr>
        <w:t xml:space="preserve"> This will be a focus of next year’s on-site case file review during the FY 202</w:t>
      </w:r>
      <w:r w:rsidR="41FA84B1" w:rsidRPr="13993596">
        <w:rPr>
          <w:rFonts w:cs="Calibri"/>
        </w:rPr>
        <w:t>5</w:t>
      </w:r>
      <w:r w:rsidRPr="13993596">
        <w:rPr>
          <w:rFonts w:cs="Calibri"/>
        </w:rPr>
        <w:t xml:space="preserve"> </w:t>
      </w:r>
      <w:r w:rsidR="00E660F0">
        <w:rPr>
          <w:rFonts w:cs="Calibri"/>
        </w:rPr>
        <w:t>C</w:t>
      </w:r>
      <w:r w:rsidRPr="13993596">
        <w:rPr>
          <w:rFonts w:cs="Calibri"/>
        </w:rPr>
        <w:t>omprehensive FAME.</w:t>
      </w:r>
      <w:r w:rsidRPr="13993596">
        <w:rPr>
          <w:rFonts w:cs="Calibri"/>
          <w:b/>
          <w:bCs/>
        </w:rPr>
        <w:t xml:space="preserve"> </w:t>
      </w:r>
      <w:r w:rsidR="008D7D61" w:rsidRPr="13993596">
        <w:rPr>
          <w:rFonts w:cs="Calibri"/>
          <w:b/>
          <w:bCs/>
        </w:rPr>
        <w:t xml:space="preserve"> </w:t>
      </w:r>
      <w:r w:rsidRPr="13993596">
        <w:rPr>
          <w:rFonts w:cs="Calibri"/>
        </w:rPr>
        <w:t xml:space="preserve">This observation </w:t>
      </w:r>
      <w:r w:rsidR="007A4C4C" w:rsidRPr="13993596">
        <w:rPr>
          <w:rFonts w:cs="Calibri"/>
        </w:rPr>
        <w:t xml:space="preserve">is </w:t>
      </w:r>
      <w:r w:rsidRPr="13993596">
        <w:rPr>
          <w:rFonts w:cs="Calibri"/>
        </w:rPr>
        <w:t>continued.</w:t>
      </w:r>
    </w:p>
    <w:p w14:paraId="55E460C8" w14:textId="77777777" w:rsidR="00610A50" w:rsidRPr="001C1E47" w:rsidRDefault="00610A50" w:rsidP="00CF167A">
      <w:pPr>
        <w:widowControl/>
        <w:autoSpaceDE/>
        <w:autoSpaceDN/>
        <w:adjustRightInd/>
        <w:rPr>
          <w:rFonts w:cs="Calibri"/>
          <w:b/>
        </w:rPr>
      </w:pPr>
    </w:p>
    <w:p w14:paraId="66A4AC2D" w14:textId="1F355006" w:rsidR="00E34E6C" w:rsidRDefault="649E66BF" w:rsidP="5991425A">
      <w:pPr>
        <w:widowControl/>
        <w:tabs>
          <w:tab w:val="left" w:pos="1890"/>
          <w:tab w:val="left" w:pos="2430"/>
        </w:tabs>
        <w:autoSpaceDE/>
        <w:autoSpaceDN/>
        <w:adjustRightInd/>
        <w:contextualSpacing/>
        <w:rPr>
          <w:rFonts w:cs="Calibri"/>
        </w:rPr>
      </w:pPr>
      <w:r w:rsidRPr="13993596">
        <w:rPr>
          <w:rFonts w:cs="Calibri"/>
          <w:b/>
          <w:bCs/>
        </w:rPr>
        <w:t xml:space="preserve">Observation </w:t>
      </w:r>
      <w:r w:rsidR="08F00170" w:rsidRPr="13993596">
        <w:rPr>
          <w:rFonts w:cs="Calibri"/>
          <w:b/>
          <w:bCs/>
        </w:rPr>
        <w:t>FY 2024-OB-0</w:t>
      </w:r>
      <w:r w:rsidR="00675E64">
        <w:rPr>
          <w:rFonts w:cs="Calibri"/>
          <w:b/>
          <w:bCs/>
        </w:rPr>
        <w:t>3</w:t>
      </w:r>
      <w:r w:rsidRPr="13993596">
        <w:rPr>
          <w:rFonts w:cs="Calibri"/>
          <w:b/>
          <w:bCs/>
        </w:rPr>
        <w:t xml:space="preserve">:  </w:t>
      </w:r>
      <w:r w:rsidRPr="13993596">
        <w:rPr>
          <w:rFonts w:cs="Calibri"/>
        </w:rPr>
        <w:t>In FY 2023, 16% (21 of 130) of retaliation case files, accurate filing dates were not entered into WebIMIS.</w:t>
      </w:r>
    </w:p>
    <w:p w14:paraId="00161533" w14:textId="77777777" w:rsidR="00E25C28" w:rsidRPr="00E25C28" w:rsidRDefault="00E25C28" w:rsidP="00E34E6C">
      <w:pPr>
        <w:widowControl/>
        <w:tabs>
          <w:tab w:val="left" w:pos="1890"/>
          <w:tab w:val="left" w:pos="2430"/>
        </w:tabs>
        <w:autoSpaceDE/>
        <w:autoSpaceDN/>
        <w:adjustRightInd/>
        <w:contextualSpacing/>
        <w:rPr>
          <w:rFonts w:cs="Calibri"/>
          <w:bCs/>
          <w:highlight w:val="yellow"/>
          <w:u w:val="single"/>
        </w:rPr>
      </w:pPr>
    </w:p>
    <w:p w14:paraId="566E1DB4" w14:textId="287E1090" w:rsidR="00E34E6C" w:rsidRDefault="00E34E6C" w:rsidP="00E34E6C">
      <w:pPr>
        <w:widowControl/>
        <w:autoSpaceDE/>
        <w:autoSpaceDN/>
        <w:adjustRightInd/>
        <w:rPr>
          <w:rFonts w:cs="Calibri"/>
        </w:rPr>
      </w:pPr>
      <w:r w:rsidRPr="13993596">
        <w:rPr>
          <w:rFonts w:cs="Calibri"/>
          <w:b/>
          <w:bCs/>
        </w:rPr>
        <w:t xml:space="preserve">Status:  </w:t>
      </w:r>
      <w:r w:rsidR="00E32AEA">
        <w:rPr>
          <w:rFonts w:cs="Calibri"/>
        </w:rPr>
        <w:t>During this review period</w:t>
      </w:r>
      <w:r w:rsidR="002518E4">
        <w:rPr>
          <w:rFonts w:cs="Calibri"/>
        </w:rPr>
        <w:t xml:space="preserve">, </w:t>
      </w:r>
      <w:r w:rsidR="00A54694">
        <w:rPr>
          <w:rFonts w:cs="Calibri"/>
        </w:rPr>
        <w:t xml:space="preserve">retaliation cases transitioned </w:t>
      </w:r>
      <w:r w:rsidR="00E32AEA">
        <w:rPr>
          <w:rFonts w:cs="Calibri"/>
        </w:rPr>
        <w:t xml:space="preserve">from WebIMIS </w:t>
      </w:r>
      <w:r w:rsidR="00DE753C">
        <w:rPr>
          <w:rFonts w:cs="Calibri"/>
        </w:rPr>
        <w:t xml:space="preserve">over to </w:t>
      </w:r>
      <w:r w:rsidR="00A54694">
        <w:rPr>
          <w:rFonts w:cs="Calibri"/>
        </w:rPr>
        <w:t>OIS</w:t>
      </w:r>
      <w:r w:rsidR="002518E4">
        <w:rPr>
          <w:rFonts w:cs="Calibri"/>
        </w:rPr>
        <w:t xml:space="preserve">.  </w:t>
      </w:r>
      <w:r w:rsidR="00DE753C">
        <w:rPr>
          <w:rFonts w:cs="Calibri"/>
        </w:rPr>
        <w:t>During FY 2024</w:t>
      </w:r>
      <w:r w:rsidR="00EE4255">
        <w:rPr>
          <w:rFonts w:cs="Calibri"/>
        </w:rPr>
        <w:t xml:space="preserve">, a review of retaliation files was not performed.  </w:t>
      </w:r>
      <w:r w:rsidR="00EE4255" w:rsidRPr="13993596">
        <w:rPr>
          <w:rFonts w:cs="Calibri"/>
        </w:rPr>
        <w:t xml:space="preserve">A case file review is necessary to </w:t>
      </w:r>
      <w:r w:rsidR="00EE4255">
        <w:rPr>
          <w:rFonts w:cs="Calibri"/>
        </w:rPr>
        <w:t>gather facts needed to evaluate progress on this observation.</w:t>
      </w:r>
      <w:r w:rsidR="00EE4255" w:rsidRPr="13993596">
        <w:rPr>
          <w:rFonts w:cs="Calibri"/>
        </w:rPr>
        <w:t xml:space="preserve">  This will be a focus of next year’s on-site case file review during the FY 2025 </w:t>
      </w:r>
      <w:r w:rsidR="00EE4255">
        <w:rPr>
          <w:rFonts w:cs="Calibri"/>
        </w:rPr>
        <w:t>C</w:t>
      </w:r>
      <w:r w:rsidR="00EE4255" w:rsidRPr="13993596">
        <w:rPr>
          <w:rFonts w:cs="Calibri"/>
        </w:rPr>
        <w:t>omprehensive FAME.</w:t>
      </w:r>
      <w:r w:rsidR="00EE4255" w:rsidRPr="13993596">
        <w:rPr>
          <w:rFonts w:cs="Calibri"/>
          <w:b/>
          <w:bCs/>
        </w:rPr>
        <w:t xml:space="preserve">  </w:t>
      </w:r>
      <w:r w:rsidR="00EE4255" w:rsidRPr="13993596">
        <w:rPr>
          <w:rFonts w:cs="Calibri"/>
        </w:rPr>
        <w:t>This observation is continued.</w:t>
      </w:r>
    </w:p>
    <w:p w14:paraId="3BED3514" w14:textId="77777777" w:rsidR="00802254" w:rsidRDefault="00802254" w:rsidP="00E34E6C">
      <w:pPr>
        <w:widowControl/>
        <w:autoSpaceDE/>
        <w:autoSpaceDN/>
        <w:adjustRightInd/>
        <w:rPr>
          <w:rFonts w:cs="Calibri"/>
        </w:rPr>
      </w:pPr>
    </w:p>
    <w:p w14:paraId="084794EB" w14:textId="0B748DFF" w:rsidR="00802254" w:rsidRDefault="4BFB5C12" w:rsidP="5991425A">
      <w:pPr>
        <w:widowControl/>
        <w:tabs>
          <w:tab w:val="left" w:pos="1890"/>
          <w:tab w:val="left" w:pos="2430"/>
        </w:tabs>
        <w:autoSpaceDE/>
        <w:autoSpaceDN/>
        <w:adjustRightInd/>
        <w:contextualSpacing/>
        <w:rPr>
          <w:rFonts w:cs="Calibri"/>
        </w:rPr>
      </w:pPr>
      <w:r w:rsidRPr="5991425A">
        <w:rPr>
          <w:rFonts w:cs="Calibri"/>
          <w:b/>
          <w:bCs/>
        </w:rPr>
        <w:t xml:space="preserve">Observation </w:t>
      </w:r>
      <w:r w:rsidR="01B66138" w:rsidRPr="5991425A">
        <w:rPr>
          <w:rFonts w:cs="Calibri"/>
          <w:b/>
          <w:bCs/>
        </w:rPr>
        <w:t>FY 2024-OB-0</w:t>
      </w:r>
      <w:r w:rsidR="00675E64">
        <w:rPr>
          <w:rFonts w:cs="Calibri"/>
          <w:b/>
          <w:bCs/>
        </w:rPr>
        <w:t>4</w:t>
      </w:r>
      <w:r w:rsidRPr="5991425A">
        <w:rPr>
          <w:rFonts w:cs="Calibri"/>
          <w:b/>
          <w:bCs/>
        </w:rPr>
        <w:t xml:space="preserve">: </w:t>
      </w:r>
      <w:r w:rsidRPr="5991425A">
        <w:rPr>
          <w:rFonts w:cs="Calibri"/>
        </w:rPr>
        <w:t xml:space="preserve"> In FY 2023, 79% (103 of 130) retaliation case files lacked the required documentation, specifically proof of delivery of official letters.</w:t>
      </w:r>
    </w:p>
    <w:p w14:paraId="61273A6E" w14:textId="77777777" w:rsidR="001B28C8" w:rsidRPr="001C1E47" w:rsidRDefault="001B28C8" w:rsidP="00802254">
      <w:pPr>
        <w:widowControl/>
        <w:tabs>
          <w:tab w:val="left" w:pos="1890"/>
          <w:tab w:val="left" w:pos="2430"/>
        </w:tabs>
        <w:autoSpaceDE/>
        <w:autoSpaceDN/>
        <w:adjustRightInd/>
        <w:contextualSpacing/>
        <w:rPr>
          <w:rFonts w:cs="Calibri"/>
          <w:b/>
          <w:highlight w:val="yellow"/>
          <w:u w:val="single"/>
        </w:rPr>
      </w:pPr>
    </w:p>
    <w:p w14:paraId="3D28B7FD" w14:textId="6E688769" w:rsidR="00802254" w:rsidRDefault="00802254" w:rsidP="00802254">
      <w:pPr>
        <w:widowControl/>
        <w:autoSpaceDE/>
        <w:autoSpaceDN/>
        <w:adjustRightInd/>
        <w:rPr>
          <w:rFonts w:cs="Calibri"/>
        </w:rPr>
      </w:pPr>
      <w:r w:rsidRPr="001C1E47">
        <w:rPr>
          <w:rFonts w:cs="Calibri"/>
          <w:b/>
        </w:rPr>
        <w:t xml:space="preserve">Status:  </w:t>
      </w:r>
      <w:r w:rsidR="001C6287">
        <w:rPr>
          <w:rFonts w:cs="Calibri"/>
        </w:rPr>
        <w:t xml:space="preserve">In FY 2024, a review of retaliation files was not performed.  </w:t>
      </w:r>
      <w:r w:rsidR="001C6287" w:rsidRPr="13993596">
        <w:rPr>
          <w:rFonts w:cs="Calibri"/>
        </w:rPr>
        <w:t xml:space="preserve">A case file review is necessary to </w:t>
      </w:r>
      <w:r w:rsidR="001C6287">
        <w:rPr>
          <w:rFonts w:cs="Calibri"/>
        </w:rPr>
        <w:t>gather facts needed to evaluate progress on this observation.</w:t>
      </w:r>
      <w:r w:rsidR="001C6287" w:rsidRPr="13993596">
        <w:rPr>
          <w:rFonts w:cs="Calibri"/>
        </w:rPr>
        <w:t xml:space="preserve">  This will be a focus of next year’s on-site case file review during the FY 2025 </w:t>
      </w:r>
      <w:r w:rsidR="001C6287">
        <w:rPr>
          <w:rFonts w:cs="Calibri"/>
        </w:rPr>
        <w:t>C</w:t>
      </w:r>
      <w:r w:rsidR="001C6287" w:rsidRPr="13993596">
        <w:rPr>
          <w:rFonts w:cs="Calibri"/>
        </w:rPr>
        <w:t>omprehensive FAME.</w:t>
      </w:r>
      <w:r w:rsidR="001C6287" w:rsidRPr="13993596">
        <w:rPr>
          <w:rFonts w:cs="Calibri"/>
          <w:b/>
          <w:bCs/>
        </w:rPr>
        <w:t xml:space="preserve">  </w:t>
      </w:r>
      <w:r w:rsidR="001C6287" w:rsidRPr="13993596">
        <w:rPr>
          <w:rFonts w:cs="Calibri"/>
        </w:rPr>
        <w:t>This observation is continued.</w:t>
      </w:r>
    </w:p>
    <w:p w14:paraId="0A59AEB1" w14:textId="77777777" w:rsidR="00802254" w:rsidRDefault="00802254" w:rsidP="00E34E6C">
      <w:pPr>
        <w:widowControl/>
        <w:autoSpaceDE/>
        <w:autoSpaceDN/>
        <w:adjustRightInd/>
        <w:rPr>
          <w:rFonts w:cs="Calibri"/>
        </w:rPr>
      </w:pPr>
    </w:p>
    <w:p w14:paraId="21DB1D91" w14:textId="117830E7" w:rsidR="009C2F75" w:rsidRPr="009C2F75" w:rsidRDefault="3E70B56E" w:rsidP="5991425A">
      <w:pPr>
        <w:widowControl/>
        <w:tabs>
          <w:tab w:val="left" w:pos="1890"/>
          <w:tab w:val="left" w:pos="2430"/>
        </w:tabs>
        <w:autoSpaceDE/>
        <w:autoSpaceDN/>
        <w:adjustRightInd/>
        <w:contextualSpacing/>
        <w:rPr>
          <w:rFonts w:cs="Calibri"/>
        </w:rPr>
      </w:pPr>
      <w:r w:rsidRPr="5991425A">
        <w:rPr>
          <w:rFonts w:cs="Calibri"/>
          <w:b/>
          <w:bCs/>
        </w:rPr>
        <w:t xml:space="preserve">Observation </w:t>
      </w:r>
      <w:r w:rsidR="7D52A971" w:rsidRPr="5991425A">
        <w:rPr>
          <w:rFonts w:cs="Calibri"/>
          <w:b/>
          <w:bCs/>
        </w:rPr>
        <w:t>FY 2024-OB-0</w:t>
      </w:r>
      <w:r w:rsidR="00675E64">
        <w:rPr>
          <w:rFonts w:cs="Calibri"/>
          <w:b/>
          <w:bCs/>
        </w:rPr>
        <w:t>5</w:t>
      </w:r>
      <w:r w:rsidRPr="5991425A">
        <w:rPr>
          <w:rFonts w:cs="Calibri"/>
          <w:b/>
          <w:bCs/>
        </w:rPr>
        <w:t xml:space="preserve">: </w:t>
      </w:r>
      <w:r w:rsidRPr="5991425A">
        <w:rPr>
          <w:rFonts w:cs="Calibri"/>
        </w:rPr>
        <w:t>In FY 2023, agreement for the complainant to</w:t>
      </w:r>
    </w:p>
    <w:p w14:paraId="1851EEC6" w14:textId="6E09FB92" w:rsidR="00083235" w:rsidRPr="009C2F75" w:rsidRDefault="009C2F75" w:rsidP="009C2F75">
      <w:pPr>
        <w:widowControl/>
        <w:tabs>
          <w:tab w:val="left" w:pos="1890"/>
          <w:tab w:val="left" w:pos="2430"/>
        </w:tabs>
        <w:autoSpaceDE/>
        <w:autoSpaceDN/>
        <w:adjustRightInd/>
        <w:contextualSpacing/>
        <w:rPr>
          <w:rFonts w:cs="Calibri"/>
          <w:bCs/>
        </w:rPr>
      </w:pPr>
      <w:r w:rsidRPr="009C2F75">
        <w:rPr>
          <w:rFonts w:cs="Calibri"/>
          <w:bCs/>
        </w:rPr>
        <w:t>administratively close the case was not obtained in 71% (63 of 88) of the retaliation case files</w:t>
      </w:r>
    </w:p>
    <w:p w14:paraId="0E9FD334" w14:textId="77777777" w:rsidR="009C2F75" w:rsidRPr="001C1E47" w:rsidRDefault="009C2F75" w:rsidP="009C2F75">
      <w:pPr>
        <w:widowControl/>
        <w:tabs>
          <w:tab w:val="left" w:pos="1890"/>
          <w:tab w:val="left" w:pos="2430"/>
        </w:tabs>
        <w:autoSpaceDE/>
        <w:autoSpaceDN/>
        <w:adjustRightInd/>
        <w:contextualSpacing/>
        <w:rPr>
          <w:rFonts w:cs="Calibri"/>
          <w:b/>
          <w:highlight w:val="yellow"/>
          <w:u w:val="single"/>
        </w:rPr>
      </w:pPr>
    </w:p>
    <w:p w14:paraId="1A41D3AF" w14:textId="10FE795B" w:rsidR="00083235" w:rsidRDefault="00083235" w:rsidP="00083235">
      <w:pPr>
        <w:widowControl/>
        <w:autoSpaceDE/>
        <w:autoSpaceDN/>
        <w:adjustRightInd/>
        <w:rPr>
          <w:rFonts w:cs="Calibri"/>
        </w:rPr>
      </w:pPr>
      <w:r w:rsidRPr="13993596">
        <w:rPr>
          <w:rFonts w:cs="Calibri"/>
          <w:b/>
          <w:bCs/>
        </w:rPr>
        <w:t xml:space="preserve">Status:  </w:t>
      </w:r>
      <w:r w:rsidR="001C6287">
        <w:rPr>
          <w:rFonts w:cs="Calibri"/>
        </w:rPr>
        <w:t xml:space="preserve">In FY 2024, a review of retaliation files was not performed.  </w:t>
      </w:r>
      <w:r w:rsidR="00461ED6">
        <w:rPr>
          <w:rFonts w:cs="Calibri"/>
        </w:rPr>
        <w:t xml:space="preserve">DOSH was working on revising their </w:t>
      </w:r>
      <w:r w:rsidR="00495CB2">
        <w:rPr>
          <w:rFonts w:cs="Calibri"/>
        </w:rPr>
        <w:t xml:space="preserve">Whistleblower Investigation Manual </w:t>
      </w:r>
      <w:r w:rsidR="009948F8">
        <w:rPr>
          <w:rFonts w:cs="Calibri"/>
        </w:rPr>
        <w:t>which</w:t>
      </w:r>
      <w:r w:rsidR="00495CB2">
        <w:rPr>
          <w:rFonts w:cs="Calibri"/>
        </w:rPr>
        <w:t xml:space="preserve"> addresses this requirement.  However, a</w:t>
      </w:r>
      <w:r w:rsidR="001C6287" w:rsidRPr="13993596">
        <w:rPr>
          <w:rFonts w:cs="Calibri"/>
        </w:rPr>
        <w:t xml:space="preserve"> case file review is necessary to </w:t>
      </w:r>
      <w:r w:rsidR="001C6287">
        <w:rPr>
          <w:rFonts w:cs="Calibri"/>
        </w:rPr>
        <w:t>gather facts needed to evaluate progress on this observation.</w:t>
      </w:r>
      <w:r w:rsidR="001C6287" w:rsidRPr="13993596">
        <w:rPr>
          <w:rFonts w:cs="Calibri"/>
        </w:rPr>
        <w:t xml:space="preserve">  This will be a focus of next year’s on-site case file review during the FY 2025 </w:t>
      </w:r>
      <w:r w:rsidR="001C6287">
        <w:rPr>
          <w:rFonts w:cs="Calibri"/>
        </w:rPr>
        <w:t>C</w:t>
      </w:r>
      <w:r w:rsidR="001C6287" w:rsidRPr="13993596">
        <w:rPr>
          <w:rFonts w:cs="Calibri"/>
        </w:rPr>
        <w:t>omprehensive FAME.</w:t>
      </w:r>
      <w:r w:rsidR="001C6287" w:rsidRPr="13993596">
        <w:rPr>
          <w:rFonts w:cs="Calibri"/>
          <w:b/>
          <w:bCs/>
        </w:rPr>
        <w:t xml:space="preserve">  </w:t>
      </w:r>
      <w:r w:rsidR="001C6287" w:rsidRPr="13993596">
        <w:rPr>
          <w:rFonts w:cs="Calibri"/>
        </w:rPr>
        <w:t>This observation is continued.</w:t>
      </w:r>
    </w:p>
    <w:p w14:paraId="0BD04D40" w14:textId="77777777" w:rsidR="00083235" w:rsidRDefault="00083235" w:rsidP="00E34E6C">
      <w:pPr>
        <w:widowControl/>
        <w:autoSpaceDE/>
        <w:autoSpaceDN/>
        <w:adjustRightInd/>
        <w:rPr>
          <w:rFonts w:cs="Calibri"/>
        </w:rPr>
      </w:pPr>
    </w:p>
    <w:p w14:paraId="0CA839A4" w14:textId="5B4BABC1" w:rsidR="004268AF" w:rsidRPr="003A44F6" w:rsidRDefault="60B3638A" w:rsidP="5991425A">
      <w:pPr>
        <w:widowControl/>
        <w:tabs>
          <w:tab w:val="left" w:pos="1890"/>
          <w:tab w:val="left" w:pos="2430"/>
        </w:tabs>
        <w:autoSpaceDE/>
        <w:autoSpaceDN/>
        <w:adjustRightInd/>
        <w:contextualSpacing/>
        <w:rPr>
          <w:rFonts w:cs="Calibri"/>
        </w:rPr>
      </w:pPr>
      <w:r w:rsidRPr="5991425A">
        <w:rPr>
          <w:rFonts w:cs="Calibri"/>
          <w:b/>
          <w:bCs/>
        </w:rPr>
        <w:t xml:space="preserve">Observation </w:t>
      </w:r>
      <w:r w:rsidR="3130F54F" w:rsidRPr="5991425A">
        <w:rPr>
          <w:rFonts w:cs="Calibri"/>
          <w:b/>
          <w:bCs/>
        </w:rPr>
        <w:t>FY 2024-OB-0</w:t>
      </w:r>
      <w:r w:rsidR="00675E64">
        <w:rPr>
          <w:rFonts w:cs="Calibri"/>
          <w:b/>
          <w:bCs/>
        </w:rPr>
        <w:t>6</w:t>
      </w:r>
      <w:r w:rsidRPr="5991425A">
        <w:rPr>
          <w:rFonts w:cs="Calibri"/>
          <w:b/>
          <w:bCs/>
        </w:rPr>
        <w:t xml:space="preserve">:  </w:t>
      </w:r>
      <w:r w:rsidRPr="5991425A">
        <w:rPr>
          <w:rFonts w:cs="Calibri"/>
        </w:rPr>
        <w:t>In FY 2023, eight out of eleven (72%) state and local government workplace consultation files with 10 or more employees at the worksite, did not have the OSHA 300 logs in the file.</w:t>
      </w:r>
    </w:p>
    <w:p w14:paraId="2CB7F550" w14:textId="77777777" w:rsidR="004268AF" w:rsidRPr="001C1E47" w:rsidRDefault="004268AF" w:rsidP="004268AF">
      <w:pPr>
        <w:widowControl/>
        <w:tabs>
          <w:tab w:val="left" w:pos="1890"/>
          <w:tab w:val="left" w:pos="2430"/>
        </w:tabs>
        <w:autoSpaceDE/>
        <w:autoSpaceDN/>
        <w:adjustRightInd/>
        <w:contextualSpacing/>
        <w:rPr>
          <w:rFonts w:cs="Calibri"/>
          <w:b/>
          <w:highlight w:val="yellow"/>
          <w:u w:val="single"/>
        </w:rPr>
      </w:pPr>
    </w:p>
    <w:p w14:paraId="284AC266" w14:textId="33E81224" w:rsidR="004268AF" w:rsidRDefault="004268AF" w:rsidP="004268AF">
      <w:pPr>
        <w:widowControl/>
        <w:autoSpaceDE/>
        <w:autoSpaceDN/>
        <w:adjustRightInd/>
        <w:rPr>
          <w:rFonts w:cs="Calibri"/>
        </w:rPr>
      </w:pPr>
      <w:r w:rsidRPr="13993596">
        <w:rPr>
          <w:rFonts w:cs="Calibri"/>
          <w:b/>
          <w:bCs/>
        </w:rPr>
        <w:t xml:space="preserve">Status:  </w:t>
      </w:r>
      <w:r w:rsidR="00BB391B">
        <w:rPr>
          <w:rFonts w:cs="Calibri"/>
        </w:rPr>
        <w:t xml:space="preserve">In FY 2024, a review of </w:t>
      </w:r>
      <w:r w:rsidR="008765CE">
        <w:rPr>
          <w:rFonts w:cs="Calibri"/>
        </w:rPr>
        <w:t xml:space="preserve">state and local government workplace </w:t>
      </w:r>
      <w:r w:rsidR="00BB391B">
        <w:rPr>
          <w:rFonts w:cs="Calibri"/>
        </w:rPr>
        <w:t>consultation visits was not performed</w:t>
      </w:r>
      <w:r w:rsidR="0008232C">
        <w:rPr>
          <w:rFonts w:cs="Calibri"/>
        </w:rPr>
        <w:t xml:space="preserve"> to determine if the OSHA 300 logs were maintained in the visit files</w:t>
      </w:r>
      <w:r w:rsidR="00BB391B">
        <w:rPr>
          <w:rFonts w:cs="Calibri"/>
        </w:rPr>
        <w:t xml:space="preserve">.  </w:t>
      </w:r>
      <w:r w:rsidR="00BB391B" w:rsidRPr="13993596">
        <w:rPr>
          <w:rFonts w:cs="Calibri"/>
        </w:rPr>
        <w:t xml:space="preserve">A case file review is necessary to </w:t>
      </w:r>
      <w:r w:rsidR="00BB391B">
        <w:rPr>
          <w:rFonts w:cs="Calibri"/>
        </w:rPr>
        <w:t>gather facts needed to evaluate progress on this observation.</w:t>
      </w:r>
      <w:r w:rsidR="00BB391B" w:rsidRPr="13993596">
        <w:rPr>
          <w:rFonts w:cs="Calibri"/>
        </w:rPr>
        <w:t xml:space="preserve">  This will be a focus of next year’s </w:t>
      </w:r>
      <w:r w:rsidR="00BB391B">
        <w:rPr>
          <w:rFonts w:cs="Calibri"/>
        </w:rPr>
        <w:t>consultation</w:t>
      </w:r>
      <w:r w:rsidR="00BB391B" w:rsidRPr="13993596">
        <w:rPr>
          <w:rFonts w:cs="Calibri"/>
        </w:rPr>
        <w:t xml:space="preserve"> file review during the FY 2025 </w:t>
      </w:r>
      <w:r w:rsidR="00BB391B">
        <w:rPr>
          <w:rFonts w:cs="Calibri"/>
        </w:rPr>
        <w:t>C</w:t>
      </w:r>
      <w:r w:rsidR="00BB391B" w:rsidRPr="13993596">
        <w:rPr>
          <w:rFonts w:cs="Calibri"/>
        </w:rPr>
        <w:t>omprehensive FAME.</w:t>
      </w:r>
      <w:r w:rsidR="00BB391B" w:rsidRPr="13993596">
        <w:rPr>
          <w:rFonts w:cs="Calibri"/>
          <w:b/>
          <w:bCs/>
        </w:rPr>
        <w:t xml:space="preserve">  </w:t>
      </w:r>
      <w:r w:rsidR="00BB391B" w:rsidRPr="13993596">
        <w:rPr>
          <w:rFonts w:cs="Calibri"/>
        </w:rPr>
        <w:t>This observation is continued.</w:t>
      </w:r>
    </w:p>
    <w:p w14:paraId="4503CEE7" w14:textId="77777777" w:rsidR="004268AF" w:rsidRDefault="004268AF" w:rsidP="00E34E6C">
      <w:pPr>
        <w:widowControl/>
        <w:autoSpaceDE/>
        <w:autoSpaceDN/>
        <w:adjustRightInd/>
        <w:rPr>
          <w:rFonts w:cs="Calibri"/>
        </w:rPr>
      </w:pPr>
    </w:p>
    <w:p w14:paraId="1C0710B6" w14:textId="0108F717" w:rsidR="00EB0095" w:rsidRDefault="7136BF26" w:rsidP="5991425A">
      <w:pPr>
        <w:widowControl/>
        <w:tabs>
          <w:tab w:val="left" w:pos="1890"/>
          <w:tab w:val="left" w:pos="2430"/>
        </w:tabs>
        <w:autoSpaceDE/>
        <w:autoSpaceDN/>
        <w:adjustRightInd/>
        <w:contextualSpacing/>
        <w:rPr>
          <w:rFonts w:cs="Calibri"/>
          <w:b/>
          <w:bCs/>
        </w:rPr>
      </w:pPr>
      <w:r w:rsidRPr="5991425A">
        <w:rPr>
          <w:rFonts w:cs="Calibri"/>
          <w:b/>
          <w:bCs/>
        </w:rPr>
        <w:t xml:space="preserve">Observation </w:t>
      </w:r>
      <w:r w:rsidR="4FBF4CAC" w:rsidRPr="5991425A">
        <w:rPr>
          <w:rFonts w:cs="Calibri"/>
          <w:b/>
          <w:bCs/>
        </w:rPr>
        <w:t>FY 2024-OB-0</w:t>
      </w:r>
      <w:r w:rsidR="00675E64">
        <w:rPr>
          <w:rFonts w:cs="Calibri"/>
          <w:b/>
          <w:bCs/>
        </w:rPr>
        <w:t>7</w:t>
      </w:r>
      <w:r w:rsidRPr="519928FB">
        <w:rPr>
          <w:rFonts w:cs="Calibri"/>
          <w:b/>
          <w:bCs/>
        </w:rPr>
        <w:t>:</w:t>
      </w:r>
      <w:r w:rsidRPr="5991425A">
        <w:rPr>
          <w:rFonts w:cs="Calibri"/>
          <w:b/>
          <w:bCs/>
        </w:rPr>
        <w:t xml:space="preserve"> </w:t>
      </w:r>
      <w:r w:rsidRPr="5991425A">
        <w:rPr>
          <w:rFonts w:cs="Calibri"/>
        </w:rPr>
        <w:t>In FY 2023, in 10 out of 22 (45%) private sector consultation files with 10 or more employees at the worksite, the OSHA 300 logs were not in the file.</w:t>
      </w:r>
    </w:p>
    <w:p w14:paraId="751CB1D8" w14:textId="77777777" w:rsidR="00486875" w:rsidRPr="001C1E47" w:rsidRDefault="00486875" w:rsidP="00EB0095">
      <w:pPr>
        <w:widowControl/>
        <w:tabs>
          <w:tab w:val="left" w:pos="1890"/>
          <w:tab w:val="left" w:pos="2430"/>
        </w:tabs>
        <w:autoSpaceDE/>
        <w:autoSpaceDN/>
        <w:adjustRightInd/>
        <w:contextualSpacing/>
        <w:rPr>
          <w:rFonts w:cs="Calibri"/>
          <w:b/>
          <w:highlight w:val="yellow"/>
          <w:u w:val="single"/>
        </w:rPr>
      </w:pPr>
    </w:p>
    <w:p w14:paraId="5618DFC5" w14:textId="308672DE" w:rsidR="00EB0095" w:rsidRDefault="00EB0095" w:rsidP="00EB0095">
      <w:pPr>
        <w:widowControl/>
        <w:autoSpaceDE/>
        <w:autoSpaceDN/>
        <w:adjustRightInd/>
        <w:rPr>
          <w:rFonts w:cs="Calibri"/>
        </w:rPr>
      </w:pPr>
      <w:r w:rsidRPr="13993596">
        <w:rPr>
          <w:rFonts w:cs="Calibri"/>
          <w:b/>
          <w:bCs/>
        </w:rPr>
        <w:t xml:space="preserve">Status:  </w:t>
      </w:r>
      <w:r w:rsidR="008765CE">
        <w:rPr>
          <w:rFonts w:cs="Calibri"/>
        </w:rPr>
        <w:t>In FY 2024, a review of private sector consultation visits was not performed</w:t>
      </w:r>
      <w:r w:rsidR="0008232C">
        <w:rPr>
          <w:rFonts w:cs="Calibri"/>
        </w:rPr>
        <w:t xml:space="preserve"> to determine if the OSHA 300 logs were maintained in the visit files</w:t>
      </w:r>
      <w:r w:rsidR="008765CE">
        <w:rPr>
          <w:rFonts w:cs="Calibri"/>
        </w:rPr>
        <w:t xml:space="preserve">.  </w:t>
      </w:r>
      <w:r w:rsidR="008765CE" w:rsidRPr="13993596">
        <w:rPr>
          <w:rFonts w:cs="Calibri"/>
        </w:rPr>
        <w:t xml:space="preserve">A case file review is necessary to </w:t>
      </w:r>
      <w:r w:rsidR="008765CE">
        <w:rPr>
          <w:rFonts w:cs="Calibri"/>
        </w:rPr>
        <w:t>gather facts needed to evaluate progress on this observation.</w:t>
      </w:r>
      <w:r w:rsidR="008765CE" w:rsidRPr="13993596">
        <w:rPr>
          <w:rFonts w:cs="Calibri"/>
        </w:rPr>
        <w:t xml:space="preserve">  This will be a focus of next year’s </w:t>
      </w:r>
      <w:r w:rsidR="008765CE">
        <w:rPr>
          <w:rFonts w:cs="Calibri"/>
        </w:rPr>
        <w:t>consultation</w:t>
      </w:r>
      <w:r w:rsidR="008765CE" w:rsidRPr="13993596">
        <w:rPr>
          <w:rFonts w:cs="Calibri"/>
        </w:rPr>
        <w:t xml:space="preserve"> file review during the FY 2025 </w:t>
      </w:r>
      <w:r w:rsidR="008765CE">
        <w:rPr>
          <w:rFonts w:cs="Calibri"/>
        </w:rPr>
        <w:t>C</w:t>
      </w:r>
      <w:r w:rsidR="008765CE" w:rsidRPr="13993596">
        <w:rPr>
          <w:rFonts w:cs="Calibri"/>
        </w:rPr>
        <w:t>omprehensive FAME.</w:t>
      </w:r>
      <w:r w:rsidR="008765CE" w:rsidRPr="13993596">
        <w:rPr>
          <w:rFonts w:cs="Calibri"/>
          <w:b/>
          <w:bCs/>
        </w:rPr>
        <w:t xml:space="preserve">  </w:t>
      </w:r>
      <w:r w:rsidR="008765CE" w:rsidRPr="13993596">
        <w:rPr>
          <w:rFonts w:cs="Calibri"/>
        </w:rPr>
        <w:t>This observation is continued.</w:t>
      </w:r>
    </w:p>
    <w:p w14:paraId="2BACDEAA" w14:textId="1C02642B" w:rsidR="000B4798" w:rsidRPr="009F4BD6" w:rsidRDefault="000B4798" w:rsidP="5EE5CFBE">
      <w:pPr>
        <w:widowControl/>
        <w:autoSpaceDE/>
        <w:autoSpaceDN/>
        <w:adjustRightInd/>
        <w:rPr>
          <w:rFonts w:cs="Calibri"/>
          <w:b/>
          <w:bCs/>
        </w:rPr>
      </w:pPr>
    </w:p>
    <w:p w14:paraId="05988F24" w14:textId="4FFBD704" w:rsidR="5EE5CFBE" w:rsidRDefault="757F1546" w:rsidP="5991425A">
      <w:pPr>
        <w:widowControl/>
        <w:rPr>
          <w:rFonts w:cs="Calibri"/>
        </w:rPr>
      </w:pPr>
      <w:r w:rsidRPr="5991425A">
        <w:rPr>
          <w:rFonts w:cs="Calibri"/>
          <w:b/>
          <w:bCs/>
        </w:rPr>
        <w:t xml:space="preserve">Observation </w:t>
      </w:r>
      <w:r w:rsidR="037759A4" w:rsidRPr="5991425A">
        <w:rPr>
          <w:rFonts w:cs="Calibri"/>
          <w:b/>
          <w:bCs/>
        </w:rPr>
        <w:t>FY 2024-OB-0</w:t>
      </w:r>
      <w:r w:rsidR="00675E64">
        <w:rPr>
          <w:rFonts w:cs="Calibri"/>
          <w:b/>
          <w:bCs/>
        </w:rPr>
        <w:t>8</w:t>
      </w:r>
      <w:r w:rsidRPr="519928FB">
        <w:rPr>
          <w:rFonts w:cs="Calibri"/>
          <w:b/>
          <w:bCs/>
        </w:rPr>
        <w:t>:</w:t>
      </w:r>
      <w:r w:rsidRPr="5991425A">
        <w:rPr>
          <w:rFonts w:cs="Calibri"/>
          <w:b/>
          <w:bCs/>
        </w:rPr>
        <w:t xml:space="preserve">  </w:t>
      </w:r>
      <w:r w:rsidRPr="5991425A">
        <w:rPr>
          <w:rFonts w:cs="Calibri"/>
        </w:rPr>
        <w:t>In FY 2023, in six out of 22 (27%) private sector consultation files with 10 or more employees at the worksite, there was no comparison of the employer DART rate to the national average.</w:t>
      </w:r>
    </w:p>
    <w:p w14:paraId="7958A4A6" w14:textId="77777777" w:rsidR="00F542AD" w:rsidRDefault="00F542AD" w:rsidP="5EE5CFBE">
      <w:pPr>
        <w:widowControl/>
        <w:rPr>
          <w:rFonts w:cs="Calibri"/>
        </w:rPr>
      </w:pPr>
    </w:p>
    <w:p w14:paraId="21A61DB6" w14:textId="5C7EE78B" w:rsidR="000B4798" w:rsidRDefault="001F5170" w:rsidP="13993596">
      <w:pPr>
        <w:widowControl/>
        <w:rPr>
          <w:rFonts w:cs="Calibri"/>
        </w:rPr>
      </w:pPr>
      <w:r>
        <w:rPr>
          <w:rFonts w:cs="Calibri"/>
          <w:b/>
          <w:bCs/>
        </w:rPr>
        <w:t>Status</w:t>
      </w:r>
      <w:r w:rsidR="632ABE0F" w:rsidRPr="13993596">
        <w:rPr>
          <w:rFonts w:cs="Calibri"/>
          <w:b/>
          <w:bCs/>
        </w:rPr>
        <w:t xml:space="preserve">: </w:t>
      </w:r>
      <w:r w:rsidR="003F2484">
        <w:rPr>
          <w:rFonts w:cs="Calibri"/>
        </w:rPr>
        <w:t xml:space="preserve">In FY 2024, a review of private sector consultation visits was not performed to determine if the </w:t>
      </w:r>
      <w:r w:rsidR="0008232C">
        <w:rPr>
          <w:rFonts w:cs="Calibri"/>
        </w:rPr>
        <w:t>employer’s DART rate was compared to the national average</w:t>
      </w:r>
      <w:r w:rsidR="003F2484">
        <w:rPr>
          <w:rFonts w:cs="Calibri"/>
        </w:rPr>
        <w:t xml:space="preserve">.  </w:t>
      </w:r>
      <w:r w:rsidR="003F2484" w:rsidRPr="13993596">
        <w:rPr>
          <w:rFonts w:cs="Calibri"/>
        </w:rPr>
        <w:t xml:space="preserve">A case file review is necessary to </w:t>
      </w:r>
      <w:r w:rsidR="003F2484">
        <w:rPr>
          <w:rFonts w:cs="Calibri"/>
        </w:rPr>
        <w:t>gather facts needed to evaluate progress on this observation.</w:t>
      </w:r>
      <w:r w:rsidR="003F2484" w:rsidRPr="13993596">
        <w:rPr>
          <w:rFonts w:cs="Calibri"/>
        </w:rPr>
        <w:t xml:space="preserve">  This will be a focus of next year’s </w:t>
      </w:r>
      <w:r w:rsidR="003F2484">
        <w:rPr>
          <w:rFonts w:cs="Calibri"/>
        </w:rPr>
        <w:t>consultation</w:t>
      </w:r>
      <w:r w:rsidR="003F2484" w:rsidRPr="13993596">
        <w:rPr>
          <w:rFonts w:cs="Calibri"/>
        </w:rPr>
        <w:t xml:space="preserve"> file review during the FY 2025 </w:t>
      </w:r>
      <w:r w:rsidR="003F2484">
        <w:rPr>
          <w:rFonts w:cs="Calibri"/>
        </w:rPr>
        <w:t>C</w:t>
      </w:r>
      <w:r w:rsidR="003F2484" w:rsidRPr="13993596">
        <w:rPr>
          <w:rFonts w:cs="Calibri"/>
        </w:rPr>
        <w:t>omprehensive FAME.</w:t>
      </w:r>
      <w:r w:rsidR="003F2484" w:rsidRPr="13993596">
        <w:rPr>
          <w:rFonts w:cs="Calibri"/>
          <w:b/>
          <w:bCs/>
        </w:rPr>
        <w:t xml:space="preserve">  </w:t>
      </w:r>
      <w:r w:rsidR="003F2484" w:rsidRPr="13993596">
        <w:rPr>
          <w:rFonts w:cs="Calibri"/>
        </w:rPr>
        <w:t>This observation is continued.</w:t>
      </w:r>
    </w:p>
    <w:p w14:paraId="48C54113" w14:textId="66180800" w:rsidR="00072A67" w:rsidRDefault="42B4E40C" w:rsidP="13993596">
      <w:pPr>
        <w:widowControl/>
        <w:autoSpaceDE/>
        <w:autoSpaceDN/>
        <w:adjustRightInd/>
        <w:rPr>
          <w:rFonts w:cs="Calibri"/>
          <w:b/>
          <w:bCs/>
        </w:rPr>
      </w:pPr>
      <w:r w:rsidRPr="13993596">
        <w:rPr>
          <w:rFonts w:cs="Calibri"/>
          <w:b/>
          <w:bCs/>
        </w:rPr>
        <w:t xml:space="preserve">  </w:t>
      </w:r>
    </w:p>
    <w:p w14:paraId="0A815E5C" w14:textId="77777777" w:rsidR="00072A67" w:rsidRDefault="00072A67" w:rsidP="13993596">
      <w:pPr>
        <w:widowControl/>
        <w:autoSpaceDE/>
        <w:autoSpaceDN/>
        <w:adjustRightInd/>
        <w:rPr>
          <w:rFonts w:cs="Calibri"/>
          <w:b/>
          <w:bCs/>
        </w:rPr>
      </w:pPr>
    </w:p>
    <w:p w14:paraId="132EE71D" w14:textId="77777777" w:rsidR="00560A30" w:rsidRDefault="00560A30" w:rsidP="13993596">
      <w:pPr>
        <w:widowControl/>
        <w:autoSpaceDE/>
        <w:autoSpaceDN/>
        <w:adjustRightInd/>
        <w:rPr>
          <w:rFonts w:cs="Calibri"/>
          <w:b/>
          <w:bCs/>
        </w:rPr>
      </w:pPr>
    </w:p>
    <w:p w14:paraId="0053EC0D" w14:textId="77777777" w:rsidR="00560A30" w:rsidRDefault="00560A30" w:rsidP="13993596">
      <w:pPr>
        <w:widowControl/>
        <w:autoSpaceDE/>
        <w:autoSpaceDN/>
        <w:adjustRightInd/>
        <w:rPr>
          <w:rFonts w:cs="Calibri"/>
          <w:b/>
          <w:bCs/>
        </w:rPr>
      </w:pPr>
    </w:p>
    <w:p w14:paraId="363BA21F" w14:textId="77777777" w:rsidR="00072A67" w:rsidRPr="001C1E47" w:rsidRDefault="00072A67" w:rsidP="13993596">
      <w:pPr>
        <w:widowControl/>
        <w:autoSpaceDE/>
        <w:autoSpaceDN/>
        <w:adjustRightInd/>
        <w:rPr>
          <w:rFonts w:cs="Calibri"/>
          <w:b/>
          <w:bCs/>
        </w:rPr>
      </w:pPr>
    </w:p>
    <w:p w14:paraId="2016566F" w14:textId="781BF097" w:rsidR="24532CA8" w:rsidRDefault="24532CA8" w:rsidP="00072A67">
      <w:pPr>
        <w:widowControl/>
        <w:autoSpaceDE/>
        <w:autoSpaceDN/>
        <w:adjustRightInd/>
        <w:rPr>
          <w:rFonts w:eastAsia="Calibri" w:cs="Calibri"/>
          <w:color w:val="000000" w:themeColor="text1"/>
        </w:rPr>
      </w:pPr>
      <w:r w:rsidRPr="5991425A">
        <w:rPr>
          <w:rFonts w:eastAsia="Calibri" w:cs="Calibri"/>
          <w:b/>
          <w:bCs/>
          <w:color w:val="000000" w:themeColor="text1"/>
        </w:rPr>
        <w:t>New FY 2024 Observations</w:t>
      </w:r>
    </w:p>
    <w:p w14:paraId="24EDDA5F" w14:textId="4327A1BC" w:rsidR="5991425A" w:rsidRDefault="5991425A" w:rsidP="5991425A">
      <w:pPr>
        <w:widowControl/>
        <w:rPr>
          <w:rFonts w:eastAsia="Calibri" w:cs="Calibri"/>
          <w:color w:val="000000" w:themeColor="text1"/>
        </w:rPr>
      </w:pPr>
    </w:p>
    <w:p w14:paraId="48AF6B17" w14:textId="312995A7" w:rsidR="24532CA8" w:rsidRDefault="24532CA8" w:rsidP="5991425A">
      <w:pPr>
        <w:rPr>
          <w:rFonts w:eastAsia="Calibri" w:cs="Calibri"/>
          <w:color w:val="000000" w:themeColor="text1"/>
        </w:rPr>
      </w:pPr>
      <w:r w:rsidRPr="5991425A">
        <w:rPr>
          <w:rFonts w:eastAsia="Calibri" w:cs="Calibri"/>
          <w:color w:val="000000" w:themeColor="text1"/>
        </w:rPr>
        <w:t xml:space="preserve">There were no new observations identified in FY 2024.  </w:t>
      </w:r>
    </w:p>
    <w:p w14:paraId="53478BFC" w14:textId="6EC5E9DB" w:rsidR="5991425A" w:rsidRDefault="5991425A" w:rsidP="5991425A">
      <w:pPr>
        <w:widowControl/>
        <w:rPr>
          <w:rFonts w:cs="Calibri"/>
          <w:b/>
          <w:bCs/>
          <w:highlight w:val="yellow"/>
          <w:u w:val="single"/>
        </w:rPr>
      </w:pPr>
    </w:p>
    <w:p w14:paraId="3B828F9D" w14:textId="4272A71F" w:rsidR="00F132A8" w:rsidRPr="0061362E" w:rsidRDefault="00F132A8" w:rsidP="00464329">
      <w:pPr>
        <w:pStyle w:val="Heading3"/>
        <w:numPr>
          <w:ilvl w:val="0"/>
          <w:numId w:val="14"/>
        </w:numPr>
      </w:pPr>
      <w:bookmarkStart w:id="20" w:name="_Toc118900177"/>
      <w:bookmarkStart w:id="21" w:name="_Toc118905016"/>
      <w:bookmarkStart w:id="22" w:name="_Toc193191071"/>
      <w:r w:rsidRPr="0061362E">
        <w:t>State Activity Mandated Measures (SAMM)</w:t>
      </w:r>
      <w:r w:rsidR="00A243D6" w:rsidRPr="0061362E">
        <w:t xml:space="preserve"> Highlights</w:t>
      </w:r>
      <w:bookmarkEnd w:id="20"/>
      <w:bookmarkEnd w:id="21"/>
      <w:bookmarkEnd w:id="22"/>
    </w:p>
    <w:p w14:paraId="1ACC4DE2" w14:textId="77777777" w:rsidR="00F132A8" w:rsidRPr="001C1E47" w:rsidRDefault="00F132A8" w:rsidP="00783189">
      <w:pPr>
        <w:widowControl/>
        <w:autoSpaceDE/>
        <w:autoSpaceDN/>
        <w:adjustRightInd/>
        <w:ind w:left="720"/>
        <w:contextualSpacing/>
        <w:rPr>
          <w:rFonts w:cs="Calibri"/>
          <w:sz w:val="28"/>
          <w:szCs w:val="28"/>
        </w:rPr>
      </w:pPr>
    </w:p>
    <w:p w14:paraId="6DF3CF00" w14:textId="1B97C901" w:rsidR="00C87DAA" w:rsidRDefault="2AA58974" w:rsidP="00783189">
      <w:pPr>
        <w:widowControl/>
        <w:autoSpaceDE/>
        <w:adjustRightInd/>
        <w:rPr>
          <w:rFonts w:cs="Calibri"/>
        </w:rPr>
      </w:pPr>
      <w:r w:rsidRPr="5991425A">
        <w:rPr>
          <w:rFonts w:cs="Calibri"/>
        </w:rPr>
        <w:t xml:space="preserve">Each SAMM has an agreed upon </w:t>
      </w:r>
      <w:r w:rsidR="297094D4" w:rsidRPr="5991425A">
        <w:rPr>
          <w:rFonts w:cs="Calibri"/>
        </w:rPr>
        <w:t>FRL</w:t>
      </w:r>
      <w:r w:rsidRPr="5991425A">
        <w:rPr>
          <w:rFonts w:cs="Calibri"/>
        </w:rPr>
        <w:t xml:space="preserve"> which can be either a single number, or </w:t>
      </w:r>
      <w:r w:rsidR="297094D4" w:rsidRPr="5991425A">
        <w:rPr>
          <w:rFonts w:cs="Calibri"/>
        </w:rPr>
        <w:t xml:space="preserve">a </w:t>
      </w:r>
      <w:r w:rsidRPr="5991425A">
        <w:rPr>
          <w:rFonts w:cs="Calibri"/>
        </w:rPr>
        <w:t xml:space="preserve">range of numbers above and below the national average.  State Plan SAMM data that falls outside the FRL triggers a closer look at the underlying performance of the mandatory activity.  </w:t>
      </w:r>
      <w:r w:rsidR="2B08FFA5" w:rsidRPr="5991425A">
        <w:rPr>
          <w:rFonts w:cs="Calibri"/>
        </w:rPr>
        <w:t>Appendix D presents the State Plan’s FY 20</w:t>
      </w:r>
      <w:r w:rsidR="4426D119" w:rsidRPr="5991425A">
        <w:rPr>
          <w:rFonts w:cs="Calibri"/>
        </w:rPr>
        <w:t>2</w:t>
      </w:r>
      <w:r w:rsidR="50B5EA7C" w:rsidRPr="5991425A">
        <w:rPr>
          <w:rFonts w:cs="Calibri"/>
        </w:rPr>
        <w:t>4</w:t>
      </w:r>
      <w:r w:rsidR="2B08FFA5" w:rsidRPr="5991425A">
        <w:rPr>
          <w:rFonts w:cs="Calibri"/>
        </w:rPr>
        <w:t xml:space="preserve"> State Activity Mandated Measures (SAMM) Report and includes the FRLs for each measure. </w:t>
      </w:r>
    </w:p>
    <w:p w14:paraId="224A80D9" w14:textId="1C46092F" w:rsidR="00C87DAA" w:rsidRDefault="00C87DAA" w:rsidP="00783189">
      <w:pPr>
        <w:widowControl/>
        <w:autoSpaceDE/>
        <w:adjustRightInd/>
        <w:rPr>
          <w:rFonts w:cs="Calibri"/>
        </w:rPr>
      </w:pPr>
    </w:p>
    <w:p w14:paraId="45DB0B91" w14:textId="1364228A" w:rsidR="00C87DAA" w:rsidRDefault="5E6EEAF9" w:rsidP="00783189">
      <w:pPr>
        <w:widowControl/>
        <w:autoSpaceDE/>
        <w:adjustRightInd/>
        <w:rPr>
          <w:rFonts w:cs="Calibri"/>
        </w:rPr>
      </w:pPr>
      <w:r w:rsidRPr="5991425A">
        <w:rPr>
          <w:rFonts w:cs="Calibri"/>
        </w:rPr>
        <w:t>It should be noted that OSHA is in the final stages of transitioning from the Whistleblower Application in the OITSS, a legacy data system, to the Whistleblower module in OIS, a modern data system.  For FY 202</w:t>
      </w:r>
      <w:r w:rsidR="3ED4F472" w:rsidRPr="5991425A">
        <w:rPr>
          <w:rFonts w:cs="Calibri"/>
        </w:rPr>
        <w:t>4</w:t>
      </w:r>
      <w:r w:rsidRPr="5991425A">
        <w:rPr>
          <w:rFonts w:cs="Calibri"/>
        </w:rPr>
        <w:t xml:space="preserve">, a portion of the State Plan whistleblower data was recorded </w:t>
      </w:r>
      <w:r w:rsidR="00EE4104">
        <w:rPr>
          <w:rFonts w:cs="Calibri"/>
        </w:rPr>
        <w:t xml:space="preserve">in </w:t>
      </w:r>
      <w:r w:rsidRPr="5991425A">
        <w:rPr>
          <w:rFonts w:cs="Calibri"/>
        </w:rPr>
        <w:t xml:space="preserve">OITSS, and a portion was captured in OIS.  </w:t>
      </w:r>
      <w:r w:rsidR="00D95511">
        <w:rPr>
          <w:rFonts w:cs="Calibri"/>
        </w:rPr>
        <w:t>Although Washington was transferring retaliation cases into OIS in FY 2024,</w:t>
      </w:r>
      <w:r w:rsidR="00924AE3">
        <w:rPr>
          <w:rFonts w:cs="Calibri"/>
        </w:rPr>
        <w:t xml:space="preserve"> </w:t>
      </w:r>
      <w:r w:rsidRPr="5991425A">
        <w:rPr>
          <w:rFonts w:cs="Calibri"/>
        </w:rPr>
        <w:t>OSHA encountered challenges in combining the report that generates SAMM 14, 15, and 16 from both systems.  As such, OSHA will not be relying on SAMMs 14, 15, or 16 in their evaluation of the State Plans whistleblower programs for FY 202</w:t>
      </w:r>
      <w:r w:rsidR="037E0B11" w:rsidRPr="5991425A">
        <w:rPr>
          <w:rFonts w:cs="Calibri"/>
        </w:rPr>
        <w:t>4</w:t>
      </w:r>
      <w:r w:rsidRPr="5991425A">
        <w:rPr>
          <w:rFonts w:cs="Calibri"/>
        </w:rPr>
        <w:t>.</w:t>
      </w:r>
    </w:p>
    <w:p w14:paraId="220A6FE0" w14:textId="77777777" w:rsidR="00C87DAA" w:rsidRDefault="00C87DAA" w:rsidP="00783189">
      <w:pPr>
        <w:widowControl/>
        <w:autoSpaceDE/>
        <w:adjustRightInd/>
        <w:rPr>
          <w:rFonts w:cs="Calibri"/>
        </w:rPr>
      </w:pPr>
    </w:p>
    <w:p w14:paraId="2AE88C96" w14:textId="5320EBBB" w:rsidR="0024397A" w:rsidRDefault="2AA58974" w:rsidP="00783189">
      <w:pPr>
        <w:widowControl/>
        <w:autoSpaceDE/>
        <w:adjustRightInd/>
        <w:rPr>
          <w:rFonts w:cs="Calibri"/>
        </w:rPr>
      </w:pPr>
      <w:r w:rsidRPr="5E2C4AF3">
        <w:rPr>
          <w:rFonts w:cs="Calibri"/>
        </w:rPr>
        <w:t xml:space="preserve">The </w:t>
      </w:r>
      <w:r w:rsidR="00C8611C">
        <w:rPr>
          <w:rFonts w:cs="Calibri"/>
        </w:rPr>
        <w:t xml:space="preserve">Washington </w:t>
      </w:r>
      <w:r w:rsidRPr="5E2C4AF3">
        <w:rPr>
          <w:rFonts w:cs="Calibri"/>
        </w:rPr>
        <w:t>State Plan was outside the FRL on the following SAMMs</w:t>
      </w:r>
      <w:r w:rsidR="00CE5F14" w:rsidRPr="5E2C4AF3">
        <w:rPr>
          <w:rFonts w:cs="Calibri"/>
        </w:rPr>
        <w:t xml:space="preserve"> </w:t>
      </w:r>
      <w:r w:rsidR="617B4901" w:rsidRPr="1F3D0F00">
        <w:rPr>
          <w:rFonts w:cs="Calibri"/>
        </w:rPr>
        <w:t>which</w:t>
      </w:r>
      <w:r w:rsidR="00CA483C" w:rsidRPr="5E2C4AF3">
        <w:rPr>
          <w:rFonts w:cs="Calibri"/>
        </w:rPr>
        <w:t xml:space="preserve"> have not been previously addressed in this report</w:t>
      </w:r>
      <w:r w:rsidRPr="5E2C4AF3">
        <w:rPr>
          <w:rFonts w:cs="Calibri"/>
        </w:rPr>
        <w:t>:</w:t>
      </w:r>
    </w:p>
    <w:p w14:paraId="164BEAF1" w14:textId="0216E772" w:rsidR="0028561A" w:rsidRDefault="0028561A" w:rsidP="00783189">
      <w:pPr>
        <w:widowControl/>
        <w:autoSpaceDE/>
        <w:adjustRightInd/>
        <w:rPr>
          <w:rFonts w:cs="Calibri"/>
        </w:rPr>
      </w:pPr>
    </w:p>
    <w:p w14:paraId="3ECB1632" w14:textId="07B9386C" w:rsidR="00C6421C" w:rsidRDefault="561A80A8" w:rsidP="0028561A">
      <w:pPr>
        <w:widowControl/>
        <w:autoSpaceDE/>
        <w:adjustRightInd/>
        <w:rPr>
          <w:rFonts w:cs="Calibri"/>
          <w:b/>
          <w:bCs/>
        </w:rPr>
      </w:pPr>
      <w:r w:rsidRPr="0C809C67">
        <w:rPr>
          <w:rFonts w:cs="Calibri"/>
          <w:b/>
          <w:bCs/>
        </w:rPr>
        <w:t xml:space="preserve">SAMM </w:t>
      </w:r>
      <w:r w:rsidR="12AC623E" w:rsidRPr="0C809C67">
        <w:rPr>
          <w:rFonts w:cs="Calibri"/>
          <w:b/>
          <w:bCs/>
        </w:rPr>
        <w:t>2a</w:t>
      </w:r>
      <w:r w:rsidRPr="0C809C67">
        <w:rPr>
          <w:rFonts w:cs="Calibri"/>
          <w:b/>
          <w:bCs/>
        </w:rPr>
        <w:t xml:space="preserve"> </w:t>
      </w:r>
      <w:r w:rsidR="0953C5DD" w:rsidRPr="0C809C67">
        <w:rPr>
          <w:rFonts w:cs="Calibri"/>
          <w:b/>
          <w:bCs/>
        </w:rPr>
        <w:t>–</w:t>
      </w:r>
      <w:r w:rsidRPr="0C809C67">
        <w:rPr>
          <w:rFonts w:cs="Calibri"/>
          <w:b/>
          <w:bCs/>
        </w:rPr>
        <w:t xml:space="preserve"> </w:t>
      </w:r>
      <w:r w:rsidR="0953C5DD" w:rsidRPr="0C809C67">
        <w:rPr>
          <w:rFonts w:cs="Calibri"/>
          <w:b/>
          <w:bCs/>
        </w:rPr>
        <w:t xml:space="preserve">Average number of </w:t>
      </w:r>
      <w:r w:rsidR="00895EB0" w:rsidRPr="0C809C67">
        <w:rPr>
          <w:rFonts w:cs="Calibri"/>
          <w:b/>
          <w:bCs/>
        </w:rPr>
        <w:t>workdays</w:t>
      </w:r>
      <w:r w:rsidR="0953C5DD" w:rsidRPr="0C809C67">
        <w:rPr>
          <w:rFonts w:cs="Calibri"/>
          <w:b/>
          <w:bCs/>
        </w:rPr>
        <w:t xml:space="preserve"> to initiate complaint investigations</w:t>
      </w:r>
      <w:r w:rsidR="007E32BE">
        <w:rPr>
          <w:rFonts w:cs="Calibri"/>
          <w:b/>
          <w:bCs/>
        </w:rPr>
        <w:t xml:space="preserve"> (state formula)</w:t>
      </w:r>
    </w:p>
    <w:p w14:paraId="21FED5A5" w14:textId="01A8AB95" w:rsidR="0028561A" w:rsidRPr="0028561A" w:rsidRDefault="0028561A" w:rsidP="0028561A">
      <w:pPr>
        <w:widowControl/>
        <w:autoSpaceDE/>
        <w:adjustRightInd/>
        <w:rPr>
          <w:rFonts w:cs="Calibri"/>
        </w:rPr>
      </w:pPr>
      <w:r w:rsidRPr="0028561A">
        <w:rPr>
          <w:rFonts w:cs="Calibri"/>
          <w:b/>
          <w:bCs/>
        </w:rPr>
        <w:t xml:space="preserve"> </w:t>
      </w:r>
    </w:p>
    <w:p w14:paraId="6DCB5D3B" w14:textId="6C77833E" w:rsidR="00185D7E" w:rsidRDefault="0028561A" w:rsidP="00D9184F">
      <w:pPr>
        <w:widowControl/>
        <w:autoSpaceDE/>
        <w:adjustRightInd/>
        <w:rPr>
          <w:rFonts w:cs="Calibri"/>
        </w:rPr>
      </w:pPr>
      <w:r w:rsidRPr="00013DF1">
        <w:rPr>
          <w:rFonts w:cs="Calibri"/>
          <w:b/>
          <w:bCs/>
        </w:rPr>
        <w:t xml:space="preserve">Discussion of </w:t>
      </w:r>
      <w:r w:rsidR="00BC557F" w:rsidRPr="00013DF1">
        <w:rPr>
          <w:rFonts w:cs="Calibri"/>
          <w:b/>
          <w:bCs/>
        </w:rPr>
        <w:t>Washington State Plan</w:t>
      </w:r>
      <w:r w:rsidRPr="00013DF1">
        <w:rPr>
          <w:rFonts w:cs="Calibri"/>
          <w:b/>
          <w:bCs/>
        </w:rPr>
        <w:t xml:space="preserve"> data and FRL: </w:t>
      </w:r>
      <w:r w:rsidRPr="0028561A">
        <w:rPr>
          <w:rFonts w:cs="Calibri"/>
        </w:rPr>
        <w:t xml:space="preserve">The FRL for this measure </w:t>
      </w:r>
      <w:r w:rsidR="003042D5">
        <w:rPr>
          <w:rFonts w:cs="Calibri"/>
        </w:rPr>
        <w:t xml:space="preserve">is </w:t>
      </w:r>
      <w:r w:rsidR="00895EB0">
        <w:rPr>
          <w:rFonts w:cs="Calibri"/>
        </w:rPr>
        <w:t>five days</w:t>
      </w:r>
      <w:r w:rsidR="00E371F4">
        <w:rPr>
          <w:rFonts w:cs="Calibri"/>
        </w:rPr>
        <w:t>, which was negotiated by OSHA and DOSH through the FY 2024 23(g) grant application</w:t>
      </w:r>
      <w:r w:rsidRPr="0028561A">
        <w:rPr>
          <w:rFonts w:cs="Calibri"/>
        </w:rPr>
        <w:t xml:space="preserve">. </w:t>
      </w:r>
      <w:r w:rsidR="008D7D61">
        <w:rPr>
          <w:rFonts w:cs="Calibri"/>
        </w:rPr>
        <w:t xml:space="preserve"> </w:t>
      </w:r>
      <w:r w:rsidR="00846CBF">
        <w:rPr>
          <w:rFonts w:cs="Calibri"/>
        </w:rPr>
        <w:t>According to Appendix D, t</w:t>
      </w:r>
      <w:r w:rsidR="00D9184F" w:rsidRPr="00D9184F">
        <w:rPr>
          <w:rFonts w:cs="Calibri"/>
        </w:rPr>
        <w:t xml:space="preserve">he average </w:t>
      </w:r>
      <w:r w:rsidR="00846CBF">
        <w:rPr>
          <w:rFonts w:cs="Calibri"/>
        </w:rPr>
        <w:t>number</w:t>
      </w:r>
      <w:r w:rsidR="00D9184F" w:rsidRPr="00D9184F">
        <w:rPr>
          <w:rFonts w:cs="Calibri"/>
        </w:rPr>
        <w:t xml:space="preserve"> of workdays for DOSH to initiate </w:t>
      </w:r>
      <w:r w:rsidR="00846CBF">
        <w:rPr>
          <w:rFonts w:cs="Calibri"/>
        </w:rPr>
        <w:t xml:space="preserve">a complaint </w:t>
      </w:r>
      <w:r w:rsidR="00D9184F" w:rsidRPr="00D9184F">
        <w:rPr>
          <w:rFonts w:cs="Calibri"/>
        </w:rPr>
        <w:t xml:space="preserve">investigation </w:t>
      </w:r>
      <w:r w:rsidR="00846CBF">
        <w:rPr>
          <w:rFonts w:cs="Calibri"/>
        </w:rPr>
        <w:t>(SAMM 2</w:t>
      </w:r>
      <w:r w:rsidR="00794AA6">
        <w:rPr>
          <w:rFonts w:cs="Calibri"/>
        </w:rPr>
        <w:t>a</w:t>
      </w:r>
      <w:r w:rsidR="00846CBF">
        <w:rPr>
          <w:rFonts w:cs="Calibri"/>
        </w:rPr>
        <w:t xml:space="preserve">) </w:t>
      </w:r>
      <w:r w:rsidR="00D9184F" w:rsidRPr="00D9184F">
        <w:rPr>
          <w:rFonts w:cs="Calibri"/>
        </w:rPr>
        <w:t>was</w:t>
      </w:r>
      <w:r w:rsidR="00D9184F">
        <w:rPr>
          <w:rFonts w:cs="Calibri"/>
        </w:rPr>
        <w:t xml:space="preserve"> </w:t>
      </w:r>
      <w:r w:rsidR="00C5572F" w:rsidRPr="00C5572F">
        <w:rPr>
          <w:rFonts w:cs="Calibri"/>
        </w:rPr>
        <w:t>8.07</w:t>
      </w:r>
      <w:r w:rsidR="00C5572F">
        <w:rPr>
          <w:rFonts w:cs="Calibri"/>
        </w:rPr>
        <w:t xml:space="preserve"> </w:t>
      </w:r>
      <w:r w:rsidR="00D9184F">
        <w:rPr>
          <w:rFonts w:cs="Calibri"/>
        </w:rPr>
        <w:t>days</w:t>
      </w:r>
      <w:r w:rsidR="00794AA6">
        <w:rPr>
          <w:rFonts w:cs="Calibri"/>
        </w:rPr>
        <w:t xml:space="preserve"> and above the FRL. </w:t>
      </w:r>
    </w:p>
    <w:p w14:paraId="2CEBE113" w14:textId="0BE090EA" w:rsidR="009B6A99" w:rsidRDefault="009B6A99" w:rsidP="00D9184F">
      <w:pPr>
        <w:widowControl/>
        <w:autoSpaceDE/>
        <w:adjustRightInd/>
        <w:rPr>
          <w:rFonts w:cs="Calibri"/>
        </w:rPr>
      </w:pPr>
    </w:p>
    <w:p w14:paraId="2D5D5681" w14:textId="7B09FF2E" w:rsidR="2E771655" w:rsidRDefault="2E771655" w:rsidP="13993596">
      <w:pPr>
        <w:widowControl/>
        <w:rPr>
          <w:rFonts w:cs="Calibri"/>
        </w:rPr>
      </w:pPr>
      <w:r w:rsidRPr="00013DF1">
        <w:rPr>
          <w:rFonts w:cs="Calibri"/>
          <w:b/>
          <w:bCs/>
        </w:rPr>
        <w:t>Explanation:</w:t>
      </w:r>
      <w:r w:rsidRPr="13993596">
        <w:rPr>
          <w:rFonts w:cs="Calibri"/>
        </w:rPr>
        <w:t xml:space="preserve"> </w:t>
      </w:r>
      <w:r w:rsidR="00794AA6">
        <w:rPr>
          <w:rFonts w:cs="Calibri"/>
        </w:rPr>
        <w:t xml:space="preserve"> </w:t>
      </w:r>
      <w:r w:rsidR="00794AA6" w:rsidRPr="00D9184F">
        <w:rPr>
          <w:rFonts w:cs="Calibri"/>
        </w:rPr>
        <w:t xml:space="preserve">This </w:t>
      </w:r>
      <w:r w:rsidR="00794AA6">
        <w:rPr>
          <w:rFonts w:cs="Calibri"/>
        </w:rPr>
        <w:t>average response time</w:t>
      </w:r>
      <w:r w:rsidR="002D07F7">
        <w:rPr>
          <w:rFonts w:cs="Calibri"/>
        </w:rPr>
        <w:t xml:space="preserve"> to initiate complaint investigations increased from 5.93 in </w:t>
      </w:r>
      <w:r w:rsidR="00794AA6">
        <w:rPr>
          <w:rFonts w:cs="Calibri"/>
        </w:rPr>
        <w:t>FY 2023</w:t>
      </w:r>
      <w:r w:rsidR="002D07F7">
        <w:rPr>
          <w:rFonts w:cs="Calibri"/>
        </w:rPr>
        <w:t xml:space="preserve">.  </w:t>
      </w:r>
      <w:r w:rsidR="5F44443C" w:rsidRPr="13993596">
        <w:rPr>
          <w:rFonts w:cs="Calibri"/>
        </w:rPr>
        <w:t xml:space="preserve">DOSH explained that some data was not loading correctly due to a discrepancy in the formulas associated with transferring data from </w:t>
      </w:r>
      <w:r w:rsidR="007601B4">
        <w:rPr>
          <w:rFonts w:cs="Calibri"/>
        </w:rPr>
        <w:t>Washington’s interface system to OIS</w:t>
      </w:r>
      <w:r w:rsidR="5F44443C" w:rsidRPr="13993596">
        <w:rPr>
          <w:rFonts w:cs="Calibri"/>
        </w:rPr>
        <w:t xml:space="preserve">. </w:t>
      </w:r>
      <w:r w:rsidR="00286C95">
        <w:rPr>
          <w:rFonts w:cs="Calibri"/>
        </w:rPr>
        <w:t xml:space="preserve"> </w:t>
      </w:r>
      <w:r w:rsidR="000212B1">
        <w:rPr>
          <w:rFonts w:cs="Calibri"/>
        </w:rPr>
        <w:t>DOSH worked with OSHA to determine the cau</w:t>
      </w:r>
      <w:r w:rsidR="003A5FE7">
        <w:rPr>
          <w:rFonts w:cs="Calibri"/>
        </w:rPr>
        <w:t xml:space="preserve">se, and as a result, DOSH updated </w:t>
      </w:r>
      <w:r w:rsidR="007B23F8">
        <w:rPr>
          <w:rFonts w:cs="Calibri"/>
        </w:rPr>
        <w:t xml:space="preserve">the </w:t>
      </w:r>
      <w:r w:rsidR="00D05850">
        <w:rPr>
          <w:rFonts w:cs="Calibri"/>
        </w:rPr>
        <w:t xml:space="preserve">data transfer metrics </w:t>
      </w:r>
      <w:r w:rsidR="0059597F">
        <w:rPr>
          <w:rFonts w:cs="Calibri"/>
        </w:rPr>
        <w:t xml:space="preserve">to resolve the discrepancies in </w:t>
      </w:r>
      <w:r w:rsidR="00D05850">
        <w:rPr>
          <w:rFonts w:cs="Calibri"/>
        </w:rPr>
        <w:t xml:space="preserve">May 2024.  </w:t>
      </w:r>
      <w:r w:rsidR="007601B4">
        <w:rPr>
          <w:rFonts w:cs="Calibri"/>
        </w:rPr>
        <w:t xml:space="preserve">According to </w:t>
      </w:r>
      <w:r w:rsidR="5F44443C" w:rsidRPr="13993596">
        <w:rPr>
          <w:rFonts w:cs="Calibri"/>
        </w:rPr>
        <w:t>DOSH</w:t>
      </w:r>
      <w:r w:rsidR="0059597F">
        <w:rPr>
          <w:rFonts w:cs="Calibri"/>
        </w:rPr>
        <w:t>’s SOAR</w:t>
      </w:r>
      <w:r w:rsidR="007601B4">
        <w:rPr>
          <w:rFonts w:cs="Calibri"/>
        </w:rPr>
        <w:t>, the data the State Plan reported</w:t>
      </w:r>
      <w:r w:rsidR="5F44443C" w:rsidRPr="13993596">
        <w:rPr>
          <w:rFonts w:cs="Calibri"/>
        </w:rPr>
        <w:t xml:space="preserve"> 4.97 days for </w:t>
      </w:r>
      <w:r w:rsidR="00807C36">
        <w:rPr>
          <w:rFonts w:cs="Calibri"/>
        </w:rPr>
        <w:t>SAMM 2A</w:t>
      </w:r>
      <w:r w:rsidR="00352202">
        <w:rPr>
          <w:rFonts w:cs="Calibri"/>
        </w:rPr>
        <w:t>, which was below the FRL</w:t>
      </w:r>
      <w:r w:rsidR="5F44443C" w:rsidRPr="13993596">
        <w:rPr>
          <w:rFonts w:cs="Calibri"/>
        </w:rPr>
        <w:t>.</w:t>
      </w:r>
      <w:r w:rsidR="00352202">
        <w:rPr>
          <w:rFonts w:cs="Calibri"/>
        </w:rPr>
        <w:t xml:space="preserve">  OSHA will continue to monitor this data to ensure it is </w:t>
      </w:r>
      <w:r w:rsidR="001041E4">
        <w:rPr>
          <w:rFonts w:cs="Calibri"/>
        </w:rPr>
        <w:t>reflecting accurately.</w:t>
      </w:r>
    </w:p>
    <w:p w14:paraId="0638543D" w14:textId="77777777" w:rsidR="00BE0689" w:rsidRDefault="00BE0689" w:rsidP="00783189">
      <w:pPr>
        <w:widowControl/>
        <w:autoSpaceDE/>
        <w:adjustRightInd/>
        <w:rPr>
          <w:rFonts w:cs="Calibri"/>
          <w:b/>
          <w:u w:val="single"/>
        </w:rPr>
      </w:pPr>
    </w:p>
    <w:p w14:paraId="546710A5" w14:textId="72663E50" w:rsidR="00185D7E" w:rsidRDefault="00185D7E" w:rsidP="00185D7E">
      <w:pPr>
        <w:widowControl/>
        <w:autoSpaceDE/>
        <w:adjustRightInd/>
        <w:rPr>
          <w:rFonts w:cs="Calibri"/>
          <w:b/>
          <w:bCs/>
        </w:rPr>
      </w:pPr>
      <w:r>
        <w:rPr>
          <w:rFonts w:cs="Calibri"/>
          <w:b/>
          <w:bCs/>
        </w:rPr>
        <w:t>SAMM 3 – Percent of complaints and referrals responded to within one workday (imminent danger)</w:t>
      </w:r>
    </w:p>
    <w:p w14:paraId="57716598" w14:textId="6242B62C" w:rsidR="006564C3" w:rsidRDefault="006564C3" w:rsidP="00185D7E">
      <w:pPr>
        <w:widowControl/>
        <w:autoSpaceDE/>
        <w:adjustRightInd/>
        <w:rPr>
          <w:rFonts w:cs="Calibri"/>
          <w:b/>
          <w:bCs/>
        </w:rPr>
      </w:pPr>
    </w:p>
    <w:p w14:paraId="23707BFC" w14:textId="15E07E0C" w:rsidR="006564C3" w:rsidRDefault="63CB855B" w:rsidP="006564C3">
      <w:pPr>
        <w:widowControl/>
        <w:autoSpaceDE/>
        <w:adjustRightInd/>
        <w:rPr>
          <w:rFonts w:cs="Calibri"/>
        </w:rPr>
      </w:pPr>
      <w:r w:rsidRPr="0012650B">
        <w:rPr>
          <w:rFonts w:cs="Calibri"/>
          <w:b/>
          <w:bCs/>
        </w:rPr>
        <w:t>Discussion of</w:t>
      </w:r>
      <w:r w:rsidR="0012650B">
        <w:rPr>
          <w:rFonts w:cs="Calibri"/>
          <w:b/>
          <w:bCs/>
        </w:rPr>
        <w:t xml:space="preserve"> Washington</w:t>
      </w:r>
      <w:r w:rsidRPr="0012650B">
        <w:rPr>
          <w:rFonts w:cs="Calibri"/>
          <w:b/>
          <w:bCs/>
        </w:rPr>
        <w:t xml:space="preserve"> State Plan data and FRL:</w:t>
      </w:r>
      <w:r w:rsidRPr="5991425A">
        <w:rPr>
          <w:rFonts w:cs="Calibri"/>
        </w:rPr>
        <w:t xml:space="preserve"> The FRL for this measure is </w:t>
      </w:r>
      <w:r w:rsidR="0022035C">
        <w:rPr>
          <w:rFonts w:cs="Calibri"/>
        </w:rPr>
        <w:t xml:space="preserve">fixed at </w:t>
      </w:r>
      <w:r w:rsidRPr="5991425A">
        <w:rPr>
          <w:rFonts w:cs="Calibri"/>
        </w:rPr>
        <w:t>100%</w:t>
      </w:r>
      <w:r w:rsidR="0022035C">
        <w:rPr>
          <w:rFonts w:cs="Calibri"/>
        </w:rPr>
        <w:t xml:space="preserve"> for all </w:t>
      </w:r>
      <w:r w:rsidR="009A49C4">
        <w:rPr>
          <w:rFonts w:cs="Calibri"/>
        </w:rPr>
        <w:t>S</w:t>
      </w:r>
      <w:r w:rsidR="0022035C">
        <w:rPr>
          <w:rFonts w:cs="Calibri"/>
        </w:rPr>
        <w:t xml:space="preserve">tate </w:t>
      </w:r>
      <w:r w:rsidR="009A49C4">
        <w:rPr>
          <w:rFonts w:cs="Calibri"/>
        </w:rPr>
        <w:t>P</w:t>
      </w:r>
      <w:r w:rsidR="0022035C">
        <w:rPr>
          <w:rFonts w:cs="Calibri"/>
        </w:rPr>
        <w:t>lans</w:t>
      </w:r>
      <w:r w:rsidRPr="5991425A">
        <w:rPr>
          <w:rFonts w:cs="Calibri"/>
        </w:rPr>
        <w:t xml:space="preserve">.  </w:t>
      </w:r>
      <w:r w:rsidR="00563064">
        <w:rPr>
          <w:rFonts w:cs="Calibri"/>
        </w:rPr>
        <w:t xml:space="preserve">According to Appendix D, DOSH </w:t>
      </w:r>
      <w:r w:rsidR="00F250EF">
        <w:rPr>
          <w:rFonts w:cs="Calibri"/>
        </w:rPr>
        <w:t xml:space="preserve">responded </w:t>
      </w:r>
      <w:r w:rsidR="00786E1B">
        <w:rPr>
          <w:rFonts w:cs="Calibri"/>
        </w:rPr>
        <w:t xml:space="preserve">to </w:t>
      </w:r>
      <w:r w:rsidR="00212D18">
        <w:rPr>
          <w:rFonts w:cs="Calibri"/>
        </w:rPr>
        <w:t>121 of 127 (</w:t>
      </w:r>
      <w:r w:rsidR="17FC8BDB" w:rsidRPr="5991425A">
        <w:rPr>
          <w:rFonts w:cs="Calibri"/>
        </w:rPr>
        <w:t>95.28%</w:t>
      </w:r>
      <w:r w:rsidR="00212D18">
        <w:rPr>
          <w:rFonts w:cs="Calibri"/>
        </w:rPr>
        <w:t xml:space="preserve">) imminent danger complaints and referrals </w:t>
      </w:r>
      <w:r w:rsidR="2D76A7A2" w:rsidRPr="5991425A">
        <w:rPr>
          <w:rFonts w:cs="Calibri"/>
        </w:rPr>
        <w:t>within</w:t>
      </w:r>
      <w:r w:rsidR="6C296874" w:rsidRPr="5991425A">
        <w:rPr>
          <w:rFonts w:cs="Calibri"/>
        </w:rPr>
        <w:t xml:space="preserve"> one workday</w:t>
      </w:r>
      <w:r w:rsidR="00133AF5">
        <w:rPr>
          <w:rFonts w:cs="Calibri"/>
        </w:rPr>
        <w:t>, which was below the FRL.</w:t>
      </w:r>
    </w:p>
    <w:p w14:paraId="230165D2" w14:textId="3D602ED6" w:rsidR="007108F1" w:rsidRDefault="007108F1" w:rsidP="006564C3">
      <w:pPr>
        <w:widowControl/>
        <w:autoSpaceDE/>
        <w:adjustRightInd/>
        <w:rPr>
          <w:rFonts w:cs="Calibri"/>
        </w:rPr>
      </w:pPr>
    </w:p>
    <w:p w14:paraId="16E4C335" w14:textId="650B84AF" w:rsidR="005A136A" w:rsidRDefault="4A44CFFC" w:rsidP="5E2C4AF3">
      <w:pPr>
        <w:widowControl/>
        <w:autoSpaceDE/>
        <w:adjustRightInd/>
        <w:rPr>
          <w:rFonts w:cs="Calibri"/>
        </w:rPr>
      </w:pPr>
      <w:r w:rsidRPr="006D6B9D">
        <w:rPr>
          <w:rFonts w:cs="Calibri"/>
          <w:b/>
          <w:bCs/>
        </w:rPr>
        <w:t>Explanation:</w:t>
      </w:r>
      <w:r w:rsidRPr="13993596">
        <w:rPr>
          <w:rFonts w:cs="Calibri"/>
        </w:rPr>
        <w:t xml:space="preserve"> </w:t>
      </w:r>
      <w:r w:rsidR="00A84B0A">
        <w:rPr>
          <w:rFonts w:cs="Calibri"/>
        </w:rPr>
        <w:t xml:space="preserve">According to DOSH, </w:t>
      </w:r>
      <w:r w:rsidR="6EC76F0A" w:rsidRPr="13993596">
        <w:rPr>
          <w:rFonts w:cs="Calibri"/>
        </w:rPr>
        <w:t>attempt</w:t>
      </w:r>
      <w:r w:rsidR="00A84B0A">
        <w:rPr>
          <w:rFonts w:cs="Calibri"/>
        </w:rPr>
        <w:t xml:space="preserve">s were made to </w:t>
      </w:r>
      <w:r w:rsidR="6EC76F0A" w:rsidRPr="13993596">
        <w:rPr>
          <w:rFonts w:cs="Calibri"/>
        </w:rPr>
        <w:t xml:space="preserve">open </w:t>
      </w:r>
      <w:r w:rsidR="00A84B0A">
        <w:rPr>
          <w:rFonts w:cs="Calibri"/>
        </w:rPr>
        <w:t xml:space="preserve">an inspection within one working day </w:t>
      </w:r>
      <w:r w:rsidR="000D1537">
        <w:rPr>
          <w:rFonts w:cs="Calibri"/>
        </w:rPr>
        <w:t xml:space="preserve">from the date </w:t>
      </w:r>
      <w:r w:rsidR="513F2BEF" w:rsidRPr="13993596">
        <w:rPr>
          <w:rFonts w:cs="Calibri"/>
        </w:rPr>
        <w:t>the</w:t>
      </w:r>
      <w:r w:rsidR="00C7042A">
        <w:rPr>
          <w:rFonts w:cs="Calibri"/>
        </w:rPr>
        <w:t xml:space="preserve"> complaint was </w:t>
      </w:r>
      <w:r w:rsidR="48BA2B60" w:rsidRPr="13993596">
        <w:rPr>
          <w:rFonts w:cs="Calibri"/>
        </w:rPr>
        <w:t xml:space="preserve">received.  </w:t>
      </w:r>
      <w:r w:rsidR="002C6F1F">
        <w:rPr>
          <w:rFonts w:cs="Calibri"/>
        </w:rPr>
        <w:t xml:space="preserve">In some instances, upon arriving at the worksite, </w:t>
      </w:r>
      <w:r w:rsidR="00A00110">
        <w:rPr>
          <w:rFonts w:cs="Calibri"/>
        </w:rPr>
        <w:t>DOSH was not able to identify any workers present</w:t>
      </w:r>
      <w:r w:rsidR="00E611B4">
        <w:rPr>
          <w:rFonts w:cs="Calibri"/>
        </w:rPr>
        <w:t xml:space="preserve"> and/or an employer identity</w:t>
      </w:r>
      <w:r w:rsidR="00A00110">
        <w:rPr>
          <w:rFonts w:cs="Calibri"/>
        </w:rPr>
        <w:t xml:space="preserve">.  </w:t>
      </w:r>
      <w:r w:rsidR="00E611B4">
        <w:rPr>
          <w:rFonts w:cs="Calibri"/>
        </w:rPr>
        <w:t xml:space="preserve">In these cases, </w:t>
      </w:r>
      <w:r w:rsidR="00130E2D">
        <w:rPr>
          <w:rFonts w:cs="Calibri"/>
        </w:rPr>
        <w:t>a</w:t>
      </w:r>
      <w:r w:rsidR="00543E02">
        <w:rPr>
          <w:rFonts w:cs="Calibri"/>
        </w:rPr>
        <w:t>ttempt</w:t>
      </w:r>
      <w:r w:rsidR="00E611B4">
        <w:rPr>
          <w:rFonts w:cs="Calibri"/>
        </w:rPr>
        <w:t>s</w:t>
      </w:r>
      <w:r w:rsidR="00130E2D">
        <w:rPr>
          <w:rFonts w:cs="Calibri"/>
        </w:rPr>
        <w:t xml:space="preserve"> w</w:t>
      </w:r>
      <w:r w:rsidR="00E611B4">
        <w:rPr>
          <w:rFonts w:cs="Calibri"/>
        </w:rPr>
        <w:t>ere</w:t>
      </w:r>
      <w:r w:rsidR="00130E2D">
        <w:rPr>
          <w:rFonts w:cs="Calibri"/>
        </w:rPr>
        <w:t xml:space="preserve"> made to</w:t>
      </w:r>
      <w:r w:rsidR="00543E02">
        <w:rPr>
          <w:rFonts w:cs="Calibri"/>
        </w:rPr>
        <w:t xml:space="preserve"> reach the employer by phone, but </w:t>
      </w:r>
      <w:r w:rsidR="00130E2D">
        <w:rPr>
          <w:rFonts w:cs="Calibri"/>
        </w:rPr>
        <w:t xml:space="preserve">the call </w:t>
      </w:r>
      <w:r w:rsidR="00E611B4">
        <w:rPr>
          <w:rFonts w:cs="Calibri"/>
        </w:rPr>
        <w:t xml:space="preserve">may not have been returned </w:t>
      </w:r>
      <w:r w:rsidR="00A479B9">
        <w:rPr>
          <w:rFonts w:cs="Calibri"/>
        </w:rPr>
        <w:t xml:space="preserve">until the following day. </w:t>
      </w:r>
      <w:r w:rsidR="00E611B4">
        <w:rPr>
          <w:rFonts w:cs="Calibri"/>
        </w:rPr>
        <w:t xml:space="preserve"> Although below the FRL, DOSH </w:t>
      </w:r>
      <w:r w:rsidR="00F202E3">
        <w:rPr>
          <w:rFonts w:cs="Calibri"/>
        </w:rPr>
        <w:t xml:space="preserve">generally </w:t>
      </w:r>
      <w:r w:rsidR="00E611B4">
        <w:rPr>
          <w:rFonts w:cs="Calibri"/>
        </w:rPr>
        <w:t>made attempts to initiate an inspection</w:t>
      </w:r>
      <w:r w:rsidR="006F031F">
        <w:rPr>
          <w:rFonts w:cs="Calibri"/>
        </w:rPr>
        <w:t xml:space="preserve"> within one working day</w:t>
      </w:r>
      <w:r w:rsidR="00E611B4">
        <w:rPr>
          <w:rFonts w:cs="Calibri"/>
        </w:rPr>
        <w:t>.  OSHA will continue to monitor this data through the SAMM report.  At this time, it does not rise to the level of an observation.</w:t>
      </w:r>
    </w:p>
    <w:p w14:paraId="50D45C6A" w14:textId="7AFECA15" w:rsidR="13993596" w:rsidRDefault="13993596" w:rsidP="13993596">
      <w:pPr>
        <w:widowControl/>
        <w:rPr>
          <w:rFonts w:cs="Calibri"/>
        </w:rPr>
      </w:pPr>
    </w:p>
    <w:p w14:paraId="3C24CEF5" w14:textId="44B642E9" w:rsidR="005A136A" w:rsidRDefault="00521F52" w:rsidP="00783189">
      <w:pPr>
        <w:widowControl/>
        <w:autoSpaceDE/>
        <w:adjustRightInd/>
        <w:rPr>
          <w:rFonts w:cs="Calibri"/>
          <w:b/>
          <w:bCs/>
        </w:rPr>
      </w:pPr>
      <w:r>
        <w:rPr>
          <w:rFonts w:cs="Calibri"/>
          <w:b/>
          <w:bCs/>
        </w:rPr>
        <w:t xml:space="preserve">SAMM </w:t>
      </w:r>
      <w:r w:rsidR="00EE14CB" w:rsidRPr="00EE14CB">
        <w:rPr>
          <w:rFonts w:cs="Calibri"/>
          <w:b/>
          <w:bCs/>
        </w:rPr>
        <w:t>5b</w:t>
      </w:r>
      <w:r>
        <w:rPr>
          <w:rFonts w:cs="Calibri"/>
          <w:b/>
          <w:bCs/>
        </w:rPr>
        <w:t xml:space="preserve"> </w:t>
      </w:r>
      <w:r w:rsidR="00725BD7">
        <w:rPr>
          <w:rFonts w:cs="Calibri"/>
          <w:b/>
          <w:bCs/>
        </w:rPr>
        <w:t xml:space="preserve">– </w:t>
      </w:r>
      <w:r w:rsidR="005C2E2B" w:rsidRPr="005C2E2B">
        <w:rPr>
          <w:rFonts w:cs="Calibri"/>
          <w:b/>
          <w:bCs/>
        </w:rPr>
        <w:t>Average number of violations per inspection with violations by violation type (other)</w:t>
      </w:r>
    </w:p>
    <w:p w14:paraId="5E7E2731" w14:textId="1CFFC2C6" w:rsidR="0015575D" w:rsidRDefault="0015575D" w:rsidP="00783189">
      <w:pPr>
        <w:widowControl/>
        <w:autoSpaceDE/>
        <w:adjustRightInd/>
        <w:rPr>
          <w:rFonts w:cs="Calibri"/>
          <w:b/>
          <w:bCs/>
        </w:rPr>
      </w:pPr>
    </w:p>
    <w:p w14:paraId="5F58E0C8" w14:textId="5DA2EA05" w:rsidR="00C252DC" w:rsidRDefault="7A9ED60A" w:rsidP="00C252DC">
      <w:pPr>
        <w:widowControl/>
        <w:autoSpaceDE/>
        <w:adjustRightInd/>
        <w:rPr>
          <w:rFonts w:cs="Calibri"/>
        </w:rPr>
      </w:pPr>
      <w:r w:rsidRPr="001A773D">
        <w:rPr>
          <w:rFonts w:cs="Calibri"/>
          <w:b/>
          <w:bCs/>
        </w:rPr>
        <w:t xml:space="preserve">Discussion of </w:t>
      </w:r>
      <w:r w:rsidR="001A773D">
        <w:rPr>
          <w:rFonts w:cs="Calibri"/>
          <w:b/>
          <w:bCs/>
        </w:rPr>
        <w:t xml:space="preserve">Washington </w:t>
      </w:r>
      <w:r w:rsidRPr="001A773D">
        <w:rPr>
          <w:rFonts w:cs="Calibri"/>
          <w:b/>
          <w:bCs/>
        </w:rPr>
        <w:t>State Plan data and FRL:</w:t>
      </w:r>
      <w:r w:rsidRPr="5991425A">
        <w:rPr>
          <w:rFonts w:cs="Calibri"/>
        </w:rPr>
        <w:t xml:space="preserve"> </w:t>
      </w:r>
      <w:r w:rsidR="34753DB3" w:rsidRPr="5991425A">
        <w:rPr>
          <w:rFonts w:cs="Calibri"/>
        </w:rPr>
        <w:t>The FRL for this measure</w:t>
      </w:r>
      <w:r w:rsidR="00056801">
        <w:rPr>
          <w:rFonts w:cs="Calibri"/>
        </w:rPr>
        <w:t xml:space="preserve"> is</w:t>
      </w:r>
      <w:r w:rsidR="34753DB3" w:rsidRPr="5991425A">
        <w:rPr>
          <w:rFonts w:cs="Calibri"/>
        </w:rPr>
        <w:t xml:space="preserve"> </w:t>
      </w:r>
      <w:r w:rsidR="16E4A9C9" w:rsidRPr="5991425A">
        <w:rPr>
          <w:rFonts w:cs="Calibri"/>
        </w:rPr>
        <w:t>+/- 20% of 0.94</w:t>
      </w:r>
      <w:r w:rsidR="0AF9DFE8" w:rsidRPr="5991425A">
        <w:rPr>
          <w:rFonts w:cs="Calibri"/>
        </w:rPr>
        <w:t>%</w:t>
      </w:r>
      <w:r w:rsidR="00240A40">
        <w:rPr>
          <w:rFonts w:cs="Calibri"/>
        </w:rPr>
        <w:t xml:space="preserve">, which is based on a three-year national average and provides a range of 0.75 to 1.12. </w:t>
      </w:r>
      <w:r w:rsidR="00623BD4">
        <w:rPr>
          <w:rFonts w:cs="Calibri"/>
        </w:rPr>
        <w:t xml:space="preserve">  According to Appendix D, the average number of violations per inspection</w:t>
      </w:r>
      <w:r w:rsidR="007D49D8">
        <w:rPr>
          <w:rFonts w:cs="Calibri"/>
        </w:rPr>
        <w:t xml:space="preserve"> for other-than-serious violations</w:t>
      </w:r>
      <w:r w:rsidR="00623BD4">
        <w:rPr>
          <w:rFonts w:cs="Calibri"/>
        </w:rPr>
        <w:t xml:space="preserve"> (SAMM 5b) was 1.91 and above the FRL.  </w:t>
      </w:r>
    </w:p>
    <w:p w14:paraId="6FB447C6" w14:textId="77777777" w:rsidR="00C252DC" w:rsidRDefault="00C252DC" w:rsidP="00C252DC">
      <w:pPr>
        <w:widowControl/>
        <w:autoSpaceDE/>
        <w:adjustRightInd/>
        <w:rPr>
          <w:rFonts w:cs="Calibri"/>
        </w:rPr>
      </w:pPr>
    </w:p>
    <w:p w14:paraId="4DF55D3D" w14:textId="2FDB4D69" w:rsidR="00711AD1" w:rsidRDefault="59DE204D" w:rsidP="00C252DC">
      <w:pPr>
        <w:widowControl/>
        <w:autoSpaceDE/>
        <w:adjustRightInd/>
        <w:rPr>
          <w:rFonts w:cs="Calibri"/>
        </w:rPr>
      </w:pPr>
      <w:r w:rsidRPr="001A773D">
        <w:rPr>
          <w:rFonts w:cs="Calibri"/>
          <w:b/>
          <w:bCs/>
        </w:rPr>
        <w:t>Explanation:</w:t>
      </w:r>
      <w:r w:rsidRPr="5E2C4AF3">
        <w:rPr>
          <w:rFonts w:cs="Calibri"/>
        </w:rPr>
        <w:t xml:space="preserve"> </w:t>
      </w:r>
      <w:r w:rsidR="008C2EEB">
        <w:rPr>
          <w:rFonts w:cs="Calibri"/>
        </w:rPr>
        <w:t>W</w:t>
      </w:r>
      <w:r w:rsidR="00E86873">
        <w:rPr>
          <w:rFonts w:cs="Calibri"/>
        </w:rPr>
        <w:t xml:space="preserve">ashington </w:t>
      </w:r>
      <w:r w:rsidR="008C2EEB">
        <w:rPr>
          <w:rFonts w:cs="Calibri"/>
        </w:rPr>
        <w:t xml:space="preserve">explained </w:t>
      </w:r>
      <w:r w:rsidR="00A127E1">
        <w:rPr>
          <w:rFonts w:cs="Calibri"/>
        </w:rPr>
        <w:t>this data</w:t>
      </w:r>
      <w:r w:rsidR="008C2EEB">
        <w:rPr>
          <w:rFonts w:cs="Calibri"/>
        </w:rPr>
        <w:t xml:space="preserve"> </w:t>
      </w:r>
      <w:r w:rsidR="00A127E1">
        <w:rPr>
          <w:rFonts w:cs="Calibri"/>
        </w:rPr>
        <w:t>can</w:t>
      </w:r>
      <w:r w:rsidR="008C2EEB">
        <w:rPr>
          <w:rFonts w:cs="Calibri"/>
        </w:rPr>
        <w:t xml:space="preserve"> fall above the FRL due to </w:t>
      </w:r>
      <w:r w:rsidR="00A127E1">
        <w:rPr>
          <w:rFonts w:cs="Calibri"/>
        </w:rPr>
        <w:t xml:space="preserve">the State’s </w:t>
      </w:r>
      <w:r w:rsidR="008C2EEB">
        <w:rPr>
          <w:rFonts w:cs="Calibri"/>
        </w:rPr>
        <w:t xml:space="preserve">ability to issue citations to employers for </w:t>
      </w:r>
      <w:r w:rsidR="0023176A">
        <w:rPr>
          <w:rFonts w:cs="Calibri"/>
        </w:rPr>
        <w:t xml:space="preserve">unique state-specific standards.  This included </w:t>
      </w:r>
      <w:r w:rsidR="009B5DC8">
        <w:rPr>
          <w:rFonts w:cs="Calibri"/>
        </w:rPr>
        <w:t xml:space="preserve">deficiencies related to </w:t>
      </w:r>
      <w:r w:rsidR="00E36510">
        <w:rPr>
          <w:rFonts w:cs="Calibri"/>
        </w:rPr>
        <w:t>safety and health program</w:t>
      </w:r>
      <w:r w:rsidR="009B5DC8">
        <w:rPr>
          <w:rFonts w:cs="Calibri"/>
        </w:rPr>
        <w:t xml:space="preserve">s or not ensuring safety committees </w:t>
      </w:r>
      <w:r w:rsidR="0023176A">
        <w:rPr>
          <w:rFonts w:cs="Calibri"/>
        </w:rPr>
        <w:t>and/or</w:t>
      </w:r>
      <w:r w:rsidR="009B5DC8">
        <w:rPr>
          <w:rFonts w:cs="Calibri"/>
        </w:rPr>
        <w:t xml:space="preserve"> meetings </w:t>
      </w:r>
      <w:r w:rsidR="0023176A">
        <w:rPr>
          <w:rFonts w:cs="Calibri"/>
        </w:rPr>
        <w:t>were</w:t>
      </w:r>
      <w:r w:rsidR="009B5DC8">
        <w:rPr>
          <w:rFonts w:cs="Calibri"/>
        </w:rPr>
        <w:t xml:space="preserve"> held.  These </w:t>
      </w:r>
      <w:r w:rsidR="0023176A">
        <w:rPr>
          <w:rFonts w:cs="Calibri"/>
        </w:rPr>
        <w:t>violations</w:t>
      </w:r>
      <w:r w:rsidR="00CF7A0B">
        <w:rPr>
          <w:rFonts w:cs="Calibri"/>
        </w:rPr>
        <w:t xml:space="preserve"> tend to be classified as general (non-serious)</w:t>
      </w:r>
      <w:r w:rsidR="0023176A">
        <w:rPr>
          <w:rFonts w:cs="Calibri"/>
        </w:rPr>
        <w:t xml:space="preserve">, increasing the </w:t>
      </w:r>
      <w:r w:rsidR="00B91998">
        <w:rPr>
          <w:rFonts w:cs="Calibri"/>
        </w:rPr>
        <w:t>average number of other-than-serious violations per inspection</w:t>
      </w:r>
      <w:r w:rsidR="2273CE40" w:rsidRPr="5E2C4AF3">
        <w:rPr>
          <w:rFonts w:cs="Calibri"/>
        </w:rPr>
        <w:t>.</w:t>
      </w:r>
      <w:r w:rsidR="0022578B">
        <w:rPr>
          <w:rFonts w:cs="Calibri"/>
        </w:rPr>
        <w:t xml:space="preserve"> </w:t>
      </w:r>
      <w:r w:rsidR="00CF7A0B">
        <w:rPr>
          <w:rFonts w:cs="Calibri"/>
        </w:rPr>
        <w:t xml:space="preserve"> </w:t>
      </w:r>
      <w:r w:rsidR="0022578B">
        <w:rPr>
          <w:rFonts w:cs="Calibri"/>
        </w:rPr>
        <w:t>Although DOSH was above the FRL, compliance officers identified more general (non-serious) hazards than the national average.</w:t>
      </w:r>
      <w:r w:rsidR="0022578B" w:rsidRPr="5991425A">
        <w:rPr>
          <w:rFonts w:cs="Calibri"/>
        </w:rPr>
        <w:t xml:space="preserve">  </w:t>
      </w:r>
      <w:r w:rsidR="0022578B">
        <w:rPr>
          <w:rFonts w:cs="Calibri"/>
        </w:rPr>
        <w:t xml:space="preserve">OSHA will continue to monitor this data through the SAMM </w:t>
      </w:r>
      <w:r w:rsidR="00E1727B">
        <w:rPr>
          <w:rFonts w:cs="Calibri"/>
        </w:rPr>
        <w:t>report,</w:t>
      </w:r>
      <w:r w:rsidR="0022578B">
        <w:rPr>
          <w:rFonts w:cs="Calibri"/>
        </w:rPr>
        <w:t xml:space="preserve"> and this metric will be a focus during the FY 2025 Comprehensive FAME case file review.  </w:t>
      </w:r>
    </w:p>
    <w:p w14:paraId="25757DB6" w14:textId="77777777" w:rsidR="00796B79" w:rsidRDefault="00796B79" w:rsidP="00246BB1">
      <w:pPr>
        <w:widowControl/>
        <w:autoSpaceDE/>
        <w:adjustRightInd/>
        <w:rPr>
          <w:rStyle w:val="CommentReference"/>
        </w:rPr>
      </w:pPr>
    </w:p>
    <w:p w14:paraId="1FCE0E79" w14:textId="77777777" w:rsidR="00D0511F" w:rsidRPr="00D0511F" w:rsidRDefault="00D0511F" w:rsidP="00D0511F">
      <w:pPr>
        <w:widowControl/>
        <w:autoSpaceDE/>
        <w:adjustRightInd/>
      </w:pPr>
      <w:r w:rsidRPr="00D0511F">
        <w:rPr>
          <w:b/>
          <w:bCs/>
        </w:rPr>
        <w:t>SAMM 6 – Percent of total inspections in state and local government workplaces</w:t>
      </w:r>
      <w:r w:rsidRPr="00D0511F">
        <w:t> </w:t>
      </w:r>
    </w:p>
    <w:p w14:paraId="3F0DF300" w14:textId="77777777" w:rsidR="00D0511F" w:rsidRPr="00D0511F" w:rsidRDefault="00D0511F" w:rsidP="00D0511F">
      <w:pPr>
        <w:widowControl/>
        <w:autoSpaceDE/>
        <w:adjustRightInd/>
      </w:pPr>
      <w:r w:rsidRPr="00D0511F">
        <w:t> </w:t>
      </w:r>
    </w:p>
    <w:p w14:paraId="153025F0" w14:textId="3E8B642B" w:rsidR="00D0511F" w:rsidRPr="00D0511F" w:rsidRDefault="00D0511F" w:rsidP="00D0511F">
      <w:pPr>
        <w:widowControl/>
        <w:autoSpaceDE/>
        <w:adjustRightInd/>
      </w:pPr>
      <w:r w:rsidRPr="00D0511F">
        <w:rPr>
          <w:b/>
          <w:bCs/>
        </w:rPr>
        <w:t xml:space="preserve">Discussion of </w:t>
      </w:r>
      <w:r>
        <w:rPr>
          <w:b/>
          <w:bCs/>
        </w:rPr>
        <w:t>Washington State Plan</w:t>
      </w:r>
      <w:r w:rsidRPr="00D0511F">
        <w:rPr>
          <w:b/>
          <w:bCs/>
        </w:rPr>
        <w:t xml:space="preserve"> data and FRL:  </w:t>
      </w:r>
      <w:r w:rsidRPr="00D0511F">
        <w:t xml:space="preserve">The FRL for the percent of total inspections in state and local government workplaces (SAMM 6) is +/- 5% of </w:t>
      </w:r>
      <w:r w:rsidR="005D0F9E">
        <w:t>4.00</w:t>
      </w:r>
      <w:r w:rsidRPr="00D0511F">
        <w:t xml:space="preserve">%, which was negotiated between OSHA and </w:t>
      </w:r>
      <w:r w:rsidR="005D0F9E">
        <w:t xml:space="preserve">DOSH </w:t>
      </w:r>
      <w:r w:rsidRPr="00D0511F">
        <w:t xml:space="preserve">through the 23(g) grant application and provides an acceptable range of </w:t>
      </w:r>
      <w:r w:rsidR="005D0F9E">
        <w:t>3.80 to 4.20</w:t>
      </w:r>
      <w:r w:rsidRPr="00D0511F">
        <w:t xml:space="preserve">%.  According to the SAMM report, </w:t>
      </w:r>
      <w:r w:rsidR="002A388E">
        <w:t>DOSH</w:t>
      </w:r>
      <w:r w:rsidRPr="00D0511F">
        <w:t xml:space="preserve"> conducted </w:t>
      </w:r>
      <w:r w:rsidR="005443B1">
        <w:t>183</w:t>
      </w:r>
      <w:r w:rsidRPr="00D0511F">
        <w:t xml:space="preserve"> of </w:t>
      </w:r>
      <w:r w:rsidR="00255D33">
        <w:t>5,884</w:t>
      </w:r>
      <w:r w:rsidRPr="00D0511F">
        <w:t xml:space="preserve"> (</w:t>
      </w:r>
      <w:r w:rsidR="00255D33">
        <w:t>3.11</w:t>
      </w:r>
      <w:r w:rsidRPr="00D0511F">
        <w:t xml:space="preserve">%) inspections in state and local government workplaces, </w:t>
      </w:r>
      <w:r w:rsidR="00255D33">
        <w:t>falling below</w:t>
      </w:r>
      <w:r w:rsidRPr="00D0511F">
        <w:t xml:space="preserve"> the FRL.   </w:t>
      </w:r>
    </w:p>
    <w:p w14:paraId="3AF4662A" w14:textId="77777777" w:rsidR="00EC4EAF" w:rsidRDefault="00EC4EAF" w:rsidP="00246BB1">
      <w:pPr>
        <w:widowControl/>
        <w:autoSpaceDE/>
        <w:adjustRightInd/>
        <w:rPr>
          <w:rStyle w:val="CommentReference"/>
          <w:sz w:val="24"/>
          <w:szCs w:val="24"/>
        </w:rPr>
      </w:pPr>
    </w:p>
    <w:p w14:paraId="2174ED7B" w14:textId="6238CFBA" w:rsidR="00255D33" w:rsidRPr="00EE6482" w:rsidRDefault="00255D33" w:rsidP="00246BB1">
      <w:pPr>
        <w:widowControl/>
        <w:autoSpaceDE/>
        <w:adjustRightInd/>
        <w:rPr>
          <w:rStyle w:val="CommentReference"/>
          <w:sz w:val="24"/>
          <w:szCs w:val="24"/>
        </w:rPr>
      </w:pPr>
      <w:r>
        <w:rPr>
          <w:rStyle w:val="CommentReference"/>
          <w:b/>
          <w:bCs/>
          <w:sz w:val="24"/>
          <w:szCs w:val="24"/>
        </w:rPr>
        <w:t xml:space="preserve">Explanation: </w:t>
      </w:r>
      <w:r w:rsidR="00240102">
        <w:rPr>
          <w:rStyle w:val="CommentReference"/>
          <w:b/>
          <w:bCs/>
          <w:sz w:val="24"/>
          <w:szCs w:val="24"/>
        </w:rPr>
        <w:t xml:space="preserve"> </w:t>
      </w:r>
      <w:r w:rsidR="00EE6482">
        <w:rPr>
          <w:rStyle w:val="CommentReference"/>
          <w:sz w:val="24"/>
          <w:szCs w:val="24"/>
        </w:rPr>
        <w:t xml:space="preserve">Inspections of state and local government workplaces were based on </w:t>
      </w:r>
      <w:r w:rsidR="00AE4628">
        <w:rPr>
          <w:rStyle w:val="CommentReference"/>
          <w:sz w:val="24"/>
          <w:szCs w:val="24"/>
        </w:rPr>
        <w:t xml:space="preserve">complaints or establishments targeted </w:t>
      </w:r>
      <w:r w:rsidR="0090039A">
        <w:rPr>
          <w:rStyle w:val="CommentReference"/>
          <w:sz w:val="24"/>
          <w:szCs w:val="24"/>
        </w:rPr>
        <w:t xml:space="preserve">for inspection </w:t>
      </w:r>
      <w:r w:rsidR="00AE4628">
        <w:rPr>
          <w:rStyle w:val="CommentReference"/>
          <w:sz w:val="24"/>
          <w:szCs w:val="24"/>
        </w:rPr>
        <w:t>based on the</w:t>
      </w:r>
      <w:r w:rsidR="0090039A">
        <w:rPr>
          <w:rStyle w:val="CommentReference"/>
          <w:sz w:val="24"/>
          <w:szCs w:val="24"/>
        </w:rPr>
        <w:t>ir</w:t>
      </w:r>
      <w:r w:rsidR="00AE4628">
        <w:rPr>
          <w:rStyle w:val="CommentReference"/>
          <w:sz w:val="24"/>
          <w:szCs w:val="24"/>
        </w:rPr>
        <w:t xml:space="preserve"> North American Industr</w:t>
      </w:r>
      <w:r w:rsidR="00BC1A27">
        <w:rPr>
          <w:rStyle w:val="CommentReference"/>
          <w:sz w:val="24"/>
          <w:szCs w:val="24"/>
        </w:rPr>
        <w:t>y</w:t>
      </w:r>
      <w:r w:rsidR="00AE4628">
        <w:rPr>
          <w:rStyle w:val="CommentReference"/>
          <w:sz w:val="24"/>
          <w:szCs w:val="24"/>
        </w:rPr>
        <w:t xml:space="preserve"> Classification System (NAICS) codes. </w:t>
      </w:r>
      <w:r w:rsidR="00204DAE">
        <w:rPr>
          <w:rStyle w:val="CommentReference"/>
          <w:sz w:val="24"/>
          <w:szCs w:val="24"/>
        </w:rPr>
        <w:t xml:space="preserve"> Although DOSH fell below the FRL with state and local government workplace inspections, they exceeded their goals for total inspections conducted for the review period and maintain a strong enforcement presence in the state.  </w:t>
      </w:r>
      <w:r w:rsidR="00547878">
        <w:rPr>
          <w:rStyle w:val="CommentReference"/>
          <w:sz w:val="24"/>
          <w:szCs w:val="24"/>
        </w:rPr>
        <w:t xml:space="preserve">At this time, </w:t>
      </w:r>
      <w:r w:rsidR="002D7535">
        <w:rPr>
          <w:rStyle w:val="CommentReference"/>
          <w:sz w:val="24"/>
          <w:szCs w:val="24"/>
        </w:rPr>
        <w:t>performance on SAMM 6</w:t>
      </w:r>
      <w:r w:rsidR="00547878" w:rsidDel="002D7535">
        <w:rPr>
          <w:rStyle w:val="CommentReference"/>
          <w:sz w:val="24"/>
          <w:szCs w:val="24"/>
        </w:rPr>
        <w:t xml:space="preserve"> </w:t>
      </w:r>
      <w:r w:rsidR="00547878">
        <w:rPr>
          <w:rStyle w:val="CommentReference"/>
          <w:sz w:val="24"/>
          <w:szCs w:val="24"/>
        </w:rPr>
        <w:t xml:space="preserve">is not cause for concern and OSHA will continue to monitor this data through the next review period. </w:t>
      </w:r>
    </w:p>
    <w:p w14:paraId="1AE900F0" w14:textId="77777777" w:rsidR="00EC4EAF" w:rsidRDefault="00EC4EAF" w:rsidP="00246BB1">
      <w:pPr>
        <w:widowControl/>
        <w:autoSpaceDE/>
        <w:adjustRightInd/>
        <w:rPr>
          <w:rStyle w:val="CommentReference"/>
          <w:sz w:val="24"/>
          <w:szCs w:val="24"/>
        </w:rPr>
      </w:pPr>
    </w:p>
    <w:p w14:paraId="23B95E1B" w14:textId="77777777" w:rsidR="00072A67" w:rsidRDefault="00072A67" w:rsidP="00246BB1">
      <w:pPr>
        <w:widowControl/>
        <w:autoSpaceDE/>
        <w:adjustRightInd/>
        <w:rPr>
          <w:rStyle w:val="CommentReference"/>
          <w:sz w:val="24"/>
          <w:szCs w:val="24"/>
        </w:rPr>
      </w:pPr>
    </w:p>
    <w:p w14:paraId="7A297D21" w14:textId="77777777" w:rsidR="00072A67" w:rsidRDefault="00072A67" w:rsidP="00246BB1">
      <w:pPr>
        <w:widowControl/>
        <w:autoSpaceDE/>
        <w:adjustRightInd/>
        <w:rPr>
          <w:rStyle w:val="CommentReference"/>
          <w:sz w:val="24"/>
          <w:szCs w:val="24"/>
        </w:rPr>
      </w:pPr>
    </w:p>
    <w:p w14:paraId="69DFB2DB" w14:textId="77777777" w:rsidR="00072A67" w:rsidRPr="00255D33" w:rsidRDefault="00072A67" w:rsidP="00246BB1">
      <w:pPr>
        <w:widowControl/>
        <w:autoSpaceDE/>
        <w:adjustRightInd/>
        <w:rPr>
          <w:rStyle w:val="CommentReference"/>
          <w:sz w:val="24"/>
          <w:szCs w:val="24"/>
        </w:rPr>
      </w:pPr>
    </w:p>
    <w:p w14:paraId="172D4804" w14:textId="67FAE69E" w:rsidR="00246BB1" w:rsidRDefault="00246BB1" w:rsidP="00246BB1">
      <w:pPr>
        <w:widowControl/>
        <w:autoSpaceDE/>
        <w:adjustRightInd/>
        <w:rPr>
          <w:rFonts w:cs="Calibri"/>
          <w:b/>
          <w:bCs/>
        </w:rPr>
      </w:pPr>
      <w:r w:rsidRPr="00246BB1">
        <w:rPr>
          <w:rFonts w:cs="Calibri"/>
          <w:b/>
          <w:bCs/>
        </w:rPr>
        <w:t>SAMM 7</w:t>
      </w:r>
      <w:r w:rsidR="00764699">
        <w:rPr>
          <w:rFonts w:cs="Calibri"/>
          <w:b/>
          <w:bCs/>
        </w:rPr>
        <w:t>a</w:t>
      </w:r>
      <w:r w:rsidRPr="00246BB1">
        <w:rPr>
          <w:rFonts w:cs="Calibri"/>
          <w:b/>
          <w:bCs/>
        </w:rPr>
        <w:t xml:space="preserve"> - Planned v. actual inspections – safety</w:t>
      </w:r>
    </w:p>
    <w:p w14:paraId="6E8CB143" w14:textId="77777777" w:rsidR="00246BB1" w:rsidRPr="00246BB1" w:rsidRDefault="00246BB1" w:rsidP="00246BB1">
      <w:pPr>
        <w:widowControl/>
        <w:autoSpaceDE/>
        <w:adjustRightInd/>
        <w:rPr>
          <w:rFonts w:cs="Calibri"/>
        </w:rPr>
      </w:pPr>
    </w:p>
    <w:p w14:paraId="6DC2CCC4" w14:textId="74F63730" w:rsidR="00246BB1" w:rsidRPr="00246BB1" w:rsidRDefault="4F614FBE" w:rsidP="5991425A">
      <w:pPr>
        <w:widowControl/>
        <w:autoSpaceDE/>
        <w:adjustRightInd/>
        <w:rPr>
          <w:rFonts w:cs="Calibri"/>
        </w:rPr>
      </w:pPr>
      <w:r w:rsidRPr="002378C0">
        <w:rPr>
          <w:rFonts w:cs="Calibri"/>
          <w:b/>
          <w:bCs/>
        </w:rPr>
        <w:t xml:space="preserve">Discussion of </w:t>
      </w:r>
      <w:r w:rsidR="002378C0">
        <w:rPr>
          <w:rFonts w:cs="Calibri"/>
          <w:b/>
          <w:bCs/>
        </w:rPr>
        <w:t xml:space="preserve">Washington </w:t>
      </w:r>
      <w:r w:rsidRPr="002378C0">
        <w:rPr>
          <w:rFonts w:cs="Calibri"/>
          <w:b/>
          <w:bCs/>
        </w:rPr>
        <w:t>State Plan data and FRL:</w:t>
      </w:r>
      <w:r w:rsidRPr="5991425A">
        <w:rPr>
          <w:rFonts w:cs="Calibri"/>
        </w:rPr>
        <w:t xml:space="preserve"> The FRL for </w:t>
      </w:r>
      <w:r w:rsidR="00171C25">
        <w:rPr>
          <w:rFonts w:cs="Calibri"/>
        </w:rPr>
        <w:t xml:space="preserve">planned versus actual </w:t>
      </w:r>
      <w:r w:rsidRPr="5991425A">
        <w:rPr>
          <w:rFonts w:cs="Calibri"/>
        </w:rPr>
        <w:t>safety inspections</w:t>
      </w:r>
      <w:r w:rsidR="00171C25">
        <w:rPr>
          <w:rFonts w:cs="Calibri"/>
        </w:rPr>
        <w:t xml:space="preserve"> (SAMM 7a)</w:t>
      </w:r>
      <w:r w:rsidRPr="5991425A">
        <w:rPr>
          <w:rFonts w:cs="Calibri"/>
        </w:rPr>
        <w:t xml:space="preserve"> is +/- 5% of </w:t>
      </w:r>
      <w:r w:rsidR="00E96D84">
        <w:rPr>
          <w:rFonts w:cs="Calibri"/>
        </w:rPr>
        <w:t xml:space="preserve">4,080, which was negotiated between OSHA and DOSH through the 23(g) grant </w:t>
      </w:r>
      <w:r w:rsidR="008F7F13">
        <w:rPr>
          <w:rFonts w:cs="Calibri"/>
        </w:rPr>
        <w:t>application and</w:t>
      </w:r>
      <w:r w:rsidR="00324090">
        <w:rPr>
          <w:rFonts w:cs="Calibri"/>
        </w:rPr>
        <w:t xml:space="preserve"> provided a range of </w:t>
      </w:r>
      <w:r w:rsidR="0051436F">
        <w:rPr>
          <w:rFonts w:cs="Calibri"/>
        </w:rPr>
        <w:t>3,876 to 4,284</w:t>
      </w:r>
      <w:r w:rsidR="00E96D84">
        <w:rPr>
          <w:rFonts w:cs="Calibri"/>
        </w:rPr>
        <w:t>.  According to Appendix D, Washington</w:t>
      </w:r>
      <w:r w:rsidRPr="5991425A">
        <w:rPr>
          <w:rFonts w:cs="Calibri"/>
        </w:rPr>
        <w:t xml:space="preserve"> co</w:t>
      </w:r>
      <w:r w:rsidR="00E96D84">
        <w:rPr>
          <w:rFonts w:cs="Calibri"/>
        </w:rPr>
        <w:t>nducted</w:t>
      </w:r>
      <w:r w:rsidRPr="5991425A">
        <w:rPr>
          <w:rFonts w:cs="Calibri"/>
        </w:rPr>
        <w:t xml:space="preserve"> </w:t>
      </w:r>
      <w:r w:rsidR="08BA77E9" w:rsidRPr="5991425A">
        <w:rPr>
          <w:rFonts w:cs="Calibri"/>
        </w:rPr>
        <w:t xml:space="preserve">4,695 </w:t>
      </w:r>
      <w:r w:rsidRPr="5991425A">
        <w:rPr>
          <w:rFonts w:cs="Calibri"/>
        </w:rPr>
        <w:t>safety inspections in FY 202</w:t>
      </w:r>
      <w:r w:rsidR="14AB51C1" w:rsidRPr="5991425A">
        <w:rPr>
          <w:rFonts w:cs="Calibri"/>
        </w:rPr>
        <w:t>4</w:t>
      </w:r>
      <w:r w:rsidR="00E96D84">
        <w:rPr>
          <w:rFonts w:cs="Calibri"/>
        </w:rPr>
        <w:t xml:space="preserve"> and </w:t>
      </w:r>
      <w:r w:rsidR="009724BE">
        <w:rPr>
          <w:rFonts w:cs="Calibri"/>
        </w:rPr>
        <w:t>exceeded</w:t>
      </w:r>
      <w:r w:rsidR="00E96D84">
        <w:rPr>
          <w:rFonts w:cs="Calibri"/>
        </w:rPr>
        <w:t xml:space="preserve"> the </w:t>
      </w:r>
      <w:r w:rsidR="0051436F">
        <w:rPr>
          <w:rFonts w:cs="Calibri"/>
        </w:rPr>
        <w:t>FRL.</w:t>
      </w:r>
    </w:p>
    <w:p w14:paraId="3F307A40" w14:textId="5A7FD142" w:rsidR="00246BB1" w:rsidRPr="00246BB1" w:rsidRDefault="4F614FBE" w:rsidP="00246BB1">
      <w:pPr>
        <w:widowControl/>
        <w:autoSpaceDE/>
        <w:adjustRightInd/>
        <w:rPr>
          <w:rFonts w:cs="Calibri"/>
        </w:rPr>
      </w:pPr>
      <w:r w:rsidRPr="5991425A">
        <w:rPr>
          <w:rFonts w:cs="Calibri"/>
        </w:rPr>
        <w:t xml:space="preserve"> </w:t>
      </w:r>
    </w:p>
    <w:p w14:paraId="255BABE5" w14:textId="64673481" w:rsidR="4F614FBE" w:rsidRDefault="19FCD88A" w:rsidP="5E2C4AF3">
      <w:pPr>
        <w:widowControl/>
        <w:rPr>
          <w:rFonts w:ascii="Times New Roman" w:eastAsia="Calibri" w:hAnsi="Times New Roman"/>
          <w:color w:val="000000" w:themeColor="text1"/>
        </w:rPr>
      </w:pPr>
      <w:r w:rsidRPr="002378C0">
        <w:rPr>
          <w:rFonts w:cs="Calibri"/>
          <w:b/>
          <w:bCs/>
        </w:rPr>
        <w:t>Explanation:</w:t>
      </w:r>
      <w:r w:rsidR="65E9E9DF" w:rsidRPr="5E2C4AF3">
        <w:rPr>
          <w:rFonts w:cs="Calibri"/>
        </w:rPr>
        <w:t xml:space="preserve">  </w:t>
      </w:r>
      <w:r w:rsidR="5A5117DB" w:rsidRPr="00075FC4">
        <w:t>Washington</w:t>
      </w:r>
      <w:r w:rsidR="23B5716E" w:rsidRPr="00075FC4">
        <w:t xml:space="preserve">’s </w:t>
      </w:r>
      <w:r w:rsidR="0B05B530" w:rsidRPr="00075FC4">
        <w:t>safety</w:t>
      </w:r>
      <w:r w:rsidR="23B5716E" w:rsidRPr="00075FC4">
        <w:t xml:space="preserve"> inspection numbers increased from </w:t>
      </w:r>
      <w:r w:rsidR="00725880" w:rsidRPr="00075FC4">
        <w:t>4,131</w:t>
      </w:r>
      <w:r w:rsidR="23B5716E" w:rsidRPr="00075FC4">
        <w:t xml:space="preserve"> in FY 2023, and they surpassed their goal. </w:t>
      </w:r>
      <w:r w:rsidR="00E959F2">
        <w:t xml:space="preserve"> </w:t>
      </w:r>
      <w:r w:rsidR="00663E74">
        <w:t>A contributing factor included Washington</w:t>
      </w:r>
      <w:r w:rsidR="00E959F2">
        <w:t xml:space="preserve"> opt</w:t>
      </w:r>
      <w:r w:rsidR="00663E74">
        <w:t>ing</w:t>
      </w:r>
      <w:r w:rsidR="00E959F2">
        <w:t xml:space="preserve"> to conduct an inspection </w:t>
      </w:r>
      <w:r w:rsidR="00663E74">
        <w:t xml:space="preserve">in lieu of investigations.  </w:t>
      </w:r>
      <w:r w:rsidR="00B57220">
        <w:t>Exceeding inspection goals show</w:t>
      </w:r>
      <w:r w:rsidR="00A42592">
        <w:t>ed</w:t>
      </w:r>
      <w:r w:rsidR="00B57220">
        <w:t xml:space="preserve"> that Washington was able to </w:t>
      </w:r>
      <w:r w:rsidR="0007058B">
        <w:t>bring compliance officers into m</w:t>
      </w:r>
      <w:r w:rsidR="00FA12CE">
        <w:t xml:space="preserve">ore workplaces than anticipated. </w:t>
      </w:r>
    </w:p>
    <w:p w14:paraId="0BE50469" w14:textId="32E7817D" w:rsidR="5991425A" w:rsidRDefault="5991425A" w:rsidP="5991425A">
      <w:pPr>
        <w:widowControl/>
        <w:rPr>
          <w:rFonts w:cs="Calibri"/>
        </w:rPr>
      </w:pPr>
    </w:p>
    <w:p w14:paraId="64966E30" w14:textId="27CA4FCE" w:rsidR="705FBDF9" w:rsidRDefault="705FBDF9" w:rsidP="5991425A">
      <w:pPr>
        <w:widowControl/>
        <w:rPr>
          <w:rFonts w:cs="Calibri"/>
          <w:b/>
          <w:bCs/>
        </w:rPr>
      </w:pPr>
      <w:r w:rsidRPr="5991425A">
        <w:rPr>
          <w:rFonts w:cs="Calibri"/>
          <w:b/>
          <w:bCs/>
        </w:rPr>
        <w:t>SAMM 7b - Planned v. actual inspections – health</w:t>
      </w:r>
    </w:p>
    <w:p w14:paraId="5371D8F5" w14:textId="77777777" w:rsidR="009724BE" w:rsidRDefault="009724BE" w:rsidP="5991425A">
      <w:pPr>
        <w:widowControl/>
        <w:rPr>
          <w:rFonts w:cs="Calibri"/>
          <w:b/>
          <w:bCs/>
        </w:rPr>
      </w:pPr>
    </w:p>
    <w:p w14:paraId="5210EAD0" w14:textId="7E69342D" w:rsidR="009724BE" w:rsidRPr="00246BB1" w:rsidRDefault="009724BE" w:rsidP="009724BE">
      <w:pPr>
        <w:widowControl/>
        <w:autoSpaceDE/>
        <w:adjustRightInd/>
        <w:rPr>
          <w:rFonts w:cs="Calibri"/>
        </w:rPr>
      </w:pPr>
      <w:r w:rsidRPr="002378C0">
        <w:rPr>
          <w:rFonts w:cs="Calibri"/>
          <w:b/>
          <w:bCs/>
        </w:rPr>
        <w:t xml:space="preserve">Discussion of </w:t>
      </w:r>
      <w:r>
        <w:rPr>
          <w:rFonts w:cs="Calibri"/>
          <w:b/>
          <w:bCs/>
        </w:rPr>
        <w:t xml:space="preserve">Washington </w:t>
      </w:r>
      <w:r w:rsidRPr="002378C0">
        <w:rPr>
          <w:rFonts w:cs="Calibri"/>
          <w:b/>
          <w:bCs/>
        </w:rPr>
        <w:t>State Plan data and FRL:</w:t>
      </w:r>
      <w:r w:rsidRPr="5991425A">
        <w:rPr>
          <w:rFonts w:cs="Calibri"/>
        </w:rPr>
        <w:t xml:space="preserve"> The FRL for </w:t>
      </w:r>
      <w:r>
        <w:rPr>
          <w:rFonts w:cs="Calibri"/>
        </w:rPr>
        <w:t>planned versus actual health</w:t>
      </w:r>
      <w:r w:rsidRPr="5991425A">
        <w:rPr>
          <w:rFonts w:cs="Calibri"/>
        </w:rPr>
        <w:t xml:space="preserve"> inspections</w:t>
      </w:r>
      <w:r>
        <w:rPr>
          <w:rFonts w:cs="Calibri"/>
        </w:rPr>
        <w:t xml:space="preserve"> (SAMM 7b)</w:t>
      </w:r>
      <w:r w:rsidRPr="5991425A">
        <w:rPr>
          <w:rFonts w:cs="Calibri"/>
        </w:rPr>
        <w:t xml:space="preserve"> is +/- 5% of </w:t>
      </w:r>
      <w:r w:rsidR="001F74BC">
        <w:rPr>
          <w:rFonts w:cs="Calibri"/>
        </w:rPr>
        <w:t>1,020</w:t>
      </w:r>
      <w:r>
        <w:rPr>
          <w:rFonts w:cs="Calibri"/>
        </w:rPr>
        <w:t xml:space="preserve">, which was negotiated between OSHA and DOSH through the 23(g) grant application and provided a range of </w:t>
      </w:r>
      <w:r w:rsidR="001F74BC">
        <w:rPr>
          <w:rFonts w:cs="Calibri"/>
        </w:rPr>
        <w:t>969 to 1,071</w:t>
      </w:r>
      <w:r>
        <w:rPr>
          <w:rFonts w:cs="Calibri"/>
        </w:rPr>
        <w:t>.  According to Appendix D, Washington</w:t>
      </w:r>
      <w:r w:rsidRPr="5991425A">
        <w:rPr>
          <w:rFonts w:cs="Calibri"/>
        </w:rPr>
        <w:t xml:space="preserve"> co</w:t>
      </w:r>
      <w:r>
        <w:rPr>
          <w:rFonts w:cs="Calibri"/>
        </w:rPr>
        <w:t>nducted</w:t>
      </w:r>
      <w:r w:rsidRPr="5991425A">
        <w:rPr>
          <w:rFonts w:cs="Calibri"/>
        </w:rPr>
        <w:t xml:space="preserve"> </w:t>
      </w:r>
      <w:r w:rsidR="001F74BC">
        <w:rPr>
          <w:rFonts w:cs="Calibri"/>
        </w:rPr>
        <w:t>1,189</w:t>
      </w:r>
      <w:r w:rsidRPr="5991425A">
        <w:rPr>
          <w:rFonts w:cs="Calibri"/>
        </w:rPr>
        <w:t xml:space="preserve"> </w:t>
      </w:r>
      <w:r w:rsidR="001F74BC">
        <w:rPr>
          <w:rFonts w:cs="Calibri"/>
        </w:rPr>
        <w:t>health</w:t>
      </w:r>
      <w:r w:rsidRPr="5991425A">
        <w:rPr>
          <w:rFonts w:cs="Calibri"/>
        </w:rPr>
        <w:t xml:space="preserve"> inspections in FY 2024</w:t>
      </w:r>
      <w:r>
        <w:rPr>
          <w:rFonts w:cs="Calibri"/>
        </w:rPr>
        <w:t xml:space="preserve"> and exceeded the FRL.</w:t>
      </w:r>
    </w:p>
    <w:p w14:paraId="6E0D1603" w14:textId="77777777" w:rsidR="009724BE" w:rsidRPr="00246BB1" w:rsidRDefault="009724BE" w:rsidP="009724BE">
      <w:pPr>
        <w:widowControl/>
        <w:autoSpaceDE/>
        <w:adjustRightInd/>
        <w:rPr>
          <w:rFonts w:cs="Calibri"/>
        </w:rPr>
      </w:pPr>
      <w:r w:rsidRPr="5991425A">
        <w:rPr>
          <w:rFonts w:cs="Calibri"/>
        </w:rPr>
        <w:t xml:space="preserve"> </w:t>
      </w:r>
    </w:p>
    <w:p w14:paraId="071252E0" w14:textId="2BCFBA98" w:rsidR="009724BE" w:rsidRDefault="009724BE" w:rsidP="009724BE">
      <w:pPr>
        <w:widowControl/>
        <w:rPr>
          <w:rFonts w:ascii="Times New Roman" w:eastAsia="Calibri" w:hAnsi="Times New Roman"/>
          <w:color w:val="000000" w:themeColor="text1"/>
        </w:rPr>
      </w:pPr>
      <w:r w:rsidRPr="002378C0">
        <w:rPr>
          <w:rFonts w:cs="Calibri"/>
          <w:b/>
          <w:bCs/>
        </w:rPr>
        <w:t>Explanation:</w:t>
      </w:r>
      <w:r w:rsidRPr="5E2C4AF3">
        <w:rPr>
          <w:rFonts w:cs="Calibri"/>
        </w:rPr>
        <w:t xml:space="preserve">  </w:t>
      </w:r>
      <w:r w:rsidRPr="00075FC4">
        <w:t xml:space="preserve">Washington’s </w:t>
      </w:r>
      <w:r w:rsidR="001F74BC">
        <w:t>health</w:t>
      </w:r>
      <w:r w:rsidRPr="00075FC4">
        <w:t xml:space="preserve"> inspection numbers increased from </w:t>
      </w:r>
      <w:r w:rsidR="001F74BC">
        <w:t>1,173</w:t>
      </w:r>
      <w:r w:rsidRPr="00075FC4">
        <w:t xml:space="preserve"> in FY 2023, and they surpassed their goal. </w:t>
      </w:r>
      <w:r w:rsidR="00663E74">
        <w:t xml:space="preserve">Similar to SAMM 7a, DOSH </w:t>
      </w:r>
      <w:r w:rsidR="00FD3178">
        <w:t>opted to conduct inspections in lieu of investigations</w:t>
      </w:r>
      <w:r w:rsidR="00A42592">
        <w:t xml:space="preserve">, which enabled the State Plan to </w:t>
      </w:r>
      <w:r w:rsidR="00FA12CE">
        <w:t xml:space="preserve">enforce safety and health in more workplaces than anticipated. </w:t>
      </w:r>
    </w:p>
    <w:p w14:paraId="11324F17" w14:textId="77777777" w:rsidR="009724BE" w:rsidRDefault="009724BE" w:rsidP="5991425A">
      <w:pPr>
        <w:widowControl/>
        <w:rPr>
          <w:rFonts w:cs="Calibri"/>
          <w:b/>
          <w:bCs/>
        </w:rPr>
      </w:pPr>
    </w:p>
    <w:p w14:paraId="5695611B" w14:textId="43B1C7E5" w:rsidR="004724F6" w:rsidRDefault="035A5BA4" w:rsidP="004724F6">
      <w:pPr>
        <w:widowControl/>
        <w:autoSpaceDE/>
        <w:adjustRightInd/>
        <w:rPr>
          <w:rFonts w:cs="Calibri"/>
          <w:b/>
          <w:bCs/>
        </w:rPr>
      </w:pPr>
      <w:r w:rsidRPr="5991425A">
        <w:rPr>
          <w:rFonts w:cs="Calibri"/>
          <w:b/>
          <w:bCs/>
        </w:rPr>
        <w:t>SAMM 8 - Average current serious penalty</w:t>
      </w:r>
      <w:r w:rsidR="0FF25E34" w:rsidRPr="5991425A">
        <w:rPr>
          <w:rFonts w:cs="Calibri"/>
          <w:b/>
          <w:bCs/>
        </w:rPr>
        <w:t xml:space="preserve"> in private sector -</w:t>
      </w:r>
      <w:r w:rsidR="6B1EE44B" w:rsidRPr="5991425A">
        <w:rPr>
          <w:rFonts w:cs="Calibri"/>
          <w:b/>
          <w:bCs/>
        </w:rPr>
        <w:t xml:space="preserve"> </w:t>
      </w:r>
      <w:r w:rsidR="0FF25E34" w:rsidRPr="5991425A">
        <w:rPr>
          <w:rFonts w:cs="Calibri"/>
          <w:b/>
          <w:bCs/>
        </w:rPr>
        <w:t>total (1 to greater than 250 workers)</w:t>
      </w:r>
    </w:p>
    <w:p w14:paraId="64EFF983" w14:textId="77777777" w:rsidR="00C53F1A" w:rsidRPr="00F05B1A" w:rsidRDefault="00C53F1A" w:rsidP="004724F6">
      <w:pPr>
        <w:widowControl/>
        <w:autoSpaceDE/>
        <w:adjustRightInd/>
        <w:rPr>
          <w:rFonts w:cs="Calibri"/>
          <w:b/>
          <w:bCs/>
        </w:rPr>
      </w:pPr>
    </w:p>
    <w:p w14:paraId="4D39A79D" w14:textId="6AD2E148" w:rsidR="00D75063" w:rsidRDefault="4890206A" w:rsidP="5E2C4AF3">
      <w:pPr>
        <w:pStyle w:val="paragraph"/>
        <w:spacing w:before="0" w:beforeAutospacing="0" w:after="0" w:afterAutospacing="0"/>
        <w:rPr>
          <w:rFonts w:asciiTheme="minorHAnsi" w:hAnsiTheme="minorHAnsi" w:cstheme="minorBidi"/>
        </w:rPr>
      </w:pPr>
      <w:r w:rsidRPr="006D765E">
        <w:rPr>
          <w:rFonts w:asciiTheme="minorHAnsi" w:hAnsiTheme="minorHAnsi" w:cstheme="minorBidi"/>
          <w:b/>
          <w:bCs/>
        </w:rPr>
        <w:t xml:space="preserve">Discussion of </w:t>
      </w:r>
      <w:r w:rsidR="006D765E">
        <w:rPr>
          <w:rFonts w:asciiTheme="minorHAnsi" w:hAnsiTheme="minorHAnsi" w:cstheme="minorBidi"/>
          <w:b/>
          <w:bCs/>
        </w:rPr>
        <w:t xml:space="preserve">Washington </w:t>
      </w:r>
      <w:r w:rsidRPr="006D765E">
        <w:rPr>
          <w:rFonts w:asciiTheme="minorHAnsi" w:hAnsiTheme="minorHAnsi" w:cstheme="minorBidi"/>
          <w:b/>
          <w:bCs/>
        </w:rPr>
        <w:t>State Plan data and FRL:</w:t>
      </w:r>
      <w:r w:rsidR="767703AA" w:rsidRPr="5E2C4AF3">
        <w:rPr>
          <w:rFonts w:asciiTheme="minorHAnsi" w:hAnsiTheme="minorHAnsi" w:cstheme="minorBidi"/>
        </w:rPr>
        <w:t xml:space="preserve"> </w:t>
      </w:r>
      <w:r w:rsidR="008E7805">
        <w:rPr>
          <w:rFonts w:asciiTheme="minorHAnsi" w:hAnsiTheme="minorHAnsi" w:cstheme="minorBidi"/>
        </w:rPr>
        <w:t xml:space="preserve"> </w:t>
      </w:r>
      <w:r w:rsidR="008065C5" w:rsidRPr="008065C5">
        <w:rPr>
          <w:rFonts w:asciiTheme="minorHAnsi" w:hAnsiTheme="minorHAnsi" w:cstheme="minorBidi"/>
        </w:rPr>
        <w:t xml:space="preserve">The FRL for the average current penalty for 1-250+ workers was +/- 25% of $3,793.81, which was based on a three-year national average and provides a range of $2,845.36 to $4,742.27.  In </w:t>
      </w:r>
      <w:r w:rsidR="00D75063">
        <w:rPr>
          <w:rFonts w:asciiTheme="minorHAnsi" w:hAnsiTheme="minorHAnsi" w:cstheme="minorBidi"/>
        </w:rPr>
        <w:t>Washington</w:t>
      </w:r>
      <w:r w:rsidR="008065C5" w:rsidRPr="008065C5">
        <w:rPr>
          <w:rFonts w:asciiTheme="minorHAnsi" w:hAnsiTheme="minorHAnsi" w:cstheme="minorBidi"/>
        </w:rPr>
        <w:t>, employers with 1-250+ workers were penalized at an average of $1,</w:t>
      </w:r>
      <w:r w:rsidR="00D75063">
        <w:rPr>
          <w:rFonts w:asciiTheme="minorHAnsi" w:hAnsiTheme="minorHAnsi" w:cstheme="minorBidi"/>
        </w:rPr>
        <w:t>792.19</w:t>
      </w:r>
      <w:r w:rsidR="008065C5" w:rsidRPr="008065C5">
        <w:rPr>
          <w:rFonts w:asciiTheme="minorHAnsi" w:hAnsiTheme="minorHAnsi" w:cstheme="minorBidi"/>
        </w:rPr>
        <w:t xml:space="preserve"> per serious violation, which was below the FRL range.</w:t>
      </w:r>
      <w:r w:rsidR="00D75063">
        <w:rPr>
          <w:rFonts w:asciiTheme="minorHAnsi" w:hAnsiTheme="minorHAnsi" w:cstheme="minorBidi"/>
        </w:rPr>
        <w:t xml:space="preserve"> </w:t>
      </w:r>
    </w:p>
    <w:p w14:paraId="2AAA113C" w14:textId="77777777" w:rsidR="00D75063" w:rsidRDefault="00D75063" w:rsidP="5E2C4AF3">
      <w:pPr>
        <w:pStyle w:val="paragraph"/>
        <w:spacing w:before="0" w:beforeAutospacing="0" w:after="0" w:afterAutospacing="0"/>
        <w:rPr>
          <w:rFonts w:asciiTheme="minorHAnsi" w:hAnsiTheme="minorHAnsi" w:cstheme="minorBidi"/>
        </w:rPr>
      </w:pPr>
    </w:p>
    <w:p w14:paraId="235BA95E" w14:textId="44F6853E" w:rsidR="00CF11C5" w:rsidRDefault="00084E78" w:rsidP="004724F6">
      <w:pPr>
        <w:widowControl/>
        <w:autoSpaceDE/>
        <w:adjustRightInd/>
      </w:pPr>
      <w:r w:rsidRPr="006D765E">
        <w:rPr>
          <w:rFonts w:cs="Calibri"/>
          <w:b/>
          <w:bCs/>
        </w:rPr>
        <w:t>Explanation</w:t>
      </w:r>
      <w:r w:rsidRPr="00AA0650">
        <w:rPr>
          <w:rFonts w:cs="Calibri"/>
          <w:b/>
          <w:bCs/>
        </w:rPr>
        <w:t>:</w:t>
      </w:r>
      <w:r w:rsidRPr="00AA0650">
        <w:rPr>
          <w:rFonts w:cs="Calibri"/>
        </w:rPr>
        <w:t xml:space="preserve"> </w:t>
      </w:r>
      <w:r w:rsidR="008E7805">
        <w:rPr>
          <w:rFonts w:cs="Calibri"/>
        </w:rPr>
        <w:t xml:space="preserve"> </w:t>
      </w:r>
      <w:r w:rsidR="00AA0650">
        <w:t xml:space="preserve">DOSH’s </w:t>
      </w:r>
      <w:r w:rsidR="00AA0650" w:rsidRPr="5E2C4AF3">
        <w:rPr>
          <w:rFonts w:asciiTheme="minorHAnsi" w:hAnsiTheme="minorHAnsi" w:cstheme="minorBidi"/>
        </w:rPr>
        <w:t xml:space="preserve">total average penalty </w:t>
      </w:r>
      <w:r w:rsidR="00AA0650">
        <w:rPr>
          <w:rFonts w:asciiTheme="minorHAnsi" w:hAnsiTheme="minorHAnsi" w:cstheme="minorBidi"/>
        </w:rPr>
        <w:t>decreased</w:t>
      </w:r>
      <w:r w:rsidR="00AA0650" w:rsidRPr="5E2C4AF3">
        <w:rPr>
          <w:rFonts w:asciiTheme="minorHAnsi" w:hAnsiTheme="minorHAnsi" w:cstheme="minorBidi"/>
        </w:rPr>
        <w:t xml:space="preserve"> </w:t>
      </w:r>
      <w:r w:rsidR="00AA0650">
        <w:rPr>
          <w:rFonts w:asciiTheme="minorHAnsi" w:hAnsiTheme="minorHAnsi" w:cstheme="minorBidi"/>
        </w:rPr>
        <w:t xml:space="preserve">to $1,792.19 in FY 2024 </w:t>
      </w:r>
      <w:r w:rsidR="00AA0650" w:rsidRPr="5E2C4AF3">
        <w:rPr>
          <w:rFonts w:asciiTheme="minorHAnsi" w:hAnsiTheme="minorHAnsi" w:cstheme="minorBidi"/>
        </w:rPr>
        <w:t xml:space="preserve">from </w:t>
      </w:r>
      <w:r w:rsidR="00AA0650" w:rsidRPr="674FF59B">
        <w:rPr>
          <w:rFonts w:asciiTheme="minorHAnsi" w:hAnsiTheme="minorHAnsi" w:cstheme="minorBidi"/>
        </w:rPr>
        <w:t>$1,953.20</w:t>
      </w:r>
      <w:r w:rsidR="00AA0650" w:rsidRPr="5E2C4AF3">
        <w:rPr>
          <w:rFonts w:asciiTheme="minorHAnsi" w:hAnsiTheme="minorHAnsi" w:cstheme="minorBidi"/>
        </w:rPr>
        <w:t xml:space="preserve"> in FY 2023.</w:t>
      </w:r>
      <w:r w:rsidR="00AA0650">
        <w:t xml:space="preserve">  </w:t>
      </w:r>
      <w:r w:rsidR="002D7535" w:rsidRPr="00C705A6">
        <w:t>Washington previously adopted OSHA’s maximum penalties</w:t>
      </w:r>
      <w:r w:rsidR="00197EE0">
        <w:t>, which</w:t>
      </w:r>
      <w:r w:rsidR="002D7535" w:rsidRPr="00C705A6">
        <w:t xml:space="preserve"> update automatically on an annual basis. </w:t>
      </w:r>
      <w:r w:rsidR="00511894">
        <w:t xml:space="preserve"> </w:t>
      </w:r>
      <w:r w:rsidR="002D7535" w:rsidRPr="00C705A6">
        <w:t xml:space="preserve">However, the </w:t>
      </w:r>
      <w:r w:rsidR="00EA5F63">
        <w:t>S</w:t>
      </w:r>
      <w:r w:rsidR="002D7535" w:rsidRPr="00C705A6">
        <w:t xml:space="preserve">tate </w:t>
      </w:r>
      <w:r w:rsidR="00EA5F63">
        <w:t>P</w:t>
      </w:r>
      <w:r w:rsidR="002D7535" w:rsidRPr="00C705A6">
        <w:t>lan’s</w:t>
      </w:r>
      <w:r w:rsidR="00197EE0">
        <w:t xml:space="preserve"> </w:t>
      </w:r>
      <w:r w:rsidR="00211870" w:rsidRPr="00C705A6">
        <w:t xml:space="preserve">penalty </w:t>
      </w:r>
      <w:r w:rsidR="002D7535" w:rsidRPr="00C705A6">
        <w:t xml:space="preserve">structure </w:t>
      </w:r>
      <w:r w:rsidR="003D5135">
        <w:t>was</w:t>
      </w:r>
      <w:r w:rsidR="003D5135" w:rsidRPr="00C705A6">
        <w:t xml:space="preserve"> </w:t>
      </w:r>
      <w:r w:rsidR="002D7535" w:rsidRPr="00C705A6">
        <w:t xml:space="preserve">set in </w:t>
      </w:r>
      <w:r w:rsidR="008E7805" w:rsidRPr="00DF596E">
        <w:t>statute and</w:t>
      </w:r>
      <w:r w:rsidR="002D7535" w:rsidRPr="00DF596E">
        <w:t xml:space="preserve"> </w:t>
      </w:r>
      <w:r w:rsidR="00D26AD9">
        <w:t>did</w:t>
      </w:r>
      <w:r w:rsidR="00D26AD9" w:rsidRPr="00DF596E">
        <w:t xml:space="preserve"> </w:t>
      </w:r>
      <w:r w:rsidR="002D7535" w:rsidRPr="00DF596E">
        <w:t xml:space="preserve">not allow for </w:t>
      </w:r>
      <w:r w:rsidR="00124C81" w:rsidRPr="00DF596E">
        <w:t xml:space="preserve">automatic </w:t>
      </w:r>
      <w:r w:rsidR="002D7535" w:rsidRPr="00DF596E">
        <w:t xml:space="preserve">annual </w:t>
      </w:r>
      <w:r w:rsidR="00211870" w:rsidRPr="00DF596E">
        <w:t>adjustments</w:t>
      </w:r>
      <w:r w:rsidR="00CF11C5" w:rsidRPr="00DF596E">
        <w:t xml:space="preserve"> </w:t>
      </w:r>
      <w:r w:rsidR="002D7535" w:rsidRPr="00DF596E">
        <w:t xml:space="preserve">in the same manner </w:t>
      </w:r>
      <w:r w:rsidR="00197EE0" w:rsidRPr="00DF596E">
        <w:t>as</w:t>
      </w:r>
      <w:r w:rsidR="002D7535" w:rsidRPr="00DF596E">
        <w:t xml:space="preserve"> </w:t>
      </w:r>
      <w:r w:rsidR="00CF11C5" w:rsidRPr="00DF596E">
        <w:t>OSHA</w:t>
      </w:r>
      <w:r w:rsidR="00197EE0" w:rsidRPr="00DF596E">
        <w:t xml:space="preserve">’s. </w:t>
      </w:r>
      <w:r w:rsidR="002D7535" w:rsidRPr="00DF596E">
        <w:t xml:space="preserve"> </w:t>
      </w:r>
      <w:r w:rsidR="001D18B3" w:rsidRPr="00DF596E">
        <w:t xml:space="preserve">In FY 2023 and early 2024, DOSH </w:t>
      </w:r>
      <w:r w:rsidR="001D18B3" w:rsidRPr="00DF596E">
        <w:rPr>
          <w:rFonts w:cs="Calibri"/>
        </w:rPr>
        <w:t xml:space="preserve">worked with the WISHA Advisory Committee to look at approaches to increase average penalties.  In April 2024, DOSH initiated </w:t>
      </w:r>
      <w:r w:rsidR="001D18B3" w:rsidRPr="00DF596E">
        <w:t xml:space="preserve">rulemaking to implement a penalty structure escalator to catch up to OSHA’s and update annually based on inflation.  </w:t>
      </w:r>
      <w:r w:rsidR="00596918">
        <w:t>As of the end of the review period</w:t>
      </w:r>
      <w:r w:rsidR="001D18B3" w:rsidRPr="00DF596E">
        <w:t xml:space="preserve">, </w:t>
      </w:r>
      <w:r w:rsidR="00AA0650" w:rsidRPr="00DF596E">
        <w:t xml:space="preserve">the penalty structure </w:t>
      </w:r>
      <w:r w:rsidR="00596918">
        <w:t>wa</w:t>
      </w:r>
      <w:r w:rsidR="00695AE4" w:rsidRPr="00DF596E">
        <w:t xml:space="preserve">s not </w:t>
      </w:r>
      <w:r w:rsidR="007B0B84" w:rsidRPr="00DF596E">
        <w:t>fully aligned</w:t>
      </w:r>
      <w:r w:rsidR="00695AE4" w:rsidRPr="00DF596E">
        <w:t xml:space="preserve"> with </w:t>
      </w:r>
      <w:r w:rsidR="008C1E3A">
        <w:t>OSHA’s</w:t>
      </w:r>
      <w:r w:rsidR="00982633">
        <w:t>.</w:t>
      </w:r>
      <w:r w:rsidR="008C1E3A">
        <w:t xml:space="preserve"> </w:t>
      </w:r>
      <w:r w:rsidR="00982633">
        <w:t xml:space="preserve"> However</w:t>
      </w:r>
      <w:r w:rsidR="00596918">
        <w:t xml:space="preserve">, </w:t>
      </w:r>
      <w:r w:rsidR="00C37DD3">
        <w:t xml:space="preserve">as of February 17, 2025, </w:t>
      </w:r>
      <w:r w:rsidR="00E7425E">
        <w:t>DOSH adopted rules</w:t>
      </w:r>
      <w:r w:rsidR="001E06A8">
        <w:t xml:space="preserve"> </w:t>
      </w:r>
      <w:r w:rsidR="00B81E52">
        <w:t>for</w:t>
      </w:r>
      <w:r w:rsidR="005A75F2">
        <w:t xml:space="preserve"> the</w:t>
      </w:r>
      <w:r w:rsidR="008C1E3A">
        <w:t xml:space="preserve"> </w:t>
      </w:r>
      <w:r w:rsidR="005953D1">
        <w:t xml:space="preserve">penalty </w:t>
      </w:r>
      <w:r w:rsidR="005A75F2">
        <w:t xml:space="preserve">structure to </w:t>
      </w:r>
      <w:r w:rsidR="005953D1">
        <w:t>increase with inflation.  It is anticipated that the average penalties will increase during FY 2025 as a resul</w:t>
      </w:r>
      <w:r w:rsidR="006F7D3B">
        <w:t>t</w:t>
      </w:r>
      <w:r w:rsidR="005953D1">
        <w:t xml:space="preserve">.  </w:t>
      </w:r>
      <w:r w:rsidR="00CE7522" w:rsidRPr="00DF596E">
        <w:t>OSHA will continue to monitor DOSH’s progress on this metric into the next review period.</w:t>
      </w:r>
      <w:r w:rsidR="00CE7522">
        <w:t xml:space="preserve">  </w:t>
      </w:r>
      <w:r w:rsidR="00CF11C5">
        <w:t xml:space="preserve"> </w:t>
      </w:r>
    </w:p>
    <w:p w14:paraId="785D8926" w14:textId="77777777" w:rsidR="00CF11C5" w:rsidRDefault="00CF11C5" w:rsidP="004724F6">
      <w:pPr>
        <w:widowControl/>
        <w:autoSpaceDE/>
        <w:adjustRightInd/>
      </w:pPr>
    </w:p>
    <w:p w14:paraId="40E8D7E7" w14:textId="40D4904B" w:rsidR="00822324" w:rsidRDefault="00822324" w:rsidP="00F64342">
      <w:pPr>
        <w:widowControl/>
        <w:autoSpaceDE/>
        <w:adjustRightInd/>
        <w:rPr>
          <w:rFonts w:cs="Calibri"/>
          <w:b/>
          <w:bCs/>
        </w:rPr>
      </w:pPr>
      <w:r w:rsidRPr="00246BB1">
        <w:rPr>
          <w:rFonts w:cs="Calibri"/>
          <w:b/>
          <w:bCs/>
        </w:rPr>
        <w:t xml:space="preserve">SAMM </w:t>
      </w:r>
      <w:r>
        <w:rPr>
          <w:rFonts w:cs="Calibri"/>
          <w:b/>
          <w:bCs/>
        </w:rPr>
        <w:t>8a</w:t>
      </w:r>
      <w:r w:rsidRPr="00246BB1">
        <w:rPr>
          <w:rFonts w:cs="Calibri"/>
          <w:b/>
          <w:bCs/>
        </w:rPr>
        <w:t xml:space="preserve"> - </w:t>
      </w:r>
      <w:r w:rsidR="00F64342" w:rsidRPr="00F64342">
        <w:rPr>
          <w:rFonts w:cs="Calibri"/>
          <w:b/>
          <w:bCs/>
        </w:rPr>
        <w:t>Average current serious penalty in private sector (1-25 workers)</w:t>
      </w:r>
    </w:p>
    <w:p w14:paraId="0A7BA5D0" w14:textId="77777777" w:rsidR="00CB71D9" w:rsidRDefault="00CB71D9" w:rsidP="00822324">
      <w:pPr>
        <w:widowControl/>
        <w:autoSpaceDE/>
        <w:adjustRightInd/>
        <w:rPr>
          <w:rFonts w:cs="Calibri"/>
        </w:rPr>
      </w:pPr>
    </w:p>
    <w:p w14:paraId="76DC4B46" w14:textId="408D0098" w:rsidR="00CB71D9" w:rsidRPr="00CB71D9" w:rsidRDefault="00CB71D9" w:rsidP="00CB71D9">
      <w:pPr>
        <w:widowControl/>
        <w:autoSpaceDE/>
        <w:adjustRightInd/>
        <w:rPr>
          <w:rFonts w:cs="Calibri"/>
        </w:rPr>
      </w:pPr>
      <w:r w:rsidRPr="00CB71D9">
        <w:rPr>
          <w:rFonts w:cs="Calibri"/>
          <w:b/>
          <w:bCs/>
        </w:rPr>
        <w:t xml:space="preserve">Discussion of </w:t>
      </w:r>
      <w:r>
        <w:rPr>
          <w:rFonts w:cs="Calibri"/>
          <w:b/>
          <w:bCs/>
        </w:rPr>
        <w:t>Washington State Plan</w:t>
      </w:r>
      <w:r w:rsidRPr="00CB71D9">
        <w:rPr>
          <w:rFonts w:cs="Calibri"/>
          <w:b/>
          <w:bCs/>
        </w:rPr>
        <w:t xml:space="preserve"> data and FRL:  </w:t>
      </w:r>
      <w:r w:rsidRPr="00CB71D9">
        <w:rPr>
          <w:rFonts w:cs="Calibri"/>
        </w:rPr>
        <w:t xml:space="preserve">The FRL for the average current penalty for 1-25 workers was +/- 25% of $2,498.51, which was based on a three-year national average and provides a range of $1,873.88 to $3,123.14.  In </w:t>
      </w:r>
      <w:r w:rsidR="00BA491C">
        <w:rPr>
          <w:rFonts w:cs="Calibri"/>
        </w:rPr>
        <w:t>Washington</w:t>
      </w:r>
      <w:r w:rsidRPr="00CB71D9">
        <w:rPr>
          <w:rFonts w:cs="Calibri"/>
        </w:rPr>
        <w:t>, employers with 1-25 workers were penalized at an average of $1,</w:t>
      </w:r>
      <w:r w:rsidR="00BA491C">
        <w:rPr>
          <w:rFonts w:cs="Calibri"/>
        </w:rPr>
        <w:t>325</w:t>
      </w:r>
      <w:r w:rsidRPr="00CB71D9">
        <w:rPr>
          <w:rFonts w:cs="Calibri"/>
        </w:rPr>
        <w:t>.00 per serious violation, which was below the FRL range. </w:t>
      </w:r>
    </w:p>
    <w:p w14:paraId="7C40BD4E" w14:textId="77777777" w:rsidR="00CB71D9" w:rsidRPr="00CB71D9" w:rsidRDefault="00CB71D9" w:rsidP="00CB71D9">
      <w:pPr>
        <w:widowControl/>
        <w:autoSpaceDE/>
        <w:adjustRightInd/>
        <w:rPr>
          <w:rFonts w:cs="Calibri"/>
        </w:rPr>
      </w:pPr>
      <w:r w:rsidRPr="00CB71D9">
        <w:rPr>
          <w:rFonts w:cs="Calibri"/>
        </w:rPr>
        <w:t> </w:t>
      </w:r>
    </w:p>
    <w:p w14:paraId="461B09BD" w14:textId="47298BFF" w:rsidR="00822324" w:rsidRPr="004E230C" w:rsidRDefault="00CB71D9" w:rsidP="00822324">
      <w:pPr>
        <w:widowControl/>
        <w:autoSpaceDE/>
        <w:adjustRightInd/>
        <w:rPr>
          <w:rFonts w:cs="Calibri"/>
        </w:rPr>
      </w:pPr>
      <w:r w:rsidRPr="00CB71D9">
        <w:rPr>
          <w:rFonts w:cs="Calibri"/>
          <w:b/>
          <w:bCs/>
        </w:rPr>
        <w:t>Explanation:</w:t>
      </w:r>
      <w:r w:rsidRPr="00CB71D9">
        <w:rPr>
          <w:rFonts w:cs="Calibri"/>
        </w:rPr>
        <w:t xml:space="preserve">  </w:t>
      </w:r>
      <w:r w:rsidR="0016472F">
        <w:rPr>
          <w:rFonts w:cs="Calibri"/>
        </w:rPr>
        <w:t xml:space="preserve">Similar to the explanation in SAMM 8, </w:t>
      </w:r>
      <w:r w:rsidR="3BDF67E0" w:rsidRPr="5E2C4AF3">
        <w:rPr>
          <w:rFonts w:cs="Calibri"/>
        </w:rPr>
        <w:t>Washington</w:t>
      </w:r>
      <w:r w:rsidR="7740C5DC" w:rsidRPr="5E2C4AF3">
        <w:rPr>
          <w:rFonts w:cs="Calibri"/>
        </w:rPr>
        <w:t xml:space="preserve">’s average serious penalty for employers with 1-25 workers </w:t>
      </w:r>
      <w:r w:rsidR="005A4A67">
        <w:rPr>
          <w:rFonts w:cs="Calibri"/>
        </w:rPr>
        <w:t>decreased</w:t>
      </w:r>
      <w:r w:rsidR="7740C5DC" w:rsidRPr="5E2C4AF3">
        <w:rPr>
          <w:rFonts w:cs="Calibri"/>
        </w:rPr>
        <w:t xml:space="preserve"> from </w:t>
      </w:r>
      <w:r w:rsidR="7740C5DC" w:rsidRPr="674FF59B">
        <w:rPr>
          <w:rFonts w:cs="Calibri"/>
        </w:rPr>
        <w:t>$</w:t>
      </w:r>
      <w:r w:rsidR="289F3F4A" w:rsidRPr="674FF59B">
        <w:rPr>
          <w:rFonts w:cs="Calibri"/>
        </w:rPr>
        <w:t>1,343.00</w:t>
      </w:r>
      <w:r w:rsidR="7740C5DC" w:rsidRPr="5E2C4AF3">
        <w:rPr>
          <w:rFonts w:cs="Calibri"/>
        </w:rPr>
        <w:t xml:space="preserve"> in FY 2023.  OSHA will continue to monitor average penalties for serious citations into the next review period.</w:t>
      </w:r>
      <w:r w:rsidR="6963EFF1" w:rsidRPr="5E2C4AF3">
        <w:rPr>
          <w:rFonts w:cs="Calibri"/>
        </w:rPr>
        <w:t xml:space="preserve"> </w:t>
      </w:r>
    </w:p>
    <w:p w14:paraId="27FD711B" w14:textId="77777777" w:rsidR="00822324" w:rsidRDefault="00822324" w:rsidP="004724F6">
      <w:pPr>
        <w:widowControl/>
        <w:autoSpaceDE/>
        <w:adjustRightInd/>
        <w:rPr>
          <w:rFonts w:cs="Calibri"/>
        </w:rPr>
      </w:pPr>
    </w:p>
    <w:p w14:paraId="5920BBA1" w14:textId="4C4BFB7F" w:rsidR="00F64342" w:rsidRDefault="00F64342" w:rsidP="00625ED2">
      <w:pPr>
        <w:widowControl/>
        <w:autoSpaceDE/>
        <w:adjustRightInd/>
        <w:rPr>
          <w:rFonts w:cs="Calibri"/>
          <w:b/>
          <w:bCs/>
        </w:rPr>
      </w:pPr>
      <w:r w:rsidRPr="00246BB1">
        <w:rPr>
          <w:rFonts w:cs="Calibri"/>
          <w:b/>
          <w:bCs/>
        </w:rPr>
        <w:t xml:space="preserve">SAMM </w:t>
      </w:r>
      <w:r>
        <w:rPr>
          <w:rFonts w:cs="Calibri"/>
          <w:b/>
          <w:bCs/>
        </w:rPr>
        <w:t>8b</w:t>
      </w:r>
      <w:r w:rsidRPr="00246BB1">
        <w:rPr>
          <w:rFonts w:cs="Calibri"/>
          <w:b/>
          <w:bCs/>
        </w:rPr>
        <w:t xml:space="preserve"> - </w:t>
      </w:r>
      <w:r w:rsidR="00625ED2" w:rsidRPr="00625ED2">
        <w:rPr>
          <w:rFonts w:cs="Calibri"/>
          <w:b/>
          <w:bCs/>
        </w:rPr>
        <w:t>Average current serious penalty in private secto</w:t>
      </w:r>
      <w:r w:rsidR="00625ED2" w:rsidRPr="006D71B1">
        <w:rPr>
          <w:rFonts w:cs="Calibri"/>
          <w:b/>
          <w:bCs/>
        </w:rPr>
        <w:t>r (</w:t>
      </w:r>
      <w:r w:rsidR="00625ED2" w:rsidRPr="00B2728D">
        <w:rPr>
          <w:rFonts w:cs="Calibri"/>
          <w:b/>
        </w:rPr>
        <w:t>26-100</w:t>
      </w:r>
      <w:r w:rsidR="00625ED2" w:rsidRPr="00625ED2">
        <w:rPr>
          <w:rFonts w:cs="Calibri"/>
          <w:b/>
          <w:bCs/>
        </w:rPr>
        <w:t xml:space="preserve"> workers)</w:t>
      </w:r>
    </w:p>
    <w:p w14:paraId="775A8A86" w14:textId="77777777" w:rsidR="00625ED2" w:rsidRDefault="00625ED2" w:rsidP="00625ED2">
      <w:pPr>
        <w:widowControl/>
        <w:autoSpaceDE/>
        <w:adjustRightInd/>
        <w:rPr>
          <w:rFonts w:cs="Calibri"/>
          <w:b/>
          <w:bCs/>
        </w:rPr>
      </w:pPr>
    </w:p>
    <w:p w14:paraId="263C4B05" w14:textId="0BCA1367" w:rsidR="008665BE" w:rsidRPr="00625ED2" w:rsidRDefault="008665BE" w:rsidP="00625ED2">
      <w:pPr>
        <w:widowControl/>
        <w:autoSpaceDE/>
        <w:adjustRightInd/>
        <w:rPr>
          <w:rFonts w:cs="Calibri"/>
          <w:b/>
          <w:bCs/>
        </w:rPr>
      </w:pPr>
      <w:r w:rsidRPr="008665BE">
        <w:rPr>
          <w:rFonts w:cs="Calibri"/>
          <w:b/>
          <w:bCs/>
        </w:rPr>
        <w:t xml:space="preserve">Discussion of </w:t>
      </w:r>
      <w:r>
        <w:rPr>
          <w:rFonts w:cs="Calibri"/>
          <w:b/>
          <w:bCs/>
        </w:rPr>
        <w:t>Washington State Plan</w:t>
      </w:r>
      <w:r w:rsidRPr="008665BE">
        <w:rPr>
          <w:rFonts w:cs="Calibri"/>
          <w:b/>
          <w:bCs/>
        </w:rPr>
        <w:t xml:space="preserve"> data and FRL: </w:t>
      </w:r>
      <w:r w:rsidRPr="008665BE">
        <w:rPr>
          <w:rFonts w:cs="Calibri"/>
        </w:rPr>
        <w:t xml:space="preserve">The FRL for the average current penalty for 26-100 workers was +/- 25% of $4,322.61, which was based on a three-year national average and provides a range of $3,241.96 to $5,403.26.  In </w:t>
      </w:r>
      <w:r w:rsidR="00730325">
        <w:rPr>
          <w:rFonts w:cs="Calibri"/>
        </w:rPr>
        <w:t>Washington</w:t>
      </w:r>
      <w:r w:rsidRPr="008665BE">
        <w:rPr>
          <w:rFonts w:cs="Calibri"/>
        </w:rPr>
        <w:t xml:space="preserve">, employers with </w:t>
      </w:r>
      <w:r w:rsidR="006D71B1">
        <w:rPr>
          <w:rFonts w:cs="Calibri"/>
        </w:rPr>
        <w:t>26-100</w:t>
      </w:r>
      <w:r w:rsidRPr="008665BE">
        <w:rPr>
          <w:rFonts w:cs="Calibri"/>
        </w:rPr>
        <w:t xml:space="preserve"> workers were penalized at an average of $1,9</w:t>
      </w:r>
      <w:r w:rsidR="00730325">
        <w:rPr>
          <w:rFonts w:cs="Calibri"/>
        </w:rPr>
        <w:t>82.59</w:t>
      </w:r>
      <w:r w:rsidRPr="008665BE">
        <w:rPr>
          <w:rFonts w:cs="Calibri"/>
        </w:rPr>
        <w:t xml:space="preserve"> per serious violation, which was below the FRL range. </w:t>
      </w:r>
      <w:r w:rsidRPr="008665BE">
        <w:rPr>
          <w:rFonts w:cs="Calibri"/>
          <w:b/>
          <w:bCs/>
        </w:rPr>
        <w:t> </w:t>
      </w:r>
    </w:p>
    <w:p w14:paraId="21C46664" w14:textId="4392D2D9" w:rsidR="00F64342" w:rsidRPr="00246BB1" w:rsidRDefault="00F64342" w:rsidP="00F64342">
      <w:pPr>
        <w:widowControl/>
        <w:autoSpaceDE/>
        <w:adjustRightInd/>
        <w:rPr>
          <w:rFonts w:cs="Calibri"/>
        </w:rPr>
      </w:pPr>
    </w:p>
    <w:p w14:paraId="0698DB08" w14:textId="6D2EDD1B" w:rsidR="00F64342" w:rsidRDefault="62D600D3" w:rsidP="5991425A">
      <w:pPr>
        <w:widowControl/>
        <w:autoSpaceDE/>
        <w:adjustRightInd/>
        <w:rPr>
          <w:rFonts w:eastAsia="Calibri" w:cs="Calibri"/>
        </w:rPr>
      </w:pPr>
      <w:r w:rsidRPr="00966A16">
        <w:rPr>
          <w:rFonts w:cs="Calibri"/>
          <w:b/>
          <w:bCs/>
        </w:rPr>
        <w:t>Explanation:</w:t>
      </w:r>
      <w:r w:rsidRPr="5E2C4AF3">
        <w:rPr>
          <w:rFonts w:cs="Calibri"/>
        </w:rPr>
        <w:t xml:space="preserve"> </w:t>
      </w:r>
      <w:r w:rsidRPr="5E2C4AF3">
        <w:rPr>
          <w:rFonts w:eastAsia="Calibri" w:cs="Calibri"/>
        </w:rPr>
        <w:t xml:space="preserve"> </w:t>
      </w:r>
      <w:r w:rsidR="00966A16">
        <w:rPr>
          <w:rFonts w:eastAsia="Calibri" w:cs="Calibri"/>
        </w:rPr>
        <w:t xml:space="preserve">Similar to the explanation in SAMM 8, </w:t>
      </w:r>
      <w:r w:rsidR="1D8F6F62" w:rsidRPr="1DA0480B">
        <w:rPr>
          <w:rFonts w:eastAsia="Calibri" w:cs="Calibri"/>
          <w:color w:val="000000" w:themeColor="text1"/>
        </w:rPr>
        <w:t>Washi</w:t>
      </w:r>
      <w:r w:rsidR="109CEE08" w:rsidRPr="1DA0480B">
        <w:rPr>
          <w:rFonts w:eastAsia="Calibri" w:cs="Calibri"/>
          <w:color w:val="000000" w:themeColor="text1"/>
        </w:rPr>
        <w:t>n</w:t>
      </w:r>
      <w:r w:rsidR="31A550B9" w:rsidRPr="1DA0480B">
        <w:rPr>
          <w:rFonts w:eastAsia="Calibri" w:cs="Calibri"/>
          <w:color w:val="000000" w:themeColor="text1"/>
        </w:rPr>
        <w:t>gton</w:t>
      </w:r>
      <w:r w:rsidR="109CEE08" w:rsidRPr="1DA0480B">
        <w:rPr>
          <w:rFonts w:eastAsia="Calibri" w:cs="Calibri"/>
          <w:color w:val="000000" w:themeColor="text1"/>
        </w:rPr>
        <w:t>’s</w:t>
      </w:r>
      <w:r w:rsidR="109CEE08" w:rsidRPr="5E2C4AF3">
        <w:rPr>
          <w:rFonts w:eastAsia="Calibri" w:cs="Calibri"/>
          <w:color w:val="000000" w:themeColor="text1"/>
        </w:rPr>
        <w:t xml:space="preserve"> average serious penalty for employers with 26-100 workers </w:t>
      </w:r>
      <w:r w:rsidR="00966A16">
        <w:rPr>
          <w:rFonts w:eastAsia="Calibri" w:cs="Calibri"/>
          <w:color w:val="000000" w:themeColor="text1"/>
        </w:rPr>
        <w:t>decreased</w:t>
      </w:r>
      <w:r w:rsidR="109CEE08" w:rsidRPr="5E2C4AF3">
        <w:rPr>
          <w:rFonts w:eastAsia="Calibri" w:cs="Calibri"/>
          <w:color w:val="000000" w:themeColor="text1"/>
        </w:rPr>
        <w:t xml:space="preserve"> from </w:t>
      </w:r>
      <w:r w:rsidR="109CEE08" w:rsidRPr="674FF59B">
        <w:rPr>
          <w:rFonts w:eastAsia="Calibri" w:cs="Calibri"/>
        </w:rPr>
        <w:t>$</w:t>
      </w:r>
      <w:r w:rsidR="4B9A9465" w:rsidRPr="674FF59B">
        <w:rPr>
          <w:rFonts w:eastAsia="Calibri" w:cs="Calibri"/>
        </w:rPr>
        <w:t>2,201.70</w:t>
      </w:r>
      <w:r w:rsidR="109CEE08" w:rsidRPr="5E2C4AF3">
        <w:rPr>
          <w:rFonts w:eastAsia="Calibri" w:cs="Calibri"/>
          <w:color w:val="000000" w:themeColor="text1"/>
        </w:rPr>
        <w:t xml:space="preserve"> in FY 2023.  OSHA will continue to monitor average penalties for serious citations into the next review period.</w:t>
      </w:r>
      <w:r w:rsidR="4A564EF6" w:rsidRPr="1DA0480B">
        <w:rPr>
          <w:rFonts w:cs="Calibri"/>
        </w:rPr>
        <w:t xml:space="preserve"> </w:t>
      </w:r>
    </w:p>
    <w:p w14:paraId="31948CAC" w14:textId="77777777" w:rsidR="00287E09" w:rsidRDefault="00287E09" w:rsidP="00F64342">
      <w:pPr>
        <w:widowControl/>
        <w:autoSpaceDE/>
        <w:adjustRightInd/>
        <w:rPr>
          <w:rFonts w:cs="Calibri"/>
        </w:rPr>
      </w:pPr>
    </w:p>
    <w:p w14:paraId="7D92A2FF" w14:textId="5EED1769" w:rsidR="00287E09" w:rsidRDefault="00287E09" w:rsidP="00DD78DA">
      <w:pPr>
        <w:widowControl/>
        <w:autoSpaceDE/>
        <w:adjustRightInd/>
        <w:rPr>
          <w:rFonts w:cs="Calibri"/>
          <w:b/>
          <w:bCs/>
        </w:rPr>
      </w:pPr>
      <w:r w:rsidRPr="00246BB1">
        <w:rPr>
          <w:rFonts w:cs="Calibri"/>
          <w:b/>
          <w:bCs/>
        </w:rPr>
        <w:t xml:space="preserve">SAMM </w:t>
      </w:r>
      <w:r>
        <w:rPr>
          <w:rFonts w:cs="Calibri"/>
          <w:b/>
          <w:bCs/>
        </w:rPr>
        <w:t>8c</w:t>
      </w:r>
      <w:r w:rsidRPr="00246BB1">
        <w:rPr>
          <w:rFonts w:cs="Calibri"/>
          <w:b/>
          <w:bCs/>
        </w:rPr>
        <w:t xml:space="preserve"> - </w:t>
      </w:r>
      <w:r w:rsidR="00DD78DA" w:rsidRPr="00DD78DA">
        <w:rPr>
          <w:rFonts w:cs="Calibri"/>
          <w:b/>
          <w:bCs/>
        </w:rPr>
        <w:t>Average current serious penalty in private sector</w:t>
      </w:r>
      <w:r w:rsidR="00DD78DA">
        <w:rPr>
          <w:rFonts w:cs="Calibri"/>
          <w:b/>
          <w:bCs/>
        </w:rPr>
        <w:t xml:space="preserve"> </w:t>
      </w:r>
      <w:r w:rsidR="00DD78DA" w:rsidRPr="00DD78DA">
        <w:rPr>
          <w:rFonts w:cs="Calibri"/>
          <w:b/>
          <w:bCs/>
        </w:rPr>
        <w:t>(101-250 workers)</w:t>
      </w:r>
    </w:p>
    <w:p w14:paraId="7D840961" w14:textId="77777777" w:rsidR="00287E09" w:rsidRDefault="00287E09" w:rsidP="00287E09">
      <w:pPr>
        <w:widowControl/>
        <w:autoSpaceDE/>
        <w:adjustRightInd/>
        <w:rPr>
          <w:rFonts w:cs="Calibri"/>
          <w:b/>
          <w:bCs/>
        </w:rPr>
      </w:pPr>
    </w:p>
    <w:p w14:paraId="58EBEDD9" w14:textId="7E768F0F" w:rsidR="00A461F3" w:rsidRDefault="00A461F3" w:rsidP="00287E09">
      <w:pPr>
        <w:widowControl/>
        <w:autoSpaceDE/>
        <w:adjustRightInd/>
        <w:rPr>
          <w:rFonts w:cs="Calibri"/>
          <w:b/>
          <w:bCs/>
        </w:rPr>
      </w:pPr>
      <w:r w:rsidRPr="00A461F3">
        <w:rPr>
          <w:rFonts w:cs="Calibri"/>
          <w:b/>
          <w:bCs/>
        </w:rPr>
        <w:t xml:space="preserve">Discussion of </w:t>
      </w:r>
      <w:r>
        <w:rPr>
          <w:rFonts w:cs="Calibri"/>
          <w:b/>
          <w:bCs/>
        </w:rPr>
        <w:t>Washington S</w:t>
      </w:r>
      <w:r w:rsidR="00381E24">
        <w:rPr>
          <w:rFonts w:cs="Calibri"/>
          <w:b/>
          <w:bCs/>
        </w:rPr>
        <w:t>tate Plan</w:t>
      </w:r>
      <w:r w:rsidRPr="00A461F3">
        <w:rPr>
          <w:rFonts w:cs="Calibri"/>
          <w:b/>
          <w:bCs/>
        </w:rPr>
        <w:t xml:space="preserve"> data and FRL: </w:t>
      </w:r>
      <w:r w:rsidRPr="00A461F3">
        <w:rPr>
          <w:rFonts w:cs="Calibri"/>
        </w:rPr>
        <w:t xml:space="preserve">The FRL for the average current penalty for 101-250 workers was +/- 25% of $6,114.84, which was based on a three-year national average and provides a range of $4,586.13 to $7,643.55.  In </w:t>
      </w:r>
      <w:r w:rsidR="00381E24">
        <w:rPr>
          <w:rFonts w:cs="Calibri"/>
        </w:rPr>
        <w:t>Washington</w:t>
      </w:r>
      <w:r w:rsidRPr="00A461F3">
        <w:rPr>
          <w:rFonts w:cs="Calibri"/>
        </w:rPr>
        <w:t>, employers with 101-250 workers were penalized at an average of $</w:t>
      </w:r>
      <w:r w:rsidR="00381E24">
        <w:rPr>
          <w:rFonts w:cs="Calibri"/>
        </w:rPr>
        <w:t>2,828.44</w:t>
      </w:r>
      <w:r w:rsidRPr="00A461F3">
        <w:rPr>
          <w:rFonts w:cs="Calibri"/>
        </w:rPr>
        <w:t xml:space="preserve"> per serious violation, which was below the FRL range.  </w:t>
      </w:r>
      <w:r w:rsidRPr="00A461F3">
        <w:rPr>
          <w:rFonts w:cs="Calibri"/>
          <w:b/>
          <w:bCs/>
        </w:rPr>
        <w:t> </w:t>
      </w:r>
    </w:p>
    <w:p w14:paraId="4A00C892" w14:textId="77B4C9D5" w:rsidR="00287E09" w:rsidRPr="00246BB1" w:rsidRDefault="00287E09" w:rsidP="00287E09">
      <w:pPr>
        <w:widowControl/>
        <w:autoSpaceDE/>
        <w:adjustRightInd/>
        <w:rPr>
          <w:rFonts w:cs="Calibri"/>
        </w:rPr>
      </w:pPr>
    </w:p>
    <w:p w14:paraId="1B1B7071" w14:textId="39BF74C7" w:rsidR="00287E09" w:rsidRDefault="2E9E115B" w:rsidP="00287E09">
      <w:pPr>
        <w:widowControl/>
        <w:autoSpaceDE/>
        <w:adjustRightInd/>
        <w:rPr>
          <w:rFonts w:cs="Calibri"/>
        </w:rPr>
      </w:pPr>
      <w:r w:rsidRPr="00381E24">
        <w:rPr>
          <w:rFonts w:cs="Calibri"/>
          <w:b/>
          <w:bCs/>
        </w:rPr>
        <w:t>Explanation:</w:t>
      </w:r>
      <w:r w:rsidRPr="5991425A">
        <w:rPr>
          <w:rFonts w:cs="Calibri"/>
        </w:rPr>
        <w:t xml:space="preserve">  </w:t>
      </w:r>
      <w:r w:rsidR="00381E24">
        <w:rPr>
          <w:rFonts w:cs="Calibri"/>
        </w:rPr>
        <w:t xml:space="preserve">Similar to the explanation in SAMM 8, </w:t>
      </w:r>
      <w:r w:rsidR="4E64ADE5" w:rsidRPr="018CA1DA">
        <w:rPr>
          <w:rFonts w:cs="Calibri"/>
        </w:rPr>
        <w:t>Washington</w:t>
      </w:r>
      <w:r w:rsidR="5CD2815E" w:rsidRPr="018CA1DA">
        <w:rPr>
          <w:rFonts w:cs="Calibri"/>
        </w:rPr>
        <w:t xml:space="preserve">’s average serious penalty for employers with 101-250 workers </w:t>
      </w:r>
      <w:r w:rsidR="00381E24">
        <w:rPr>
          <w:rFonts w:cs="Calibri"/>
        </w:rPr>
        <w:t>decreased</w:t>
      </w:r>
      <w:r w:rsidR="5CD2815E" w:rsidRPr="018CA1DA">
        <w:rPr>
          <w:rFonts w:cs="Calibri"/>
        </w:rPr>
        <w:t xml:space="preserve"> from </w:t>
      </w:r>
      <w:r w:rsidR="5CD2815E" w:rsidRPr="674FF59B">
        <w:rPr>
          <w:rFonts w:eastAsia="Calibri" w:cs="Calibri"/>
        </w:rPr>
        <w:t>$</w:t>
      </w:r>
      <w:r w:rsidR="25E408F7" w:rsidRPr="674FF59B">
        <w:rPr>
          <w:rFonts w:eastAsia="Calibri" w:cs="Calibri"/>
        </w:rPr>
        <w:t>3,493.80</w:t>
      </w:r>
      <w:r w:rsidR="5CD2815E" w:rsidRPr="018CA1DA">
        <w:rPr>
          <w:rFonts w:cs="Calibri"/>
        </w:rPr>
        <w:t xml:space="preserve"> in FY 2023. </w:t>
      </w:r>
      <w:r w:rsidR="00766F78">
        <w:rPr>
          <w:rFonts w:cs="Calibri"/>
        </w:rPr>
        <w:t xml:space="preserve"> </w:t>
      </w:r>
      <w:r w:rsidR="5CD2815E" w:rsidRPr="018CA1DA">
        <w:rPr>
          <w:rFonts w:cs="Calibri"/>
        </w:rPr>
        <w:t>OSHA will continue to monitor average penalties for serious citations into the next review period.</w:t>
      </w:r>
      <w:r w:rsidR="219F162D" w:rsidRPr="018CA1DA">
        <w:rPr>
          <w:rFonts w:cs="Calibri"/>
        </w:rPr>
        <w:t xml:space="preserve"> </w:t>
      </w:r>
    </w:p>
    <w:p w14:paraId="70950588" w14:textId="77777777" w:rsidR="00DD78DA" w:rsidRDefault="00DD78DA" w:rsidP="00287E09">
      <w:pPr>
        <w:widowControl/>
        <w:autoSpaceDE/>
        <w:adjustRightInd/>
        <w:rPr>
          <w:rFonts w:cs="Calibri"/>
        </w:rPr>
      </w:pPr>
    </w:p>
    <w:p w14:paraId="72427C35" w14:textId="3DB62FE2" w:rsidR="00DD78DA" w:rsidRDefault="00DD78DA" w:rsidP="003765FD">
      <w:pPr>
        <w:widowControl/>
        <w:autoSpaceDE/>
        <w:adjustRightInd/>
        <w:rPr>
          <w:rFonts w:cs="Calibri"/>
          <w:b/>
          <w:bCs/>
        </w:rPr>
      </w:pPr>
      <w:r w:rsidRPr="00246BB1">
        <w:rPr>
          <w:rFonts w:cs="Calibri"/>
          <w:b/>
          <w:bCs/>
        </w:rPr>
        <w:t xml:space="preserve">SAMM </w:t>
      </w:r>
      <w:r>
        <w:rPr>
          <w:rFonts w:cs="Calibri"/>
          <w:b/>
          <w:bCs/>
        </w:rPr>
        <w:t>8d</w:t>
      </w:r>
      <w:r w:rsidRPr="00246BB1">
        <w:rPr>
          <w:rFonts w:cs="Calibri"/>
          <w:b/>
          <w:bCs/>
        </w:rPr>
        <w:t xml:space="preserve"> - </w:t>
      </w:r>
      <w:r w:rsidR="003765FD" w:rsidRPr="003765FD">
        <w:rPr>
          <w:rFonts w:cs="Calibri"/>
          <w:b/>
          <w:bCs/>
        </w:rPr>
        <w:t>Average current serious penalty in private sector</w:t>
      </w:r>
      <w:r w:rsidR="003765FD">
        <w:rPr>
          <w:rFonts w:cs="Calibri"/>
          <w:b/>
          <w:bCs/>
        </w:rPr>
        <w:t xml:space="preserve"> </w:t>
      </w:r>
      <w:r w:rsidR="003765FD" w:rsidRPr="003765FD">
        <w:rPr>
          <w:rFonts w:cs="Calibri"/>
          <w:b/>
          <w:bCs/>
        </w:rPr>
        <w:t>(greater than 250 workers)</w:t>
      </w:r>
    </w:p>
    <w:p w14:paraId="7BA3F2BD" w14:textId="77777777" w:rsidR="00DD78DA" w:rsidRDefault="00DD78DA" w:rsidP="00DD78DA">
      <w:pPr>
        <w:widowControl/>
        <w:autoSpaceDE/>
        <w:adjustRightInd/>
        <w:rPr>
          <w:rFonts w:cs="Calibri"/>
          <w:b/>
          <w:bCs/>
        </w:rPr>
      </w:pPr>
    </w:p>
    <w:p w14:paraId="38786992" w14:textId="3A738D6C" w:rsidR="00105E41" w:rsidRDefault="00105E41" w:rsidP="00DD78DA">
      <w:pPr>
        <w:widowControl/>
        <w:autoSpaceDE/>
        <w:adjustRightInd/>
        <w:rPr>
          <w:rFonts w:cs="Calibri"/>
          <w:b/>
          <w:bCs/>
        </w:rPr>
      </w:pPr>
      <w:r w:rsidRPr="00105E41">
        <w:rPr>
          <w:rFonts w:cs="Calibri"/>
          <w:b/>
          <w:bCs/>
        </w:rPr>
        <w:t xml:space="preserve">Discussion of </w:t>
      </w:r>
      <w:r>
        <w:rPr>
          <w:rFonts w:cs="Calibri"/>
          <w:b/>
          <w:bCs/>
        </w:rPr>
        <w:t>Washington State Plan</w:t>
      </w:r>
      <w:r w:rsidRPr="00105E41">
        <w:rPr>
          <w:rFonts w:cs="Calibri"/>
          <w:b/>
          <w:bCs/>
        </w:rPr>
        <w:t xml:space="preserve"> data and FRL: </w:t>
      </w:r>
      <w:r w:rsidRPr="00105E41">
        <w:rPr>
          <w:rFonts w:cs="Calibri"/>
        </w:rPr>
        <w:t xml:space="preserve">The FRL for the average current penalty for 250 or more workers was +/- 25% of $7,533.58, which was based on a three-year national average and provides a range of $5,650.19 to $9,416.98.  In </w:t>
      </w:r>
      <w:r w:rsidR="00766F78">
        <w:rPr>
          <w:rFonts w:cs="Calibri"/>
        </w:rPr>
        <w:t>Washington</w:t>
      </w:r>
      <w:r w:rsidRPr="00105E41">
        <w:rPr>
          <w:rFonts w:cs="Calibri"/>
        </w:rPr>
        <w:t>, employers with greater than 250 workers were penalized at an average of $</w:t>
      </w:r>
      <w:r w:rsidR="00766F78">
        <w:rPr>
          <w:rFonts w:cs="Calibri"/>
        </w:rPr>
        <w:t>3,495.99</w:t>
      </w:r>
      <w:r w:rsidRPr="00105E41">
        <w:rPr>
          <w:rFonts w:cs="Calibri"/>
        </w:rPr>
        <w:t xml:space="preserve"> per serious violation, which was below the FRL range.  </w:t>
      </w:r>
      <w:r w:rsidRPr="00105E41">
        <w:rPr>
          <w:rFonts w:cs="Calibri"/>
          <w:b/>
          <w:bCs/>
        </w:rPr>
        <w:t> </w:t>
      </w:r>
    </w:p>
    <w:p w14:paraId="2F3E6605" w14:textId="77777777" w:rsidR="00105E41" w:rsidRPr="00625ED2" w:rsidRDefault="00105E41" w:rsidP="00DD78DA">
      <w:pPr>
        <w:widowControl/>
        <w:autoSpaceDE/>
        <w:adjustRightInd/>
        <w:rPr>
          <w:rFonts w:cs="Calibri"/>
          <w:b/>
          <w:bCs/>
        </w:rPr>
      </w:pPr>
    </w:p>
    <w:p w14:paraId="6A35A9C2" w14:textId="2F4F902F" w:rsidR="00DD78DA" w:rsidRDefault="6B458305" w:rsidP="5991425A">
      <w:pPr>
        <w:widowControl/>
        <w:autoSpaceDE/>
        <w:adjustRightInd/>
        <w:rPr>
          <w:rFonts w:cs="Calibri"/>
          <w:highlight w:val="yellow"/>
        </w:rPr>
      </w:pPr>
      <w:r w:rsidRPr="00766F78">
        <w:rPr>
          <w:rFonts w:cs="Calibri"/>
          <w:b/>
          <w:bCs/>
        </w:rPr>
        <w:t>Explanation:</w:t>
      </w:r>
      <w:r w:rsidRPr="5991425A">
        <w:rPr>
          <w:rFonts w:cs="Calibri"/>
        </w:rPr>
        <w:t xml:space="preserve">  </w:t>
      </w:r>
      <w:r w:rsidR="00766F78">
        <w:rPr>
          <w:rFonts w:cs="Calibri"/>
        </w:rPr>
        <w:t xml:space="preserve">Similar to the explanation in SAMM 8, </w:t>
      </w:r>
      <w:r w:rsidR="3DAC7860" w:rsidRPr="018CA1DA">
        <w:rPr>
          <w:rFonts w:cs="Calibri"/>
        </w:rPr>
        <w:t>Washi</w:t>
      </w:r>
      <w:r w:rsidR="6EA4BCB2" w:rsidRPr="018CA1DA">
        <w:rPr>
          <w:rFonts w:cs="Calibri"/>
        </w:rPr>
        <w:t>n</w:t>
      </w:r>
      <w:r w:rsidR="3DAC7860" w:rsidRPr="018CA1DA">
        <w:rPr>
          <w:rFonts w:cs="Calibri"/>
        </w:rPr>
        <w:t>ton</w:t>
      </w:r>
      <w:r w:rsidR="6EA4BCB2" w:rsidRPr="018CA1DA">
        <w:rPr>
          <w:rFonts w:cs="Calibri"/>
        </w:rPr>
        <w:t xml:space="preserve">’s average serious penalty for employers with 250 or more workers </w:t>
      </w:r>
      <w:r w:rsidR="00766F78">
        <w:rPr>
          <w:rFonts w:cs="Calibri"/>
        </w:rPr>
        <w:t>decreased</w:t>
      </w:r>
      <w:r w:rsidR="6EA4BCB2" w:rsidRPr="018CA1DA">
        <w:rPr>
          <w:rFonts w:cs="Calibri"/>
        </w:rPr>
        <w:t xml:space="preserve"> from </w:t>
      </w:r>
      <w:r w:rsidR="6EA4BCB2" w:rsidRPr="674FF59B">
        <w:rPr>
          <w:rFonts w:eastAsia="Calibri" w:cs="Calibri"/>
        </w:rPr>
        <w:t>$</w:t>
      </w:r>
      <w:r w:rsidR="606209D1" w:rsidRPr="674FF59B">
        <w:rPr>
          <w:rFonts w:eastAsia="Calibri" w:cs="Calibri"/>
        </w:rPr>
        <w:t>3,544.96</w:t>
      </w:r>
      <w:r w:rsidR="6EA4BCB2" w:rsidRPr="018CA1DA">
        <w:rPr>
          <w:rFonts w:cs="Calibri"/>
        </w:rPr>
        <w:t xml:space="preserve"> in FY 2023. </w:t>
      </w:r>
      <w:r w:rsidR="00766F78">
        <w:rPr>
          <w:rFonts w:cs="Calibri"/>
        </w:rPr>
        <w:t xml:space="preserve"> </w:t>
      </w:r>
      <w:r w:rsidR="6EA4BCB2" w:rsidRPr="018CA1DA">
        <w:rPr>
          <w:rFonts w:cs="Calibri"/>
        </w:rPr>
        <w:t>OSHA will continue to monitor average penalties for serious citations into the next review period.</w:t>
      </w:r>
      <w:r w:rsidR="12F7E3DC" w:rsidRPr="018CA1DA">
        <w:rPr>
          <w:rFonts w:cs="Calibri"/>
        </w:rPr>
        <w:t xml:space="preserve"> </w:t>
      </w:r>
    </w:p>
    <w:p w14:paraId="23C3D4CE" w14:textId="7CAD32EB" w:rsidR="00B90ACD" w:rsidRDefault="00B90ACD" w:rsidP="004724F6">
      <w:pPr>
        <w:widowControl/>
        <w:autoSpaceDE/>
        <w:adjustRightInd/>
        <w:rPr>
          <w:rFonts w:cs="Calibri"/>
        </w:rPr>
      </w:pPr>
    </w:p>
    <w:p w14:paraId="63C77533" w14:textId="72C0D5DF" w:rsidR="00B90ACD" w:rsidRDefault="00B90ACD" w:rsidP="00B90ACD">
      <w:pPr>
        <w:widowControl/>
        <w:autoSpaceDE/>
        <w:adjustRightInd/>
        <w:rPr>
          <w:rFonts w:cs="Calibri"/>
          <w:b/>
          <w:bCs/>
        </w:rPr>
      </w:pPr>
      <w:r w:rsidRPr="00B90ACD">
        <w:rPr>
          <w:rFonts w:cs="Calibri"/>
          <w:b/>
          <w:bCs/>
        </w:rPr>
        <w:t>SAMM 9</w:t>
      </w:r>
      <w:r w:rsidR="003765FD">
        <w:rPr>
          <w:rFonts w:cs="Calibri"/>
          <w:b/>
          <w:bCs/>
        </w:rPr>
        <w:t>b</w:t>
      </w:r>
      <w:r w:rsidRPr="00B90ACD">
        <w:rPr>
          <w:rFonts w:cs="Calibri"/>
          <w:b/>
          <w:bCs/>
        </w:rPr>
        <w:t xml:space="preserve"> - </w:t>
      </w:r>
      <w:r w:rsidR="00D02A5E" w:rsidRPr="00D02A5E">
        <w:rPr>
          <w:rFonts w:cs="Calibri"/>
          <w:b/>
          <w:bCs/>
        </w:rPr>
        <w:t>Percent in compliance (health)</w:t>
      </w:r>
    </w:p>
    <w:p w14:paraId="109EBD51" w14:textId="77777777" w:rsidR="00B90ACD" w:rsidRPr="00B90ACD" w:rsidRDefault="00B90ACD" w:rsidP="00B90ACD">
      <w:pPr>
        <w:widowControl/>
        <w:autoSpaceDE/>
        <w:adjustRightInd/>
        <w:rPr>
          <w:rFonts w:cs="Calibri"/>
        </w:rPr>
      </w:pPr>
    </w:p>
    <w:p w14:paraId="75FE11FA" w14:textId="36648C48" w:rsidR="003A08D9" w:rsidRPr="003A08D9" w:rsidRDefault="003A08D9" w:rsidP="00B90ACD">
      <w:pPr>
        <w:widowControl/>
        <w:autoSpaceDE/>
        <w:adjustRightInd/>
        <w:rPr>
          <w:rFonts w:cs="Calibri"/>
          <w:b/>
          <w:bCs/>
        </w:rPr>
      </w:pPr>
      <w:r w:rsidRPr="003A08D9">
        <w:rPr>
          <w:rFonts w:cs="Calibri"/>
          <w:b/>
          <w:bCs/>
        </w:rPr>
        <w:t xml:space="preserve">Discussion of </w:t>
      </w:r>
      <w:r>
        <w:rPr>
          <w:rFonts w:cs="Calibri"/>
          <w:b/>
          <w:bCs/>
        </w:rPr>
        <w:t>Washington State Plan</w:t>
      </w:r>
      <w:r w:rsidRPr="003A08D9">
        <w:rPr>
          <w:rFonts w:cs="Calibri"/>
          <w:b/>
          <w:bCs/>
        </w:rPr>
        <w:t xml:space="preserve"> data and FRL: </w:t>
      </w:r>
      <w:r w:rsidRPr="003A08D9">
        <w:rPr>
          <w:rFonts w:cs="Calibri"/>
        </w:rPr>
        <w:t xml:space="preserve">The FRL for percent in compliance for health inspections (SAMM 9b) is +/- 20% of 44.18%, which was based on a three-year national average and provides an acceptable range of 35.34% to 53.01%.  According to Appendix D, </w:t>
      </w:r>
      <w:r>
        <w:rPr>
          <w:rFonts w:cs="Calibri"/>
        </w:rPr>
        <w:t>Washington’s</w:t>
      </w:r>
      <w:r w:rsidRPr="003A08D9">
        <w:rPr>
          <w:rFonts w:cs="Calibri"/>
        </w:rPr>
        <w:t xml:space="preserve"> percent in compliance for health inspections was </w:t>
      </w:r>
      <w:r>
        <w:rPr>
          <w:rFonts w:cs="Calibri"/>
        </w:rPr>
        <w:t>29.62%</w:t>
      </w:r>
      <w:r w:rsidRPr="003A08D9">
        <w:rPr>
          <w:rFonts w:cs="Calibri"/>
        </w:rPr>
        <w:t xml:space="preserve"> and below the FRL. </w:t>
      </w:r>
      <w:r w:rsidRPr="003A08D9">
        <w:rPr>
          <w:rFonts w:cs="Calibri"/>
          <w:b/>
          <w:bCs/>
        </w:rPr>
        <w:t> </w:t>
      </w:r>
    </w:p>
    <w:p w14:paraId="5F2C767A" w14:textId="77777777" w:rsidR="003A08D9" w:rsidRDefault="003A08D9" w:rsidP="00B90ACD">
      <w:pPr>
        <w:widowControl/>
        <w:autoSpaceDE/>
        <w:adjustRightInd/>
        <w:rPr>
          <w:rFonts w:cs="Calibri"/>
          <w:u w:val="single"/>
        </w:rPr>
      </w:pPr>
    </w:p>
    <w:p w14:paraId="1B875E34" w14:textId="38698D0E" w:rsidR="00B90ACD" w:rsidRPr="006B5F60" w:rsidRDefault="7C80E46B" w:rsidP="00230724">
      <w:pPr>
        <w:widowControl/>
        <w:autoSpaceDE/>
        <w:adjustRightInd/>
        <w:rPr>
          <w:rFonts w:cs="Calibri"/>
        </w:rPr>
      </w:pPr>
      <w:r w:rsidRPr="003A08D9">
        <w:rPr>
          <w:rFonts w:cs="Calibri"/>
          <w:b/>
          <w:bCs/>
        </w:rPr>
        <w:t>Explanation:</w:t>
      </w:r>
      <w:r w:rsidR="003A08D9">
        <w:rPr>
          <w:rFonts w:cs="Calibri"/>
        </w:rPr>
        <w:t xml:space="preserve"> </w:t>
      </w:r>
      <w:r w:rsidR="48A3E9AE">
        <w:t xml:space="preserve">In FY 2024, </w:t>
      </w:r>
      <w:r w:rsidR="16F9CEF6">
        <w:t>Washington</w:t>
      </w:r>
      <w:r w:rsidR="48A3E9AE">
        <w:t xml:space="preserve"> issued </w:t>
      </w:r>
      <w:r w:rsidR="00CD71F9">
        <w:t xml:space="preserve">citations in </w:t>
      </w:r>
      <w:r w:rsidR="003A08D9">
        <w:t xml:space="preserve">a greater number of </w:t>
      </w:r>
      <w:r w:rsidR="48A3E9AE">
        <w:t xml:space="preserve">health inspections, lowering the in-compliance rate. </w:t>
      </w:r>
      <w:r w:rsidR="00CD71F9">
        <w:t xml:space="preserve"> This indicates that Washington performed better than the national average at </w:t>
      </w:r>
      <w:r w:rsidR="00125AC1">
        <w:t xml:space="preserve">targeting workplaces with hazards and/or </w:t>
      </w:r>
      <w:r w:rsidR="00CD71F9">
        <w:t xml:space="preserve">identifying health hazards.  </w:t>
      </w:r>
      <w:r w:rsidRPr="018CA1DA">
        <w:rPr>
          <w:rFonts w:cs="Calibri"/>
        </w:rPr>
        <w:t xml:space="preserve">The </w:t>
      </w:r>
      <w:r w:rsidR="00125AC1">
        <w:rPr>
          <w:rFonts w:cs="Calibri"/>
        </w:rPr>
        <w:t>low in-compliance rate for health inspections</w:t>
      </w:r>
      <w:r w:rsidRPr="018CA1DA">
        <w:rPr>
          <w:rFonts w:cs="Calibri"/>
        </w:rPr>
        <w:t xml:space="preserve"> was not a cause for concern.</w:t>
      </w:r>
    </w:p>
    <w:p w14:paraId="4DD4CBB7" w14:textId="77777777" w:rsidR="000A134A" w:rsidRPr="001C1E47" w:rsidRDefault="000A134A" w:rsidP="007A71AC">
      <w:pPr>
        <w:widowControl/>
        <w:autoSpaceDE/>
        <w:autoSpaceDN/>
        <w:adjustRightInd/>
        <w:rPr>
          <w:rFonts w:cs="Calibri"/>
        </w:rPr>
      </w:pPr>
    </w:p>
    <w:p w14:paraId="0595A3C8" w14:textId="0DC40C22" w:rsidR="008A1E3E" w:rsidRDefault="008A1E3E" w:rsidP="008A1E3E">
      <w:pPr>
        <w:widowControl/>
        <w:autoSpaceDE/>
        <w:adjustRightInd/>
        <w:rPr>
          <w:rFonts w:cs="Calibri"/>
          <w:b/>
          <w:bCs/>
        </w:rPr>
      </w:pPr>
      <w:r w:rsidRPr="00B90ACD">
        <w:rPr>
          <w:rFonts w:cs="Calibri"/>
          <w:b/>
          <w:bCs/>
        </w:rPr>
        <w:t xml:space="preserve">SAMM </w:t>
      </w:r>
      <w:r>
        <w:rPr>
          <w:rFonts w:cs="Calibri"/>
          <w:b/>
          <w:bCs/>
        </w:rPr>
        <w:t>11a</w:t>
      </w:r>
      <w:r w:rsidRPr="00B90ACD">
        <w:rPr>
          <w:rFonts w:cs="Calibri"/>
          <w:b/>
          <w:bCs/>
        </w:rPr>
        <w:t xml:space="preserve"> - </w:t>
      </w:r>
      <w:r w:rsidR="005F07CD" w:rsidRPr="005F07CD">
        <w:rPr>
          <w:rFonts w:cs="Calibri"/>
          <w:b/>
          <w:bCs/>
        </w:rPr>
        <w:t>Average lapse time (safety)</w:t>
      </w:r>
    </w:p>
    <w:p w14:paraId="58B8E05C" w14:textId="77777777" w:rsidR="008A1E3E" w:rsidRPr="00B90ACD" w:rsidRDefault="008A1E3E" w:rsidP="008A1E3E">
      <w:pPr>
        <w:widowControl/>
        <w:autoSpaceDE/>
        <w:adjustRightInd/>
        <w:rPr>
          <w:rFonts w:cs="Calibri"/>
        </w:rPr>
      </w:pPr>
    </w:p>
    <w:p w14:paraId="68538084" w14:textId="114961E0" w:rsidR="00BA7513" w:rsidRDefault="6AA1FB56" w:rsidP="5991425A">
      <w:pPr>
        <w:widowControl/>
        <w:autoSpaceDE/>
        <w:adjustRightInd/>
        <w:rPr>
          <w:rFonts w:cs="Calibri"/>
        </w:rPr>
      </w:pPr>
      <w:r w:rsidRPr="00BA7513">
        <w:rPr>
          <w:rFonts w:cs="Calibri"/>
          <w:b/>
          <w:bCs/>
        </w:rPr>
        <w:t xml:space="preserve">Discussion of </w:t>
      </w:r>
      <w:r w:rsidR="00BA7513">
        <w:rPr>
          <w:rFonts w:cs="Calibri"/>
          <w:b/>
          <w:bCs/>
        </w:rPr>
        <w:t xml:space="preserve">Washington </w:t>
      </w:r>
      <w:r w:rsidRPr="00BA7513">
        <w:rPr>
          <w:rFonts w:cs="Calibri"/>
          <w:b/>
          <w:bCs/>
        </w:rPr>
        <w:t>State Plan data and FRL:</w:t>
      </w:r>
      <w:r w:rsidRPr="5991425A">
        <w:rPr>
          <w:rFonts w:cs="Calibri"/>
        </w:rPr>
        <w:t xml:space="preserve"> </w:t>
      </w:r>
      <w:r w:rsidR="00BA7513">
        <w:rPr>
          <w:rFonts w:cs="Calibri"/>
        </w:rPr>
        <w:t xml:space="preserve"> </w:t>
      </w:r>
      <w:r w:rsidR="00BA7513" w:rsidRPr="00BA7513">
        <w:rPr>
          <w:rFonts w:cs="Calibri"/>
        </w:rPr>
        <w:t>The FRL for the average lapse time for safety inspections (SAMM 11a) is +/- 20% of 56.02 days, which is based on a three-year national average and provides an acceptable range of 44.82 to 67.23. </w:t>
      </w:r>
      <w:r w:rsidR="00BA0135">
        <w:rPr>
          <w:rFonts w:cs="Calibri"/>
        </w:rPr>
        <w:t xml:space="preserve"> According to Appendix D, in FY 2024, DOSH’s average lapse time for safety inspections was 40.53 days and below the FRL.  </w:t>
      </w:r>
    </w:p>
    <w:p w14:paraId="5D6595A2" w14:textId="77777777" w:rsidR="00BA7513" w:rsidRDefault="00BA7513" w:rsidP="5991425A">
      <w:pPr>
        <w:widowControl/>
        <w:autoSpaceDE/>
        <w:adjustRightInd/>
        <w:rPr>
          <w:rFonts w:cs="Calibri"/>
        </w:rPr>
      </w:pPr>
    </w:p>
    <w:p w14:paraId="563AA3C3" w14:textId="37758EB2" w:rsidR="008A1E3E" w:rsidRPr="006B5F60" w:rsidRDefault="6AA1FB56" w:rsidP="5991425A">
      <w:pPr>
        <w:widowControl/>
        <w:autoSpaceDE/>
        <w:adjustRightInd/>
        <w:rPr>
          <w:rFonts w:cs="Calibri"/>
          <w:u w:val="single"/>
        </w:rPr>
      </w:pPr>
      <w:r w:rsidRPr="00451471">
        <w:rPr>
          <w:rFonts w:cs="Calibri"/>
          <w:b/>
          <w:bCs/>
        </w:rPr>
        <w:t>Explanation:</w:t>
      </w:r>
      <w:r w:rsidR="7E137BE0" w:rsidRPr="5991425A">
        <w:rPr>
          <w:rFonts w:cs="Calibri"/>
        </w:rPr>
        <w:t xml:space="preserve"> </w:t>
      </w:r>
      <w:r w:rsidR="00A50A88">
        <w:rPr>
          <w:rFonts w:cs="Calibri"/>
        </w:rPr>
        <w:t xml:space="preserve"> </w:t>
      </w:r>
      <w:r w:rsidR="00FD4C22">
        <w:rPr>
          <w:rFonts w:cs="Calibri"/>
        </w:rPr>
        <w:t>DOSH</w:t>
      </w:r>
      <w:r w:rsidR="00A50A88">
        <w:rPr>
          <w:rFonts w:cs="Calibri"/>
        </w:rPr>
        <w:t xml:space="preserve"> had a lower average lapse time </w:t>
      </w:r>
      <w:r w:rsidR="002021F3">
        <w:rPr>
          <w:rFonts w:cs="Calibri"/>
        </w:rPr>
        <w:t xml:space="preserve">for safety inspections </w:t>
      </w:r>
      <w:r w:rsidR="00A50A88">
        <w:rPr>
          <w:rFonts w:cs="Calibri"/>
        </w:rPr>
        <w:t xml:space="preserve">which indicated violations were issued at a faster rate than the national average.  Low lapse time </w:t>
      </w:r>
      <w:r w:rsidR="002021F3">
        <w:rPr>
          <w:rFonts w:cs="Calibri"/>
        </w:rPr>
        <w:t xml:space="preserve">also promotes </w:t>
      </w:r>
      <w:r w:rsidR="00E639FD">
        <w:rPr>
          <w:rFonts w:cs="Calibri"/>
        </w:rPr>
        <w:t xml:space="preserve">faster hazard abatement since employers </w:t>
      </w:r>
      <w:r w:rsidR="00A50A88">
        <w:rPr>
          <w:rFonts w:cs="Calibri"/>
        </w:rPr>
        <w:t xml:space="preserve">receive written notification of hazards </w:t>
      </w:r>
      <w:r w:rsidR="00E639FD">
        <w:rPr>
          <w:rFonts w:cs="Calibri"/>
        </w:rPr>
        <w:t>sooner.</w:t>
      </w:r>
      <w:r w:rsidR="00FD4C22">
        <w:rPr>
          <w:rFonts w:cs="Calibri"/>
        </w:rPr>
        <w:t xml:space="preserve"> </w:t>
      </w:r>
    </w:p>
    <w:p w14:paraId="4A5A56D3" w14:textId="7390D454" w:rsidR="1A5BAE10" w:rsidRDefault="1A5BAE10" w:rsidP="1A5BAE10">
      <w:pPr>
        <w:widowControl/>
        <w:rPr>
          <w:rFonts w:cs="Calibri"/>
        </w:rPr>
      </w:pPr>
    </w:p>
    <w:p w14:paraId="2CB25451" w14:textId="21AC9B78" w:rsidR="005F07CD" w:rsidRDefault="005F07CD" w:rsidP="005F07CD">
      <w:pPr>
        <w:widowControl/>
        <w:autoSpaceDE/>
        <w:adjustRightInd/>
        <w:rPr>
          <w:rFonts w:cs="Calibri"/>
          <w:b/>
          <w:bCs/>
        </w:rPr>
      </w:pPr>
      <w:r w:rsidRPr="00B90ACD">
        <w:rPr>
          <w:rFonts w:cs="Calibri"/>
          <w:b/>
          <w:bCs/>
        </w:rPr>
        <w:t xml:space="preserve">SAMM </w:t>
      </w:r>
      <w:r>
        <w:rPr>
          <w:rFonts w:cs="Calibri"/>
          <w:b/>
          <w:bCs/>
        </w:rPr>
        <w:t>1</w:t>
      </w:r>
      <w:r w:rsidR="00D759A0">
        <w:rPr>
          <w:rFonts w:cs="Calibri"/>
          <w:b/>
          <w:bCs/>
        </w:rPr>
        <w:t>2</w:t>
      </w:r>
      <w:r w:rsidRPr="00B90ACD">
        <w:rPr>
          <w:rFonts w:cs="Calibri"/>
          <w:b/>
          <w:bCs/>
        </w:rPr>
        <w:t xml:space="preserve"> - </w:t>
      </w:r>
      <w:r w:rsidR="00117650" w:rsidRPr="00117650">
        <w:rPr>
          <w:rFonts w:cs="Calibri"/>
          <w:b/>
          <w:bCs/>
        </w:rPr>
        <w:t>Percent penalty retained</w:t>
      </w:r>
    </w:p>
    <w:p w14:paraId="50598490" w14:textId="77777777" w:rsidR="005F07CD" w:rsidRPr="00B90ACD" w:rsidRDefault="005F07CD" w:rsidP="005F07CD">
      <w:pPr>
        <w:widowControl/>
        <w:autoSpaceDE/>
        <w:adjustRightInd/>
        <w:rPr>
          <w:rFonts w:cs="Calibri"/>
        </w:rPr>
      </w:pPr>
    </w:p>
    <w:p w14:paraId="4F96944E" w14:textId="25DDB0B0" w:rsidR="00725A74" w:rsidRDefault="7489FE72" w:rsidP="5991425A">
      <w:pPr>
        <w:widowControl/>
        <w:autoSpaceDE/>
        <w:adjustRightInd/>
        <w:rPr>
          <w:rFonts w:cs="Calibri"/>
          <w:b/>
          <w:bCs/>
        </w:rPr>
      </w:pPr>
      <w:r w:rsidRPr="00A21221">
        <w:rPr>
          <w:rFonts w:cs="Calibri"/>
          <w:b/>
          <w:bCs/>
        </w:rPr>
        <w:t xml:space="preserve">Discussion of </w:t>
      </w:r>
      <w:r w:rsidR="00A21221">
        <w:rPr>
          <w:rFonts w:cs="Calibri"/>
          <w:b/>
          <w:bCs/>
        </w:rPr>
        <w:t>Washington S</w:t>
      </w:r>
      <w:r w:rsidRPr="00A21221">
        <w:rPr>
          <w:rFonts w:cs="Calibri"/>
          <w:b/>
          <w:bCs/>
        </w:rPr>
        <w:t xml:space="preserve">tate Plan data and FRL: </w:t>
      </w:r>
      <w:r w:rsidR="00725A74" w:rsidRPr="00725A74">
        <w:rPr>
          <w:rFonts w:cs="Calibri"/>
        </w:rPr>
        <w:t>The FRL for penalty retention retained (SAMM 12) is +/-15% of 70.81%, which is based on a three-year national average and provides a range of 60.19% to 81.44%.</w:t>
      </w:r>
      <w:r w:rsidR="00725A74">
        <w:rPr>
          <w:rFonts w:cs="Calibri"/>
        </w:rPr>
        <w:t xml:space="preserve">  According to Appendix D,</w:t>
      </w:r>
      <w:r w:rsidR="00613DC7">
        <w:rPr>
          <w:rFonts w:cs="Calibri"/>
        </w:rPr>
        <w:t xml:space="preserve"> OIS data reflects </w:t>
      </w:r>
      <w:r w:rsidR="004F4043">
        <w:rPr>
          <w:rFonts w:cs="Calibri"/>
        </w:rPr>
        <w:t>Washington retain</w:t>
      </w:r>
      <w:r w:rsidR="00613DC7">
        <w:rPr>
          <w:rFonts w:cs="Calibri"/>
        </w:rPr>
        <w:t xml:space="preserve">ing </w:t>
      </w:r>
      <w:r w:rsidR="004F4043">
        <w:rPr>
          <w:rFonts w:cs="Calibri"/>
        </w:rPr>
        <w:t>100</w:t>
      </w:r>
      <w:r w:rsidR="00613DC7">
        <w:rPr>
          <w:rFonts w:cs="Calibri"/>
        </w:rPr>
        <w:t xml:space="preserve">% of their penalties issued. </w:t>
      </w:r>
    </w:p>
    <w:p w14:paraId="3A607274" w14:textId="77777777" w:rsidR="005F07CD" w:rsidRPr="00B90ACD" w:rsidRDefault="005F07CD" w:rsidP="005F07CD">
      <w:pPr>
        <w:widowControl/>
        <w:autoSpaceDE/>
        <w:adjustRightInd/>
        <w:rPr>
          <w:rFonts w:cs="Calibri"/>
        </w:rPr>
      </w:pPr>
    </w:p>
    <w:p w14:paraId="2113AADA" w14:textId="3D940CC0" w:rsidR="005F07CD" w:rsidRPr="006B5F60" w:rsidRDefault="7489FE72" w:rsidP="003D5148">
      <w:pPr>
        <w:widowControl/>
        <w:autoSpaceDE/>
        <w:adjustRightInd/>
        <w:rPr>
          <w:rFonts w:cs="Calibri"/>
        </w:rPr>
      </w:pPr>
      <w:r w:rsidRPr="00D42745">
        <w:rPr>
          <w:rFonts w:cs="Calibri"/>
          <w:b/>
          <w:bCs/>
        </w:rPr>
        <w:t>Explanation:</w:t>
      </w:r>
      <w:r w:rsidRPr="018CA1DA">
        <w:rPr>
          <w:rFonts w:cs="Calibri"/>
        </w:rPr>
        <w:t xml:space="preserve"> </w:t>
      </w:r>
      <w:r w:rsidR="00613DC7">
        <w:rPr>
          <w:rFonts w:cs="Calibri"/>
        </w:rPr>
        <w:t xml:space="preserve"> </w:t>
      </w:r>
      <w:r w:rsidR="00234E0E">
        <w:rPr>
          <w:rFonts w:cs="Calibri"/>
        </w:rPr>
        <w:t>DOSH</w:t>
      </w:r>
      <w:r w:rsidR="001738E9">
        <w:rPr>
          <w:rFonts w:cs="Calibri"/>
        </w:rPr>
        <w:t>’s</w:t>
      </w:r>
      <w:r w:rsidR="00234E0E">
        <w:rPr>
          <w:rFonts w:cs="Calibri"/>
        </w:rPr>
        <w:t xml:space="preserve"> penalty retention ra</w:t>
      </w:r>
      <w:r w:rsidR="001D073A">
        <w:rPr>
          <w:rFonts w:cs="Calibri"/>
        </w:rPr>
        <w:t>te was calculated different</w:t>
      </w:r>
      <w:r w:rsidR="009A49C4">
        <w:rPr>
          <w:rFonts w:cs="Calibri"/>
        </w:rPr>
        <w:t>ly</w:t>
      </w:r>
      <w:r w:rsidR="001D073A">
        <w:rPr>
          <w:rFonts w:cs="Calibri"/>
        </w:rPr>
        <w:t xml:space="preserve"> from OSHA’s; therefore, the </w:t>
      </w:r>
      <w:r w:rsidR="00046CF1">
        <w:rPr>
          <w:rFonts w:cs="Calibri"/>
        </w:rPr>
        <w:t xml:space="preserve">penalty retention rate </w:t>
      </w:r>
      <w:r w:rsidR="009A49C4">
        <w:rPr>
          <w:rFonts w:cs="Calibri"/>
        </w:rPr>
        <w:t xml:space="preserve">reported from OIS </w:t>
      </w:r>
      <w:r w:rsidR="006E5514">
        <w:rPr>
          <w:rFonts w:cs="Calibri"/>
        </w:rPr>
        <w:t>wa</w:t>
      </w:r>
      <w:r w:rsidR="009A49C4">
        <w:rPr>
          <w:rFonts w:cs="Calibri"/>
        </w:rPr>
        <w:t>s not easily comparable to the national average</w:t>
      </w:r>
      <w:r w:rsidR="00046CF1">
        <w:rPr>
          <w:rFonts w:cs="Calibri"/>
        </w:rPr>
        <w:t>.</w:t>
      </w:r>
      <w:r w:rsidR="00234E0E">
        <w:rPr>
          <w:rFonts w:cs="Calibri"/>
        </w:rPr>
        <w:t xml:space="preserve">  </w:t>
      </w:r>
      <w:r w:rsidR="001738E9">
        <w:rPr>
          <w:rFonts w:cs="Calibri"/>
        </w:rPr>
        <w:t>According to the FY 2024 SOAR, DOSH retained 61.</w:t>
      </w:r>
      <w:r w:rsidR="00D64E24">
        <w:rPr>
          <w:rFonts w:cs="Calibri"/>
        </w:rPr>
        <w:t>44%</w:t>
      </w:r>
      <w:r w:rsidR="00046CF1">
        <w:rPr>
          <w:rFonts w:cs="Calibri"/>
        </w:rPr>
        <w:t xml:space="preserve"> of their penalties, which was</w:t>
      </w:r>
      <w:r w:rsidR="00D64E24">
        <w:rPr>
          <w:rFonts w:cs="Calibri"/>
        </w:rPr>
        <w:t xml:space="preserve"> based on </w:t>
      </w:r>
      <w:r w:rsidR="00046CF1">
        <w:rPr>
          <w:rFonts w:cs="Calibri"/>
        </w:rPr>
        <w:t xml:space="preserve">the </w:t>
      </w:r>
      <w:r w:rsidR="00D64E24">
        <w:rPr>
          <w:rFonts w:cs="Calibri"/>
        </w:rPr>
        <w:t xml:space="preserve">total penalties initially assessed divided by the total of all penalties after department level appeal. </w:t>
      </w:r>
      <w:r w:rsidR="003D5148">
        <w:rPr>
          <w:rFonts w:cs="Calibri"/>
        </w:rPr>
        <w:t xml:space="preserve"> Washington’s</w:t>
      </w:r>
      <w:r w:rsidR="003D5148" w:rsidRPr="519928FB">
        <w:rPr>
          <w:rFonts w:cs="Calibri"/>
        </w:rPr>
        <w:t xml:space="preserve"> </w:t>
      </w:r>
      <w:r w:rsidR="588481A7" w:rsidRPr="519928FB">
        <w:rPr>
          <w:rFonts w:cs="Calibri"/>
        </w:rPr>
        <w:t>reported</w:t>
      </w:r>
      <w:r w:rsidR="003D5148">
        <w:rPr>
          <w:rFonts w:cs="Calibri"/>
        </w:rPr>
        <w:t xml:space="preserve"> data f</w:t>
      </w:r>
      <w:r w:rsidR="00C111E0">
        <w:rPr>
          <w:rFonts w:cs="Calibri"/>
        </w:rPr>
        <w:t>e</w:t>
      </w:r>
      <w:r w:rsidR="003D5148">
        <w:rPr>
          <w:rFonts w:cs="Calibri"/>
        </w:rPr>
        <w:t xml:space="preserve">ll </w:t>
      </w:r>
      <w:r w:rsidR="692EE684" w:rsidRPr="519928FB">
        <w:rPr>
          <w:rFonts w:cs="Calibri"/>
        </w:rPr>
        <w:t>within</w:t>
      </w:r>
      <w:r w:rsidR="003D5148">
        <w:rPr>
          <w:rFonts w:cs="Calibri"/>
        </w:rPr>
        <w:t xml:space="preserve"> the FRL</w:t>
      </w:r>
      <w:r w:rsidR="10BEFD7F" w:rsidRPr="519928FB">
        <w:rPr>
          <w:rFonts w:cs="Calibri"/>
        </w:rPr>
        <w:t xml:space="preserve"> range</w:t>
      </w:r>
      <w:r w:rsidR="003D5148" w:rsidRPr="519928FB">
        <w:rPr>
          <w:rFonts w:cs="Calibri"/>
        </w:rPr>
        <w:t>.</w:t>
      </w:r>
      <w:r w:rsidR="003D5148">
        <w:rPr>
          <w:rFonts w:cs="Calibri"/>
        </w:rPr>
        <w:t xml:space="preserve">  OSHA and DOSH routinely discuss</w:t>
      </w:r>
      <w:r w:rsidR="00C111E0">
        <w:rPr>
          <w:rFonts w:cs="Calibri"/>
        </w:rPr>
        <w:t>ed</w:t>
      </w:r>
      <w:r w:rsidR="003D5148">
        <w:rPr>
          <w:rFonts w:cs="Calibri"/>
        </w:rPr>
        <w:t xml:space="preserve"> this data during quarterly </w:t>
      </w:r>
      <w:r w:rsidR="00007E33">
        <w:rPr>
          <w:rFonts w:cs="Calibri"/>
        </w:rPr>
        <w:t>meetings,</w:t>
      </w:r>
      <w:r w:rsidR="003D5148">
        <w:rPr>
          <w:rFonts w:cs="Calibri"/>
        </w:rPr>
        <w:t xml:space="preserve"> and it will continue to be monitored throughout the next review period.  </w:t>
      </w:r>
    </w:p>
    <w:p w14:paraId="0A13B1BA" w14:textId="77777777" w:rsidR="00982633" w:rsidRDefault="00982633" w:rsidP="00D2630A">
      <w:pPr>
        <w:widowControl/>
        <w:autoSpaceDE/>
        <w:adjustRightInd/>
        <w:rPr>
          <w:rFonts w:cs="Calibri"/>
          <w:b/>
          <w:bCs/>
        </w:rPr>
      </w:pPr>
    </w:p>
    <w:p w14:paraId="02F464B0" w14:textId="77777777" w:rsidR="00982633" w:rsidRDefault="00982633" w:rsidP="00D2630A">
      <w:pPr>
        <w:widowControl/>
        <w:autoSpaceDE/>
        <w:adjustRightInd/>
        <w:rPr>
          <w:rFonts w:cs="Calibri"/>
          <w:b/>
          <w:bCs/>
        </w:rPr>
      </w:pPr>
    </w:p>
    <w:p w14:paraId="20756395" w14:textId="77777777" w:rsidR="00982633" w:rsidRDefault="00982633" w:rsidP="00D2630A">
      <w:pPr>
        <w:widowControl/>
        <w:autoSpaceDE/>
        <w:adjustRightInd/>
        <w:rPr>
          <w:rFonts w:cs="Calibri"/>
          <w:b/>
          <w:bCs/>
        </w:rPr>
      </w:pPr>
    </w:p>
    <w:p w14:paraId="6A5BC4A4" w14:textId="6F5AD113" w:rsidR="00D2630A" w:rsidRDefault="00D2630A" w:rsidP="00D2630A">
      <w:pPr>
        <w:widowControl/>
        <w:autoSpaceDE/>
        <w:adjustRightInd/>
        <w:rPr>
          <w:rFonts w:cs="Calibri"/>
          <w:b/>
          <w:bCs/>
        </w:rPr>
      </w:pPr>
      <w:r w:rsidRPr="00B90ACD">
        <w:rPr>
          <w:rFonts w:cs="Calibri"/>
          <w:b/>
          <w:bCs/>
        </w:rPr>
        <w:t xml:space="preserve">SAMM </w:t>
      </w:r>
      <w:r>
        <w:rPr>
          <w:rFonts w:cs="Calibri"/>
          <w:b/>
          <w:bCs/>
        </w:rPr>
        <w:t>1</w:t>
      </w:r>
      <w:r w:rsidR="009A17BE">
        <w:rPr>
          <w:rFonts w:cs="Calibri"/>
          <w:b/>
          <w:bCs/>
        </w:rPr>
        <w:t>7</w:t>
      </w:r>
      <w:r w:rsidRPr="00B90ACD">
        <w:rPr>
          <w:rFonts w:cs="Calibri"/>
          <w:b/>
          <w:bCs/>
        </w:rPr>
        <w:t xml:space="preserve"> - </w:t>
      </w:r>
      <w:r w:rsidR="009A17BE" w:rsidRPr="009A17BE">
        <w:rPr>
          <w:rFonts w:cs="Calibri"/>
          <w:b/>
          <w:bCs/>
        </w:rPr>
        <w:t>Percent of enforcement presence</w:t>
      </w:r>
    </w:p>
    <w:p w14:paraId="5D93ABE8" w14:textId="77777777" w:rsidR="00D2630A" w:rsidRPr="00B90ACD" w:rsidRDefault="00D2630A" w:rsidP="00D2630A">
      <w:pPr>
        <w:widowControl/>
        <w:autoSpaceDE/>
        <w:adjustRightInd/>
        <w:rPr>
          <w:rFonts w:cs="Calibri"/>
        </w:rPr>
      </w:pPr>
    </w:p>
    <w:p w14:paraId="0536C571" w14:textId="6761809B" w:rsidR="00D2630A" w:rsidRDefault="6B579FE9" w:rsidP="5991425A">
      <w:pPr>
        <w:widowControl/>
        <w:autoSpaceDE/>
        <w:adjustRightInd/>
        <w:rPr>
          <w:rFonts w:cs="Calibri"/>
        </w:rPr>
      </w:pPr>
      <w:r w:rsidRPr="00007E33">
        <w:rPr>
          <w:rFonts w:cs="Calibri"/>
          <w:b/>
          <w:bCs/>
        </w:rPr>
        <w:t xml:space="preserve">Discussion of </w:t>
      </w:r>
      <w:r w:rsidR="00007E33">
        <w:rPr>
          <w:rFonts w:cs="Calibri"/>
          <w:b/>
          <w:bCs/>
        </w:rPr>
        <w:t xml:space="preserve">Washington </w:t>
      </w:r>
      <w:r w:rsidRPr="00007E33">
        <w:rPr>
          <w:rFonts w:cs="Calibri"/>
          <w:b/>
          <w:bCs/>
        </w:rPr>
        <w:t>State Plan data and FRL:</w:t>
      </w:r>
      <w:r w:rsidRPr="5991425A">
        <w:rPr>
          <w:rFonts w:cs="Calibri"/>
        </w:rPr>
        <w:t xml:space="preserve"> </w:t>
      </w:r>
      <w:r w:rsidR="00E87919" w:rsidRPr="00E87919">
        <w:rPr>
          <w:rFonts w:cs="Calibri"/>
        </w:rPr>
        <w:t xml:space="preserve">The FRL for percent of enforcement presence </w:t>
      </w:r>
      <w:r w:rsidR="00E87919">
        <w:rPr>
          <w:rFonts w:cs="Calibri"/>
        </w:rPr>
        <w:t xml:space="preserve">(SAMM 17) </w:t>
      </w:r>
      <w:r w:rsidR="00E87919" w:rsidRPr="00E87919">
        <w:rPr>
          <w:rFonts w:cs="Calibri"/>
        </w:rPr>
        <w:t xml:space="preserve">is +/- 25% of 1.00%, which was based on a three-year national average and provides a range of 0.75% to 1.25%.  According to Appendix D, </w:t>
      </w:r>
      <w:r w:rsidR="00894760">
        <w:rPr>
          <w:rFonts w:cs="Calibri"/>
        </w:rPr>
        <w:t>DOSH’s</w:t>
      </w:r>
      <w:r w:rsidR="00E87919" w:rsidRPr="00E87919">
        <w:rPr>
          <w:rFonts w:cs="Calibri"/>
        </w:rPr>
        <w:t xml:space="preserve"> enforcement presence was </w:t>
      </w:r>
      <w:r w:rsidR="00894760">
        <w:rPr>
          <w:rFonts w:cs="Calibri"/>
        </w:rPr>
        <w:t>3</w:t>
      </w:r>
      <w:r w:rsidR="00E87919" w:rsidRPr="00E87919">
        <w:rPr>
          <w:rFonts w:cs="Calibri"/>
        </w:rPr>
        <w:t>.56% and above the FRL. </w:t>
      </w:r>
    </w:p>
    <w:p w14:paraId="21413195" w14:textId="77777777" w:rsidR="00D2630A" w:rsidRPr="00B90ACD" w:rsidRDefault="00D2630A" w:rsidP="00D2630A">
      <w:pPr>
        <w:widowControl/>
        <w:autoSpaceDE/>
        <w:adjustRightInd/>
        <w:rPr>
          <w:rFonts w:cs="Calibri"/>
        </w:rPr>
      </w:pPr>
    </w:p>
    <w:p w14:paraId="0887C140" w14:textId="741C1A88" w:rsidR="1A5BAE10" w:rsidRDefault="00D2630A" w:rsidP="00007E33">
      <w:pPr>
        <w:widowControl/>
        <w:autoSpaceDE/>
        <w:adjustRightInd/>
        <w:rPr>
          <w:rFonts w:cs="Calibri"/>
        </w:rPr>
      </w:pPr>
      <w:r w:rsidRPr="00007E33">
        <w:rPr>
          <w:rFonts w:cs="Calibri"/>
          <w:b/>
          <w:bCs/>
        </w:rPr>
        <w:t xml:space="preserve">Explanation: </w:t>
      </w:r>
      <w:r w:rsidR="00027051">
        <w:rPr>
          <w:rFonts w:cs="Calibri"/>
        </w:rPr>
        <w:t xml:space="preserve">The percent of enforcement presence </w:t>
      </w:r>
      <w:r w:rsidR="00CF5DF0" w:rsidRPr="00CF5DF0">
        <w:rPr>
          <w:rFonts w:cs="Calibri"/>
        </w:rPr>
        <w:t xml:space="preserve">describes the number of safety and health inspections conducted compared to the number of employer establishments in the state. </w:t>
      </w:r>
      <w:r w:rsidR="00894760">
        <w:rPr>
          <w:rFonts w:cs="Calibri"/>
        </w:rPr>
        <w:t xml:space="preserve"> </w:t>
      </w:r>
      <w:r w:rsidR="00A57EC0">
        <w:rPr>
          <w:rFonts w:cs="Calibri"/>
        </w:rPr>
        <w:t xml:space="preserve">The enforcement presence increased </w:t>
      </w:r>
      <w:r w:rsidR="00A57EC0" w:rsidRPr="00CF5DF0">
        <w:rPr>
          <w:rFonts w:cs="Calibri"/>
        </w:rPr>
        <w:t xml:space="preserve">from </w:t>
      </w:r>
      <w:r w:rsidR="00A57EC0">
        <w:rPr>
          <w:rFonts w:cs="Calibri"/>
        </w:rPr>
        <w:t>3.29</w:t>
      </w:r>
      <w:r w:rsidR="00A57EC0" w:rsidRPr="00CF5DF0">
        <w:rPr>
          <w:rFonts w:cs="Calibri"/>
        </w:rPr>
        <w:t>% in FY 2023 and indicate</w:t>
      </w:r>
      <w:r w:rsidR="00A57EC0">
        <w:rPr>
          <w:rFonts w:cs="Calibri"/>
        </w:rPr>
        <w:t>d</w:t>
      </w:r>
      <w:r w:rsidR="00A57EC0" w:rsidRPr="00CF5DF0">
        <w:rPr>
          <w:rFonts w:cs="Calibri"/>
        </w:rPr>
        <w:t xml:space="preserve"> that </w:t>
      </w:r>
      <w:r w:rsidR="00A57EC0">
        <w:rPr>
          <w:rFonts w:cs="Calibri"/>
        </w:rPr>
        <w:t>DOSH</w:t>
      </w:r>
      <w:r w:rsidR="00A57EC0" w:rsidRPr="00CF5DF0">
        <w:rPr>
          <w:rFonts w:cs="Calibri"/>
        </w:rPr>
        <w:t xml:space="preserve"> reached more employers with enforcement activity than the national average.</w:t>
      </w:r>
      <w:r w:rsidR="00A57EC0">
        <w:rPr>
          <w:rFonts w:cs="Calibri"/>
        </w:rPr>
        <w:t xml:space="preserve">  </w:t>
      </w:r>
      <w:r w:rsidR="00894760">
        <w:rPr>
          <w:rFonts w:cs="Calibri"/>
        </w:rPr>
        <w:t>D</w:t>
      </w:r>
      <w:r w:rsidR="00CF5DF0" w:rsidRPr="00CF5DF0">
        <w:rPr>
          <w:rFonts w:cs="Calibri"/>
        </w:rPr>
        <w:t xml:space="preserve">OSH explained </w:t>
      </w:r>
      <w:r w:rsidR="00A57EC0">
        <w:rPr>
          <w:rFonts w:cs="Calibri"/>
        </w:rPr>
        <w:t>that they will opt for conducting an inspection</w:t>
      </w:r>
      <w:r w:rsidR="00CF5DF0" w:rsidRPr="00CF5DF0">
        <w:rPr>
          <w:rFonts w:cs="Calibri"/>
        </w:rPr>
        <w:t xml:space="preserve"> in lieu of an </w:t>
      </w:r>
      <w:r w:rsidR="00A57EC0" w:rsidRPr="00CF5DF0">
        <w:rPr>
          <w:rFonts w:cs="Calibri"/>
        </w:rPr>
        <w:t>investigation</w:t>
      </w:r>
      <w:r w:rsidR="00A57EC0">
        <w:rPr>
          <w:rFonts w:cs="Calibri"/>
        </w:rPr>
        <w:t xml:space="preserve"> in situations where resources were available, which contributed to the </w:t>
      </w:r>
      <w:r w:rsidR="006F7F0D">
        <w:rPr>
          <w:rFonts w:cs="Calibri"/>
        </w:rPr>
        <w:t xml:space="preserve">higher-than-average presence. </w:t>
      </w:r>
    </w:p>
    <w:p w14:paraId="239656B7" w14:textId="595A0D94" w:rsidR="1A5BAE10" w:rsidRDefault="1A5BAE10" w:rsidP="1A5BAE10">
      <w:pPr>
        <w:widowControl/>
        <w:rPr>
          <w:rFonts w:cs="Calibri"/>
        </w:rPr>
      </w:pPr>
    </w:p>
    <w:p w14:paraId="21497DC2" w14:textId="006BAFD4" w:rsidR="1A5BAE10" w:rsidRDefault="1A5BAE10" w:rsidP="1A5BAE10">
      <w:pPr>
        <w:widowControl/>
        <w:rPr>
          <w:rFonts w:cs="Calibri"/>
        </w:rPr>
        <w:sectPr w:rsidR="1A5BAE10" w:rsidSect="00783189">
          <w:headerReference w:type="even" r:id="rId13"/>
          <w:headerReference w:type="default" r:id="rId14"/>
          <w:footerReference w:type="even" r:id="rId15"/>
          <w:footerReference w:type="default" r:id="rId16"/>
          <w:headerReference w:type="first" r:id="rId17"/>
          <w:footerReference w:type="first" r:id="rId18"/>
          <w:pgSz w:w="12240" w:h="15840"/>
          <w:pgMar w:top="1440" w:right="1260" w:bottom="1260" w:left="1440" w:header="720" w:footer="526" w:gutter="0"/>
          <w:pgNumType w:start="1"/>
          <w:cols w:space="720"/>
          <w:titlePg/>
          <w:docGrid w:linePitch="360"/>
        </w:sectPr>
      </w:pPr>
    </w:p>
    <w:p w14:paraId="382985A1" w14:textId="77777777" w:rsidR="00E875B9" w:rsidRPr="00E875B9" w:rsidRDefault="00E875B9" w:rsidP="006C04A5">
      <w:pPr>
        <w:pStyle w:val="Heading3"/>
      </w:pPr>
      <w:bookmarkStart w:id="23" w:name="_Toc118905017"/>
      <w:bookmarkStart w:id="24" w:name="_Toc193191072"/>
      <w:r w:rsidRPr="00E875B9">
        <w:t xml:space="preserve">Appendix A – New and </w:t>
      </w:r>
      <w:r w:rsidRPr="00895EB0">
        <w:t>Continued Findings and Recommendations</w:t>
      </w:r>
      <w:bookmarkEnd w:id="23"/>
      <w:bookmarkEnd w:id="24"/>
    </w:p>
    <w:p w14:paraId="2BF84123" w14:textId="2FA6B5BC" w:rsidR="00E875B9" w:rsidRPr="00E875B9" w:rsidRDefault="00E875B9" w:rsidP="00E875B9">
      <w:r>
        <w:t xml:space="preserve">FY </w:t>
      </w:r>
      <w:r w:rsidR="00CC723B">
        <w:t xml:space="preserve">2024 </w:t>
      </w:r>
      <w:r>
        <w:t>W</w:t>
      </w:r>
      <w:r w:rsidR="00E601FD">
        <w:t>ashington</w:t>
      </w:r>
      <w:r>
        <w:t xml:space="preserve"> DOSH</w:t>
      </w:r>
      <w:r w:rsidRPr="1A5BAE10">
        <w:rPr>
          <w:color w:val="0070C0"/>
        </w:rPr>
        <w:t xml:space="preserve"> </w:t>
      </w:r>
      <w:r>
        <w:t>Follow-up FAME Report</w:t>
      </w:r>
    </w:p>
    <w:p w14:paraId="039B2E2E" w14:textId="652C9D5F" w:rsidR="00133DBE" w:rsidRDefault="00133DBE"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4819"/>
        <w:gridCol w:w="1890"/>
      </w:tblGrid>
      <w:tr w:rsidR="00E601FD" w14:paraId="68BF1DBF" w14:textId="77777777" w:rsidTr="00107A53">
        <w:trPr>
          <w:trHeight w:val="350"/>
        </w:trPr>
        <w:tc>
          <w:tcPr>
            <w:tcW w:w="1440" w:type="dxa"/>
          </w:tcPr>
          <w:p w14:paraId="304A5A2A" w14:textId="7FFA4F4E" w:rsidR="00E601FD" w:rsidRPr="00E81D1D" w:rsidRDefault="00E601FD" w:rsidP="00107A53">
            <w:pPr>
              <w:widowControl/>
              <w:autoSpaceDE/>
              <w:autoSpaceDN/>
              <w:adjustRightInd/>
              <w:rPr>
                <w:rFonts w:cs="Calibri"/>
                <w:b/>
                <w:sz w:val="22"/>
                <w:szCs w:val="22"/>
              </w:rPr>
            </w:pPr>
            <w:bookmarkStart w:id="25" w:name="_Toc118905018"/>
            <w:r w:rsidRPr="00E81D1D">
              <w:rPr>
                <w:rFonts w:cs="Calibri"/>
                <w:b/>
                <w:sz w:val="22"/>
                <w:szCs w:val="22"/>
              </w:rPr>
              <w:t>FY 2024-#</w:t>
            </w:r>
            <w:r w:rsidR="00F03FE0">
              <w:rPr>
                <w:rFonts w:cs="Calibri"/>
                <w:b/>
                <w:sz w:val="22"/>
                <w:szCs w:val="22"/>
              </w:rPr>
              <w:t>#</w:t>
            </w:r>
          </w:p>
        </w:tc>
        <w:tc>
          <w:tcPr>
            <w:tcW w:w="4721" w:type="dxa"/>
          </w:tcPr>
          <w:p w14:paraId="2F71D872" w14:textId="77777777" w:rsidR="00E601FD" w:rsidRPr="00E81D1D" w:rsidRDefault="00E601FD" w:rsidP="00107A53">
            <w:pPr>
              <w:widowControl/>
              <w:autoSpaceDE/>
              <w:autoSpaceDN/>
              <w:adjustRightInd/>
              <w:rPr>
                <w:rFonts w:cs="Calibri"/>
                <w:b/>
                <w:sz w:val="22"/>
                <w:szCs w:val="22"/>
              </w:rPr>
            </w:pPr>
            <w:r w:rsidRPr="00E81D1D">
              <w:rPr>
                <w:rFonts w:cs="Calibri"/>
                <w:b/>
                <w:sz w:val="22"/>
                <w:szCs w:val="22"/>
              </w:rPr>
              <w:t>Finding</w:t>
            </w:r>
          </w:p>
        </w:tc>
        <w:tc>
          <w:tcPr>
            <w:tcW w:w="4819" w:type="dxa"/>
          </w:tcPr>
          <w:p w14:paraId="3D89696D" w14:textId="77777777" w:rsidR="00E601FD" w:rsidRPr="00E81D1D" w:rsidRDefault="00E601FD" w:rsidP="00107A53">
            <w:pPr>
              <w:widowControl/>
              <w:autoSpaceDE/>
              <w:autoSpaceDN/>
              <w:adjustRightInd/>
              <w:rPr>
                <w:rFonts w:cs="Calibri"/>
                <w:b/>
                <w:sz w:val="22"/>
                <w:szCs w:val="22"/>
              </w:rPr>
            </w:pPr>
            <w:r w:rsidRPr="00E81D1D">
              <w:rPr>
                <w:rFonts w:cs="Calibri"/>
                <w:b/>
                <w:sz w:val="22"/>
                <w:szCs w:val="22"/>
              </w:rPr>
              <w:t>Recommendation</w:t>
            </w:r>
          </w:p>
        </w:tc>
        <w:tc>
          <w:tcPr>
            <w:tcW w:w="1890" w:type="dxa"/>
          </w:tcPr>
          <w:p w14:paraId="5B9E5689" w14:textId="77777777" w:rsidR="00E601FD" w:rsidRPr="00E81D1D" w:rsidRDefault="00E601FD" w:rsidP="00107A53">
            <w:pPr>
              <w:widowControl/>
              <w:autoSpaceDE/>
              <w:autoSpaceDN/>
              <w:adjustRightInd/>
              <w:rPr>
                <w:rFonts w:cs="Calibri"/>
                <w:b/>
                <w:sz w:val="22"/>
                <w:szCs w:val="22"/>
              </w:rPr>
            </w:pPr>
            <w:r w:rsidRPr="00E81D1D">
              <w:rPr>
                <w:rFonts w:cs="Calibri"/>
                <w:b/>
                <w:sz w:val="22"/>
                <w:szCs w:val="22"/>
              </w:rPr>
              <w:t xml:space="preserve">FY 2023-# or </w:t>
            </w:r>
          </w:p>
          <w:p w14:paraId="646A9ABC" w14:textId="77777777" w:rsidR="00E601FD" w:rsidRPr="00E81D1D" w:rsidRDefault="00E601FD" w:rsidP="00107A53">
            <w:pPr>
              <w:widowControl/>
              <w:autoSpaceDE/>
              <w:autoSpaceDN/>
              <w:adjustRightInd/>
              <w:rPr>
                <w:rFonts w:cs="Calibri"/>
                <w:b/>
                <w:sz w:val="22"/>
                <w:szCs w:val="22"/>
              </w:rPr>
            </w:pPr>
            <w:r w:rsidRPr="00E81D1D">
              <w:rPr>
                <w:rFonts w:cs="Calibri"/>
                <w:b/>
                <w:sz w:val="22"/>
                <w:szCs w:val="22"/>
              </w:rPr>
              <w:t>FY 2023-OB-#</w:t>
            </w:r>
          </w:p>
        </w:tc>
      </w:tr>
      <w:tr w:rsidR="00E601FD" w14:paraId="17B29471" w14:textId="77777777" w:rsidTr="00107A53">
        <w:tc>
          <w:tcPr>
            <w:tcW w:w="1440" w:type="dxa"/>
          </w:tcPr>
          <w:p w14:paraId="071CA85A" w14:textId="77777777" w:rsidR="00E601FD" w:rsidRPr="00A62419" w:rsidRDefault="00E601FD" w:rsidP="00E601FD">
            <w:pPr>
              <w:rPr>
                <w:sz w:val="22"/>
                <w:szCs w:val="22"/>
              </w:rPr>
            </w:pPr>
            <w:r w:rsidRPr="00A62419">
              <w:rPr>
                <w:rFonts w:cs="Calibri"/>
                <w:sz w:val="22"/>
                <w:szCs w:val="22"/>
              </w:rPr>
              <w:t>FY 2024-01</w:t>
            </w:r>
          </w:p>
          <w:p w14:paraId="06E52778" w14:textId="71734AFA" w:rsidR="00E601FD" w:rsidRPr="00E81D1D" w:rsidRDefault="00E601FD" w:rsidP="00E601FD">
            <w:pPr>
              <w:widowControl/>
              <w:autoSpaceDE/>
              <w:autoSpaceDN/>
              <w:adjustRightInd/>
              <w:rPr>
                <w:rFonts w:cs="Calibri"/>
                <w:sz w:val="22"/>
                <w:szCs w:val="22"/>
                <w:highlight w:val="yellow"/>
              </w:rPr>
            </w:pPr>
            <w:r w:rsidRPr="00A62419">
              <w:rPr>
                <w:rFonts w:cs="Calibri"/>
                <w:sz w:val="22"/>
                <w:szCs w:val="22"/>
              </w:rPr>
              <w:t xml:space="preserve"> </w:t>
            </w:r>
          </w:p>
        </w:tc>
        <w:tc>
          <w:tcPr>
            <w:tcW w:w="4721" w:type="dxa"/>
          </w:tcPr>
          <w:p w14:paraId="2027DC78" w14:textId="6F104131" w:rsidR="00E601FD" w:rsidRPr="00E81D1D" w:rsidRDefault="00E601FD" w:rsidP="00E601FD">
            <w:pPr>
              <w:widowControl/>
              <w:autoSpaceDE/>
              <w:autoSpaceDN/>
              <w:adjustRightInd/>
              <w:rPr>
                <w:rFonts w:cs="Calibri"/>
                <w:sz w:val="22"/>
                <w:szCs w:val="22"/>
              </w:rPr>
            </w:pPr>
            <w:r w:rsidRPr="00A62419">
              <w:rPr>
                <w:rFonts w:cs="Calibri"/>
                <w:sz w:val="22"/>
                <w:szCs w:val="22"/>
              </w:rPr>
              <w:t>In FY 2024, standards were not adopted by their due date.</w:t>
            </w:r>
          </w:p>
        </w:tc>
        <w:tc>
          <w:tcPr>
            <w:tcW w:w="4819" w:type="dxa"/>
          </w:tcPr>
          <w:p w14:paraId="5DA1F60D" w14:textId="77777777" w:rsidR="00E601FD" w:rsidRPr="00A62419" w:rsidRDefault="00E601FD" w:rsidP="00E601FD">
            <w:pPr>
              <w:rPr>
                <w:sz w:val="22"/>
                <w:szCs w:val="22"/>
              </w:rPr>
            </w:pPr>
            <w:r w:rsidRPr="00A62419">
              <w:rPr>
                <w:rFonts w:cs="Calibri"/>
                <w:sz w:val="22"/>
                <w:szCs w:val="22"/>
              </w:rPr>
              <w:t>DOSH should ensure each standard is adopted by the due date.</w:t>
            </w:r>
          </w:p>
          <w:p w14:paraId="3441B213" w14:textId="2969374D" w:rsidR="00E601FD" w:rsidRPr="00E81D1D" w:rsidRDefault="00E601FD" w:rsidP="00E601FD">
            <w:pPr>
              <w:widowControl/>
              <w:autoSpaceDE/>
              <w:autoSpaceDN/>
              <w:adjustRightInd/>
              <w:rPr>
                <w:rFonts w:cs="Calibri"/>
                <w:sz w:val="22"/>
                <w:szCs w:val="22"/>
              </w:rPr>
            </w:pPr>
            <w:r w:rsidRPr="00A62419">
              <w:rPr>
                <w:rFonts w:cs="Calibri"/>
                <w:sz w:val="22"/>
                <w:szCs w:val="22"/>
              </w:rPr>
              <w:t xml:space="preserve"> </w:t>
            </w:r>
          </w:p>
        </w:tc>
        <w:tc>
          <w:tcPr>
            <w:tcW w:w="1890" w:type="dxa"/>
          </w:tcPr>
          <w:p w14:paraId="447B5200" w14:textId="2A182A7E" w:rsidR="00BA600F" w:rsidRPr="00E81D1D" w:rsidRDefault="00E601FD" w:rsidP="00BA600F">
            <w:pPr>
              <w:rPr>
                <w:rFonts w:cs="Calibri"/>
                <w:sz w:val="22"/>
                <w:szCs w:val="22"/>
              </w:rPr>
            </w:pPr>
            <w:r w:rsidRPr="00A62419">
              <w:rPr>
                <w:rFonts w:cs="Calibri"/>
                <w:sz w:val="22"/>
                <w:szCs w:val="22"/>
              </w:rPr>
              <w:t>FY 202</w:t>
            </w:r>
            <w:r>
              <w:rPr>
                <w:rFonts w:cs="Calibri"/>
                <w:sz w:val="22"/>
                <w:szCs w:val="22"/>
              </w:rPr>
              <w:t>3</w:t>
            </w:r>
            <w:r w:rsidRPr="00A62419">
              <w:rPr>
                <w:rFonts w:cs="Calibri"/>
                <w:sz w:val="22"/>
                <w:szCs w:val="22"/>
              </w:rPr>
              <w:t>-01</w:t>
            </w:r>
          </w:p>
          <w:p w14:paraId="57594B82" w14:textId="31FAA435" w:rsidR="00E601FD" w:rsidRPr="00E81D1D" w:rsidRDefault="00E601FD" w:rsidP="00E601FD">
            <w:pPr>
              <w:widowControl/>
              <w:autoSpaceDE/>
              <w:autoSpaceDN/>
              <w:adjustRightInd/>
              <w:ind w:left="-19"/>
              <w:rPr>
                <w:rFonts w:cs="Calibri"/>
                <w:sz w:val="22"/>
                <w:szCs w:val="22"/>
              </w:rPr>
            </w:pPr>
          </w:p>
        </w:tc>
      </w:tr>
    </w:tbl>
    <w:p w14:paraId="21432593" w14:textId="77777777" w:rsidR="00E601FD" w:rsidRPr="00E601FD" w:rsidRDefault="00E601FD" w:rsidP="00E601FD">
      <w:pPr>
        <w:sectPr w:rsidR="00E601FD" w:rsidRPr="00E601FD" w:rsidSect="00476C08">
          <w:headerReference w:type="default" r:id="rId19"/>
          <w:headerReference w:type="first" r:id="rId20"/>
          <w:footerReference w:type="first" r:id="rId21"/>
          <w:type w:val="continuous"/>
          <w:pgSz w:w="15840" w:h="12240" w:orient="landscape"/>
          <w:pgMar w:top="1440" w:right="1440" w:bottom="1440" w:left="1440" w:header="720" w:footer="720" w:gutter="0"/>
          <w:cols w:space="720"/>
          <w:titlePg/>
          <w:docGrid w:linePitch="360"/>
        </w:sectPr>
      </w:pPr>
    </w:p>
    <w:p w14:paraId="72DA695E" w14:textId="43C5A639" w:rsidR="00B6741C" w:rsidRDefault="7815B7B5" w:rsidP="006C04A5">
      <w:pPr>
        <w:pStyle w:val="Heading3"/>
      </w:pPr>
      <w:bookmarkStart w:id="26" w:name="_Toc193191073"/>
      <w:r>
        <w:t>A</w:t>
      </w:r>
      <w:r w:rsidR="45C8C77C">
        <w:t>ppendix B – Observations Subject to Continued Monitoring</w:t>
      </w:r>
      <w:bookmarkEnd w:id="25"/>
      <w:bookmarkEnd w:id="26"/>
    </w:p>
    <w:p w14:paraId="44136854" w14:textId="6A3370A2" w:rsidR="00001884" w:rsidRDefault="09227B3D" w:rsidP="00895EB0">
      <w:r>
        <w:t xml:space="preserve">FY </w:t>
      </w:r>
      <w:r w:rsidR="2070524F">
        <w:t xml:space="preserve">2024 </w:t>
      </w:r>
      <w:r w:rsidR="00E601FD">
        <w:t>Washington DOSH</w:t>
      </w:r>
      <w:r>
        <w:t xml:space="preserve"> Follow-up FAME Report</w:t>
      </w:r>
    </w:p>
    <w:p w14:paraId="44B6036E" w14:textId="77777777" w:rsidR="00B42C37" w:rsidRDefault="00B42C37" w:rsidP="00895EB0"/>
    <w:tbl>
      <w:tblPr>
        <w:tblStyle w:val="TableGridLight"/>
        <w:tblW w:w="12950" w:type="dxa"/>
        <w:tblLook w:val="04A0" w:firstRow="1" w:lastRow="0" w:firstColumn="1" w:lastColumn="0" w:noHBand="0" w:noVBand="1"/>
        <w:tblCaption w:val="Appendix B"/>
        <w:tblDescription w:val="Observations Subject to Continued Monitoring"/>
      </w:tblPr>
      <w:tblGrid>
        <w:gridCol w:w="1615"/>
        <w:gridCol w:w="1710"/>
        <w:gridCol w:w="3420"/>
        <w:gridCol w:w="4230"/>
        <w:gridCol w:w="1975"/>
      </w:tblGrid>
      <w:tr w:rsidR="00885FDE" w:rsidRPr="001C1E47" w14:paraId="27FCCAA7" w14:textId="77777777" w:rsidTr="00C429E7">
        <w:trPr>
          <w:tblHeader/>
        </w:trPr>
        <w:tc>
          <w:tcPr>
            <w:tcW w:w="1615" w:type="dxa"/>
          </w:tcPr>
          <w:p w14:paraId="3D9C25B5" w14:textId="77777777" w:rsidR="00885FDE" w:rsidRPr="001C1E47" w:rsidRDefault="00885FDE" w:rsidP="00107A53">
            <w:pPr>
              <w:widowControl/>
              <w:autoSpaceDE/>
              <w:autoSpaceDN/>
              <w:adjustRightInd/>
              <w:rPr>
                <w:rFonts w:cs="Calibri"/>
                <w:b/>
                <w:sz w:val="22"/>
                <w:szCs w:val="22"/>
              </w:rPr>
            </w:pPr>
            <w:r w:rsidRPr="001C1E47">
              <w:rPr>
                <w:rFonts w:cs="Calibri"/>
                <w:b/>
                <w:sz w:val="22"/>
                <w:szCs w:val="22"/>
              </w:rPr>
              <w:t>Observation #</w:t>
            </w:r>
          </w:p>
          <w:p w14:paraId="2A5F7875" w14:textId="77777777" w:rsidR="00885FDE" w:rsidRPr="001C1E47" w:rsidRDefault="00885FDE" w:rsidP="00107A53">
            <w:pPr>
              <w:widowControl/>
              <w:autoSpaceDE/>
              <w:autoSpaceDN/>
              <w:adjustRightInd/>
              <w:rPr>
                <w:rFonts w:cs="Calibri"/>
                <w:b/>
                <w:sz w:val="22"/>
                <w:szCs w:val="22"/>
              </w:rPr>
            </w:pPr>
            <w:r w:rsidRPr="001C1E47">
              <w:rPr>
                <w:rFonts w:cs="Calibri"/>
                <w:b/>
                <w:sz w:val="22"/>
                <w:szCs w:val="22"/>
              </w:rPr>
              <w:t>FY 20</w:t>
            </w:r>
            <w:r>
              <w:rPr>
                <w:rFonts w:cs="Calibri"/>
                <w:b/>
                <w:sz w:val="22"/>
                <w:szCs w:val="22"/>
              </w:rPr>
              <w:t>24</w:t>
            </w:r>
            <w:r w:rsidRPr="001C1E47">
              <w:rPr>
                <w:rFonts w:cs="Calibri"/>
                <w:b/>
                <w:sz w:val="22"/>
                <w:szCs w:val="22"/>
              </w:rPr>
              <w:t>-OB-#</w:t>
            </w:r>
          </w:p>
          <w:p w14:paraId="2B9CE2F8" w14:textId="77777777" w:rsidR="00885FDE" w:rsidRDefault="00885FDE" w:rsidP="00107A53">
            <w:pPr>
              <w:widowControl/>
              <w:autoSpaceDE/>
              <w:autoSpaceDN/>
              <w:adjustRightInd/>
              <w:rPr>
                <w:rFonts w:cs="Calibri"/>
                <w:i/>
                <w:sz w:val="22"/>
                <w:szCs w:val="22"/>
              </w:rPr>
            </w:pPr>
          </w:p>
        </w:tc>
        <w:tc>
          <w:tcPr>
            <w:tcW w:w="1710" w:type="dxa"/>
          </w:tcPr>
          <w:p w14:paraId="3CBBFBFE" w14:textId="77777777" w:rsidR="00885FDE" w:rsidRPr="001C1E47" w:rsidRDefault="00885FDE" w:rsidP="00107A53">
            <w:pPr>
              <w:widowControl/>
              <w:autoSpaceDE/>
              <w:autoSpaceDN/>
              <w:adjustRightInd/>
              <w:rPr>
                <w:rFonts w:cs="Calibri"/>
                <w:b/>
                <w:sz w:val="22"/>
                <w:szCs w:val="22"/>
              </w:rPr>
            </w:pPr>
            <w:r w:rsidRPr="001C1E47">
              <w:rPr>
                <w:rFonts w:cs="Calibri"/>
                <w:b/>
                <w:sz w:val="22"/>
                <w:szCs w:val="22"/>
              </w:rPr>
              <w:t>Observation#</w:t>
            </w:r>
          </w:p>
          <w:p w14:paraId="12BF0615" w14:textId="77777777" w:rsidR="00885FDE" w:rsidRDefault="00885FDE" w:rsidP="00107A53">
            <w:pPr>
              <w:widowControl/>
              <w:autoSpaceDE/>
              <w:autoSpaceDN/>
              <w:adjustRightInd/>
              <w:rPr>
                <w:rFonts w:cs="Calibri"/>
                <w:i/>
                <w:sz w:val="22"/>
                <w:szCs w:val="22"/>
              </w:rPr>
            </w:pPr>
            <w:r w:rsidRPr="001C1E47">
              <w:rPr>
                <w:rFonts w:cs="Calibri"/>
                <w:b/>
                <w:sz w:val="22"/>
                <w:szCs w:val="22"/>
              </w:rPr>
              <w:t>FY 20</w:t>
            </w:r>
            <w:r>
              <w:rPr>
                <w:rFonts w:cs="Calibri"/>
                <w:b/>
                <w:sz w:val="22"/>
                <w:szCs w:val="22"/>
              </w:rPr>
              <w:t>23</w:t>
            </w:r>
            <w:r w:rsidRPr="001C1E47">
              <w:rPr>
                <w:rFonts w:cs="Calibri"/>
                <w:b/>
                <w:sz w:val="22"/>
                <w:szCs w:val="22"/>
              </w:rPr>
              <w:t xml:space="preserve">-OB-# </w:t>
            </w:r>
            <w:r w:rsidRPr="001C1E47">
              <w:rPr>
                <w:rFonts w:cs="Calibri"/>
                <w:b/>
                <w:i/>
                <w:sz w:val="22"/>
                <w:szCs w:val="22"/>
              </w:rPr>
              <w:t>or</w:t>
            </w:r>
            <w:r w:rsidRPr="001C1E47">
              <w:rPr>
                <w:rFonts w:cs="Calibri"/>
                <w:b/>
                <w:sz w:val="22"/>
                <w:szCs w:val="22"/>
              </w:rPr>
              <w:t xml:space="preserve"> FY 20</w:t>
            </w:r>
            <w:r>
              <w:rPr>
                <w:rFonts w:cs="Calibri"/>
                <w:b/>
                <w:sz w:val="22"/>
                <w:szCs w:val="22"/>
              </w:rPr>
              <w:t>23</w:t>
            </w:r>
            <w:r w:rsidRPr="001C1E47">
              <w:rPr>
                <w:rFonts w:cs="Calibri"/>
                <w:b/>
                <w:sz w:val="22"/>
                <w:szCs w:val="22"/>
              </w:rPr>
              <w:t>-#</w:t>
            </w:r>
          </w:p>
        </w:tc>
        <w:tc>
          <w:tcPr>
            <w:tcW w:w="3420" w:type="dxa"/>
          </w:tcPr>
          <w:p w14:paraId="4559200E" w14:textId="77777777" w:rsidR="00885FDE" w:rsidRDefault="00885FDE" w:rsidP="00107A53">
            <w:pPr>
              <w:widowControl/>
              <w:autoSpaceDE/>
              <w:autoSpaceDN/>
              <w:adjustRightInd/>
              <w:rPr>
                <w:rFonts w:cs="Calibri"/>
                <w:i/>
                <w:sz w:val="22"/>
                <w:szCs w:val="22"/>
              </w:rPr>
            </w:pPr>
            <w:r w:rsidRPr="001C1E47">
              <w:rPr>
                <w:rFonts w:cs="Calibri"/>
                <w:b/>
                <w:sz w:val="22"/>
                <w:szCs w:val="22"/>
              </w:rPr>
              <w:t>Observation</w:t>
            </w:r>
          </w:p>
        </w:tc>
        <w:tc>
          <w:tcPr>
            <w:tcW w:w="4230" w:type="dxa"/>
          </w:tcPr>
          <w:p w14:paraId="072F9D6B" w14:textId="77777777" w:rsidR="00885FDE" w:rsidRDefault="00885FDE" w:rsidP="00107A53">
            <w:pPr>
              <w:widowControl/>
              <w:autoSpaceDE/>
              <w:autoSpaceDN/>
              <w:adjustRightInd/>
              <w:rPr>
                <w:rFonts w:cs="Calibri"/>
                <w:i/>
                <w:sz w:val="22"/>
                <w:szCs w:val="22"/>
              </w:rPr>
            </w:pPr>
            <w:r w:rsidRPr="001C1E47">
              <w:rPr>
                <w:rFonts w:cs="Calibri"/>
                <w:b/>
                <w:sz w:val="22"/>
                <w:szCs w:val="22"/>
              </w:rPr>
              <w:t>Federal Monitoring Plan</w:t>
            </w:r>
          </w:p>
        </w:tc>
        <w:tc>
          <w:tcPr>
            <w:tcW w:w="1975" w:type="dxa"/>
          </w:tcPr>
          <w:p w14:paraId="48B6CDAA" w14:textId="77777777" w:rsidR="00885FDE" w:rsidRPr="00C04E81" w:rsidRDefault="00885FDE" w:rsidP="00107A53">
            <w:pPr>
              <w:widowControl/>
              <w:autoSpaceDE/>
              <w:autoSpaceDN/>
              <w:adjustRightInd/>
              <w:rPr>
                <w:rFonts w:cs="Calibri"/>
                <w:b/>
                <w:sz w:val="22"/>
                <w:szCs w:val="22"/>
              </w:rPr>
            </w:pPr>
            <w:r w:rsidRPr="00C04E81">
              <w:rPr>
                <w:rFonts w:cs="Calibri"/>
                <w:b/>
                <w:sz w:val="22"/>
                <w:szCs w:val="22"/>
              </w:rPr>
              <w:t>Current Status</w:t>
            </w:r>
          </w:p>
        </w:tc>
      </w:tr>
      <w:tr w:rsidR="0356BB9D" w:rsidRPr="00B42C37" w14:paraId="715083EB" w14:textId="77777777" w:rsidTr="00C14984">
        <w:trPr>
          <w:trHeight w:val="300"/>
        </w:trPr>
        <w:tc>
          <w:tcPr>
            <w:tcW w:w="1615" w:type="dxa"/>
          </w:tcPr>
          <w:p w14:paraId="20FE8378" w14:textId="4E41F40C" w:rsidR="1ABC14B8" w:rsidRPr="00B42C37" w:rsidRDefault="279DCFF0" w:rsidP="5991425A">
            <w:pPr>
              <w:jc w:val="center"/>
              <w:rPr>
                <w:rFonts w:asciiTheme="minorHAnsi" w:eastAsia="Calibri" w:hAnsiTheme="minorHAnsi" w:cstheme="minorHAnsi"/>
                <w:sz w:val="22"/>
                <w:szCs w:val="22"/>
              </w:rPr>
            </w:pPr>
            <w:r w:rsidRPr="00B42C37">
              <w:rPr>
                <w:rFonts w:asciiTheme="minorHAnsi" w:eastAsia="Calibri" w:hAnsiTheme="minorHAnsi" w:cstheme="minorHAnsi"/>
                <w:sz w:val="22"/>
                <w:szCs w:val="22"/>
              </w:rPr>
              <w:t>FY 2024-OB-01</w:t>
            </w:r>
          </w:p>
          <w:p w14:paraId="06ADA303" w14:textId="6E98D10F" w:rsidR="1ABC14B8" w:rsidRPr="00B42C37" w:rsidRDefault="1ABC14B8" w:rsidP="5991425A">
            <w:pPr>
              <w:jc w:val="center"/>
              <w:rPr>
                <w:rFonts w:asciiTheme="minorHAnsi" w:eastAsia="Calibri" w:hAnsiTheme="minorHAnsi" w:cstheme="minorHAnsi"/>
                <w:sz w:val="22"/>
                <w:szCs w:val="22"/>
              </w:rPr>
            </w:pPr>
          </w:p>
        </w:tc>
        <w:tc>
          <w:tcPr>
            <w:tcW w:w="1710" w:type="dxa"/>
          </w:tcPr>
          <w:p w14:paraId="4652FD04" w14:textId="41A835FF" w:rsidR="1ABC14B8" w:rsidRPr="00BA600F" w:rsidRDefault="45613C25" w:rsidP="00BA600F">
            <w:pPr>
              <w:rPr>
                <w:rFonts w:asciiTheme="minorHAnsi" w:hAnsiTheme="minorHAnsi" w:cstheme="minorHAnsi"/>
                <w:sz w:val="22"/>
                <w:szCs w:val="22"/>
              </w:rPr>
            </w:pPr>
            <w:r w:rsidRPr="00B42C37">
              <w:rPr>
                <w:rFonts w:asciiTheme="minorHAnsi" w:eastAsia="Calibri" w:hAnsiTheme="minorHAnsi" w:cstheme="minorHAnsi"/>
                <w:sz w:val="22"/>
                <w:szCs w:val="22"/>
              </w:rPr>
              <w:t>FY 2023-OB-01</w:t>
            </w:r>
          </w:p>
        </w:tc>
        <w:tc>
          <w:tcPr>
            <w:tcW w:w="3420" w:type="dxa"/>
          </w:tcPr>
          <w:p w14:paraId="447EDC08" w14:textId="33674C5A" w:rsidR="00FC4550" w:rsidRPr="00B42C37" w:rsidRDefault="1ABC14B8" w:rsidP="00FC4550">
            <w:pPr>
              <w:rPr>
                <w:rFonts w:asciiTheme="minorHAnsi" w:eastAsia="Calibri" w:hAnsiTheme="minorHAnsi" w:cstheme="minorHAnsi"/>
                <w:sz w:val="22"/>
                <w:szCs w:val="22"/>
              </w:rPr>
            </w:pPr>
            <w:r w:rsidRPr="00B42C37">
              <w:rPr>
                <w:rFonts w:asciiTheme="minorHAnsi" w:eastAsia="Calibri" w:hAnsiTheme="minorHAnsi" w:cstheme="minorHAnsi"/>
                <w:sz w:val="22"/>
                <w:szCs w:val="22"/>
              </w:rPr>
              <w:t>In FY 2023, in 4 of 7 (57%) case files where next of kin letters were appropriate, the letters were not included in the file.</w:t>
            </w:r>
          </w:p>
        </w:tc>
        <w:tc>
          <w:tcPr>
            <w:tcW w:w="4230" w:type="dxa"/>
          </w:tcPr>
          <w:p w14:paraId="6E5E2DEB" w14:textId="5D75D149" w:rsidR="1ABC14B8" w:rsidRPr="00B42C37" w:rsidRDefault="1ABC14B8" w:rsidP="1ABC14B8">
            <w:pPr>
              <w:rPr>
                <w:rFonts w:asciiTheme="minorHAnsi" w:eastAsia="Calibri" w:hAnsiTheme="minorHAnsi" w:cstheme="minorHAnsi"/>
                <w:sz w:val="22"/>
                <w:szCs w:val="22"/>
              </w:rPr>
            </w:pPr>
            <w:r w:rsidRPr="00B42C37">
              <w:rPr>
                <w:rFonts w:asciiTheme="minorHAnsi" w:eastAsia="Calibri" w:hAnsiTheme="minorHAnsi" w:cstheme="minorHAnsi"/>
                <w:sz w:val="22"/>
                <w:szCs w:val="22"/>
              </w:rPr>
              <w:t>OSHA will review fatality case files in the next cycle to determine if next of kin letters are being sent out and maintained.</w:t>
            </w:r>
          </w:p>
        </w:tc>
        <w:tc>
          <w:tcPr>
            <w:tcW w:w="1975" w:type="dxa"/>
          </w:tcPr>
          <w:p w14:paraId="79E4394D" w14:textId="54EB1C00" w:rsidR="0356BB9D" w:rsidRPr="00C04E81" w:rsidRDefault="00FA5090" w:rsidP="0356BB9D">
            <w:pPr>
              <w:widowControl/>
              <w:rPr>
                <w:rFonts w:asciiTheme="minorHAnsi" w:hAnsiTheme="minorHAnsi" w:cstheme="minorHAnsi"/>
                <w:sz w:val="22"/>
                <w:szCs w:val="22"/>
              </w:rPr>
            </w:pPr>
            <w:r w:rsidRPr="00C04E81">
              <w:rPr>
                <w:rFonts w:asciiTheme="minorHAnsi" w:hAnsiTheme="minorHAnsi" w:cstheme="minorHAnsi"/>
                <w:sz w:val="22"/>
                <w:szCs w:val="22"/>
              </w:rPr>
              <w:t>Continued</w:t>
            </w:r>
          </w:p>
        </w:tc>
      </w:tr>
      <w:tr w:rsidR="0356BB9D" w:rsidRPr="00B42C37" w14:paraId="0E77F2AF" w14:textId="77777777" w:rsidTr="00C14984">
        <w:trPr>
          <w:trHeight w:val="300"/>
        </w:trPr>
        <w:tc>
          <w:tcPr>
            <w:tcW w:w="1615" w:type="dxa"/>
          </w:tcPr>
          <w:p w14:paraId="2CA58EB5" w14:textId="61504EF5" w:rsidR="1ABC14B8" w:rsidRPr="00B42C37" w:rsidRDefault="2CE57A04" w:rsidP="1ABC14B8">
            <w:pPr>
              <w:jc w:val="center"/>
              <w:rPr>
                <w:rFonts w:asciiTheme="minorHAnsi" w:eastAsia="Calibri" w:hAnsiTheme="minorHAnsi" w:cstheme="minorHAnsi"/>
                <w:sz w:val="22"/>
                <w:szCs w:val="22"/>
              </w:rPr>
            </w:pPr>
            <w:r w:rsidRPr="00B42C37">
              <w:rPr>
                <w:rFonts w:asciiTheme="minorHAnsi" w:eastAsia="Calibri" w:hAnsiTheme="minorHAnsi" w:cstheme="minorHAnsi"/>
                <w:sz w:val="22"/>
                <w:szCs w:val="22"/>
              </w:rPr>
              <w:t>FY 202</w:t>
            </w:r>
            <w:r w:rsidR="42BC51F7" w:rsidRPr="00B42C37">
              <w:rPr>
                <w:rFonts w:asciiTheme="minorHAnsi" w:eastAsia="Calibri" w:hAnsiTheme="minorHAnsi" w:cstheme="minorHAnsi"/>
                <w:sz w:val="22"/>
                <w:szCs w:val="22"/>
              </w:rPr>
              <w:t>4</w:t>
            </w:r>
            <w:r w:rsidRPr="00B42C37">
              <w:rPr>
                <w:rFonts w:asciiTheme="minorHAnsi" w:eastAsia="Calibri" w:hAnsiTheme="minorHAnsi" w:cstheme="minorHAnsi"/>
                <w:sz w:val="22"/>
                <w:szCs w:val="22"/>
              </w:rPr>
              <w:t>-OB-0</w:t>
            </w:r>
            <w:r w:rsidR="0077557B">
              <w:rPr>
                <w:rFonts w:asciiTheme="minorHAnsi" w:eastAsia="Calibri" w:hAnsiTheme="minorHAnsi" w:cstheme="minorHAnsi"/>
                <w:sz w:val="22"/>
                <w:szCs w:val="22"/>
              </w:rPr>
              <w:t>2</w:t>
            </w:r>
          </w:p>
        </w:tc>
        <w:tc>
          <w:tcPr>
            <w:tcW w:w="1710" w:type="dxa"/>
          </w:tcPr>
          <w:p w14:paraId="6F5E729D" w14:textId="319A4793" w:rsidR="10BA9E23" w:rsidRPr="00B42C37" w:rsidRDefault="10BA9E23" w:rsidP="00B42C37">
            <w:pPr>
              <w:rPr>
                <w:rFonts w:asciiTheme="minorHAnsi" w:eastAsia="Calibri" w:hAnsiTheme="minorHAnsi" w:cstheme="minorHAnsi"/>
                <w:sz w:val="22"/>
                <w:szCs w:val="22"/>
              </w:rPr>
            </w:pPr>
            <w:r w:rsidRPr="00B42C37">
              <w:rPr>
                <w:rFonts w:asciiTheme="minorHAnsi" w:eastAsia="Calibri" w:hAnsiTheme="minorHAnsi" w:cstheme="minorHAnsi"/>
                <w:sz w:val="22"/>
                <w:szCs w:val="22"/>
              </w:rPr>
              <w:t>FY 2023-OB-04</w:t>
            </w:r>
          </w:p>
          <w:p w14:paraId="0FEC5D2B" w14:textId="7B9D9074" w:rsidR="1ABC14B8" w:rsidRPr="00B42C37" w:rsidRDefault="1ABC14B8" w:rsidP="00B42C37">
            <w:pPr>
              <w:rPr>
                <w:rFonts w:asciiTheme="minorHAnsi" w:eastAsia="Calibri" w:hAnsiTheme="minorHAnsi" w:cstheme="minorHAnsi"/>
                <w:sz w:val="22"/>
                <w:szCs w:val="22"/>
              </w:rPr>
            </w:pPr>
          </w:p>
        </w:tc>
        <w:tc>
          <w:tcPr>
            <w:tcW w:w="3420" w:type="dxa"/>
          </w:tcPr>
          <w:p w14:paraId="10206862" w14:textId="690F4393" w:rsidR="1ABC14B8" w:rsidRPr="00B42C37" w:rsidRDefault="1ABC14B8" w:rsidP="1ABC14B8">
            <w:pPr>
              <w:rPr>
                <w:rFonts w:asciiTheme="minorHAnsi" w:eastAsia="Calibri" w:hAnsiTheme="minorHAnsi" w:cstheme="minorHAnsi"/>
                <w:sz w:val="22"/>
                <w:szCs w:val="22"/>
              </w:rPr>
            </w:pPr>
            <w:r w:rsidRPr="00B42C37">
              <w:rPr>
                <w:rFonts w:asciiTheme="minorHAnsi" w:eastAsia="Calibri" w:hAnsiTheme="minorHAnsi" w:cstheme="minorHAnsi"/>
                <w:sz w:val="22"/>
                <w:szCs w:val="22"/>
              </w:rPr>
              <w:t>In FY 2023, in 8 of 12 (66.7%) inspection case files where union workers were on the job site, the union did not participate in the inspection and there was no explanation in the case file regarding the lack of participation.</w:t>
            </w:r>
          </w:p>
        </w:tc>
        <w:tc>
          <w:tcPr>
            <w:tcW w:w="4230" w:type="dxa"/>
          </w:tcPr>
          <w:p w14:paraId="418C1FF6" w14:textId="4ABD1717" w:rsidR="1ABC14B8" w:rsidRPr="00B42C37" w:rsidRDefault="1ABC14B8" w:rsidP="1ABC14B8">
            <w:pPr>
              <w:rPr>
                <w:rFonts w:asciiTheme="minorHAnsi" w:eastAsia="Calibri" w:hAnsiTheme="minorHAnsi" w:cstheme="minorHAnsi"/>
                <w:sz w:val="22"/>
                <w:szCs w:val="22"/>
              </w:rPr>
            </w:pPr>
            <w:r w:rsidRPr="00B42C37">
              <w:rPr>
                <w:rFonts w:asciiTheme="minorHAnsi" w:eastAsia="Calibri" w:hAnsiTheme="minorHAnsi" w:cstheme="minorHAnsi"/>
                <w:sz w:val="22"/>
                <w:szCs w:val="22"/>
              </w:rPr>
              <w:t>OSHA will discuss this concern with DOSH during quarterly meetings.</w:t>
            </w:r>
          </w:p>
        </w:tc>
        <w:tc>
          <w:tcPr>
            <w:tcW w:w="1975" w:type="dxa"/>
          </w:tcPr>
          <w:p w14:paraId="711A067E" w14:textId="4CB98B9A" w:rsidR="0356BB9D" w:rsidRPr="00C04E81" w:rsidRDefault="00C04E81" w:rsidP="0356BB9D">
            <w:pPr>
              <w:widowControl/>
              <w:rPr>
                <w:rFonts w:asciiTheme="minorHAnsi" w:hAnsiTheme="minorHAnsi" w:cstheme="minorHAnsi"/>
                <w:sz w:val="22"/>
                <w:szCs w:val="22"/>
              </w:rPr>
            </w:pPr>
            <w:r>
              <w:rPr>
                <w:rFonts w:asciiTheme="minorHAnsi" w:hAnsiTheme="minorHAnsi" w:cstheme="minorHAnsi"/>
                <w:sz w:val="22"/>
                <w:szCs w:val="22"/>
              </w:rPr>
              <w:t>Continued</w:t>
            </w:r>
          </w:p>
        </w:tc>
      </w:tr>
      <w:tr w:rsidR="0356BB9D" w:rsidRPr="00B42C37" w14:paraId="18EA6222" w14:textId="77777777" w:rsidTr="00C14984">
        <w:trPr>
          <w:trHeight w:val="300"/>
        </w:trPr>
        <w:tc>
          <w:tcPr>
            <w:tcW w:w="1615" w:type="dxa"/>
          </w:tcPr>
          <w:p w14:paraId="7F0802E0" w14:textId="4061C264" w:rsidR="1ABC14B8" w:rsidRPr="00B42C37" w:rsidRDefault="2CE57A04" w:rsidP="1ABC14B8">
            <w:pPr>
              <w:jc w:val="center"/>
              <w:rPr>
                <w:rFonts w:asciiTheme="minorHAnsi" w:eastAsia="Calibri" w:hAnsiTheme="minorHAnsi" w:cstheme="minorHAnsi"/>
                <w:sz w:val="22"/>
                <w:szCs w:val="22"/>
              </w:rPr>
            </w:pPr>
            <w:r w:rsidRPr="00B42C37">
              <w:rPr>
                <w:rFonts w:asciiTheme="minorHAnsi" w:eastAsia="Calibri" w:hAnsiTheme="minorHAnsi" w:cstheme="minorHAnsi"/>
                <w:sz w:val="22"/>
                <w:szCs w:val="22"/>
              </w:rPr>
              <w:t>FY 202</w:t>
            </w:r>
            <w:r w:rsidR="62FC43CD" w:rsidRPr="00B42C37">
              <w:rPr>
                <w:rFonts w:asciiTheme="minorHAnsi" w:eastAsia="Calibri" w:hAnsiTheme="minorHAnsi" w:cstheme="minorHAnsi"/>
                <w:sz w:val="22"/>
                <w:szCs w:val="22"/>
              </w:rPr>
              <w:t>4</w:t>
            </w:r>
            <w:r w:rsidRPr="00B42C37">
              <w:rPr>
                <w:rFonts w:asciiTheme="minorHAnsi" w:eastAsia="Calibri" w:hAnsiTheme="minorHAnsi" w:cstheme="minorHAnsi"/>
                <w:sz w:val="22"/>
                <w:szCs w:val="22"/>
              </w:rPr>
              <w:t>-OB-0</w:t>
            </w:r>
            <w:r w:rsidR="0077557B">
              <w:rPr>
                <w:rFonts w:asciiTheme="minorHAnsi" w:eastAsia="Calibri" w:hAnsiTheme="minorHAnsi" w:cstheme="minorHAnsi"/>
                <w:sz w:val="22"/>
                <w:szCs w:val="22"/>
              </w:rPr>
              <w:t>3</w:t>
            </w:r>
          </w:p>
        </w:tc>
        <w:tc>
          <w:tcPr>
            <w:tcW w:w="1710" w:type="dxa"/>
          </w:tcPr>
          <w:p w14:paraId="64B47C8D" w14:textId="58A392AC" w:rsidR="3220E4EE" w:rsidRPr="00B42C37" w:rsidRDefault="3220E4EE" w:rsidP="00B42C37">
            <w:pPr>
              <w:rPr>
                <w:rFonts w:asciiTheme="minorHAnsi" w:eastAsia="Calibri" w:hAnsiTheme="minorHAnsi" w:cstheme="minorHAnsi"/>
                <w:sz w:val="22"/>
                <w:szCs w:val="22"/>
              </w:rPr>
            </w:pPr>
            <w:r w:rsidRPr="00B42C37">
              <w:rPr>
                <w:rFonts w:asciiTheme="minorHAnsi" w:eastAsia="Calibri" w:hAnsiTheme="minorHAnsi" w:cstheme="minorHAnsi"/>
                <w:sz w:val="22"/>
                <w:szCs w:val="22"/>
              </w:rPr>
              <w:t>FY 2023-OB-05</w:t>
            </w:r>
          </w:p>
          <w:p w14:paraId="50EBED1B" w14:textId="601E0B1F" w:rsidR="1ABC14B8" w:rsidRPr="00B42C37" w:rsidRDefault="1ABC14B8" w:rsidP="00B42C37">
            <w:pPr>
              <w:rPr>
                <w:rFonts w:asciiTheme="minorHAnsi" w:eastAsia="Calibri" w:hAnsiTheme="minorHAnsi" w:cstheme="minorHAnsi"/>
                <w:sz w:val="22"/>
                <w:szCs w:val="22"/>
              </w:rPr>
            </w:pPr>
          </w:p>
        </w:tc>
        <w:tc>
          <w:tcPr>
            <w:tcW w:w="3420" w:type="dxa"/>
          </w:tcPr>
          <w:p w14:paraId="788F22C6" w14:textId="103A3D3D" w:rsidR="1ABC14B8" w:rsidRPr="00B42C37" w:rsidRDefault="1ABC14B8" w:rsidP="1ABC14B8">
            <w:pPr>
              <w:rPr>
                <w:rFonts w:asciiTheme="minorHAnsi" w:eastAsia="Calibri" w:hAnsiTheme="minorHAnsi" w:cstheme="minorHAnsi"/>
                <w:sz w:val="22"/>
                <w:szCs w:val="22"/>
              </w:rPr>
            </w:pPr>
            <w:r w:rsidRPr="00B42C37">
              <w:rPr>
                <w:rFonts w:asciiTheme="minorHAnsi" w:eastAsia="Calibri" w:hAnsiTheme="minorHAnsi" w:cstheme="minorHAnsi"/>
                <w:sz w:val="22"/>
                <w:szCs w:val="22"/>
              </w:rPr>
              <w:t>In FY 2023, in 16% (21 of 130) of retaliation case files, accurate filing dates were not entered into WebIMIS.</w:t>
            </w:r>
          </w:p>
        </w:tc>
        <w:tc>
          <w:tcPr>
            <w:tcW w:w="4230" w:type="dxa"/>
          </w:tcPr>
          <w:p w14:paraId="76BF1D85" w14:textId="229DCF85" w:rsidR="1ABC14B8" w:rsidRPr="00B42C37" w:rsidRDefault="1ABC14B8" w:rsidP="1ABC14B8">
            <w:pPr>
              <w:rPr>
                <w:rFonts w:asciiTheme="minorHAnsi" w:eastAsia="Calibri" w:hAnsiTheme="minorHAnsi" w:cstheme="minorHAnsi"/>
                <w:sz w:val="22"/>
                <w:szCs w:val="22"/>
              </w:rPr>
            </w:pPr>
            <w:r w:rsidRPr="00B42C37">
              <w:rPr>
                <w:rFonts w:asciiTheme="minorHAnsi" w:eastAsia="Calibri" w:hAnsiTheme="minorHAnsi" w:cstheme="minorHAnsi"/>
                <w:sz w:val="22"/>
                <w:szCs w:val="22"/>
              </w:rPr>
              <w:t xml:space="preserve">During quarterly meetings, OSHA will monitor that correct filing dates are entered into </w:t>
            </w:r>
            <w:r w:rsidR="00EE50E9">
              <w:rPr>
                <w:rFonts w:asciiTheme="minorHAnsi" w:eastAsia="Calibri" w:hAnsiTheme="minorHAnsi" w:cstheme="minorHAnsi"/>
                <w:sz w:val="22"/>
                <w:szCs w:val="22"/>
              </w:rPr>
              <w:t>OIS.</w:t>
            </w:r>
          </w:p>
        </w:tc>
        <w:tc>
          <w:tcPr>
            <w:tcW w:w="1975" w:type="dxa"/>
          </w:tcPr>
          <w:p w14:paraId="5FC4B897" w14:textId="0E05171B" w:rsidR="0356BB9D" w:rsidRPr="00C04E81" w:rsidRDefault="00A44D15" w:rsidP="0356BB9D">
            <w:pPr>
              <w:widowControl/>
              <w:rPr>
                <w:rFonts w:asciiTheme="minorHAnsi" w:hAnsiTheme="minorHAnsi" w:cstheme="minorHAnsi"/>
                <w:sz w:val="22"/>
                <w:szCs w:val="22"/>
              </w:rPr>
            </w:pPr>
            <w:r>
              <w:rPr>
                <w:rFonts w:asciiTheme="minorHAnsi" w:hAnsiTheme="minorHAnsi" w:cstheme="minorHAnsi"/>
                <w:sz w:val="22"/>
                <w:szCs w:val="22"/>
              </w:rPr>
              <w:t>Continued</w:t>
            </w:r>
          </w:p>
        </w:tc>
      </w:tr>
      <w:tr w:rsidR="0356BB9D" w:rsidRPr="00B42C37" w14:paraId="31F7BD21" w14:textId="77777777" w:rsidTr="00C14984">
        <w:trPr>
          <w:trHeight w:val="300"/>
        </w:trPr>
        <w:tc>
          <w:tcPr>
            <w:tcW w:w="1615" w:type="dxa"/>
          </w:tcPr>
          <w:p w14:paraId="33526A0F" w14:textId="0F003B80" w:rsidR="1ABC14B8" w:rsidRPr="00B42C37" w:rsidRDefault="1ABC14B8" w:rsidP="1ABC14B8">
            <w:pPr>
              <w:jc w:val="center"/>
              <w:rPr>
                <w:rFonts w:asciiTheme="minorHAnsi" w:eastAsia="Calibri" w:hAnsiTheme="minorHAnsi" w:cstheme="minorHAnsi"/>
                <w:sz w:val="22"/>
                <w:szCs w:val="22"/>
              </w:rPr>
            </w:pPr>
            <w:r w:rsidRPr="00B42C37">
              <w:rPr>
                <w:rFonts w:asciiTheme="minorHAnsi" w:eastAsia="Calibri" w:hAnsiTheme="minorHAnsi" w:cstheme="minorHAnsi"/>
                <w:sz w:val="22"/>
                <w:szCs w:val="22"/>
              </w:rPr>
              <w:t xml:space="preserve">FY </w:t>
            </w:r>
            <w:r w:rsidR="5CD8CA39" w:rsidRPr="00B42C37">
              <w:rPr>
                <w:rFonts w:asciiTheme="minorHAnsi" w:eastAsia="Calibri" w:hAnsiTheme="minorHAnsi" w:cstheme="minorHAnsi"/>
                <w:sz w:val="22"/>
                <w:szCs w:val="22"/>
              </w:rPr>
              <w:t>202</w:t>
            </w:r>
            <w:r w:rsidR="154EE021" w:rsidRPr="00B42C37">
              <w:rPr>
                <w:rFonts w:asciiTheme="minorHAnsi" w:eastAsia="Calibri" w:hAnsiTheme="minorHAnsi" w:cstheme="minorHAnsi"/>
                <w:sz w:val="22"/>
                <w:szCs w:val="22"/>
              </w:rPr>
              <w:t>4</w:t>
            </w:r>
            <w:r w:rsidRPr="00B42C37">
              <w:rPr>
                <w:rFonts w:asciiTheme="minorHAnsi" w:eastAsia="Calibri" w:hAnsiTheme="minorHAnsi" w:cstheme="minorHAnsi"/>
                <w:sz w:val="22"/>
                <w:szCs w:val="22"/>
              </w:rPr>
              <w:t>-OB-0</w:t>
            </w:r>
            <w:r w:rsidR="0077557B">
              <w:rPr>
                <w:rFonts w:asciiTheme="minorHAnsi" w:eastAsia="Calibri" w:hAnsiTheme="minorHAnsi" w:cstheme="minorHAnsi"/>
                <w:sz w:val="22"/>
                <w:szCs w:val="22"/>
              </w:rPr>
              <w:t>4</w:t>
            </w:r>
          </w:p>
        </w:tc>
        <w:tc>
          <w:tcPr>
            <w:tcW w:w="1710" w:type="dxa"/>
          </w:tcPr>
          <w:p w14:paraId="564C9FED" w14:textId="0424BE8E" w:rsidR="1ABC14B8" w:rsidRPr="00B42C37" w:rsidRDefault="5CA5DCCF" w:rsidP="00B42C37">
            <w:pPr>
              <w:rPr>
                <w:rFonts w:asciiTheme="minorHAnsi" w:eastAsia="Calibri" w:hAnsiTheme="minorHAnsi" w:cstheme="minorHAnsi"/>
                <w:sz w:val="22"/>
                <w:szCs w:val="22"/>
              </w:rPr>
            </w:pPr>
            <w:r w:rsidRPr="00B42C37">
              <w:rPr>
                <w:rFonts w:asciiTheme="minorHAnsi" w:eastAsia="Calibri" w:hAnsiTheme="minorHAnsi" w:cstheme="minorHAnsi"/>
                <w:sz w:val="22"/>
                <w:szCs w:val="22"/>
              </w:rPr>
              <w:t>FY 2023-OB-06</w:t>
            </w:r>
          </w:p>
          <w:p w14:paraId="1F7FF7C3" w14:textId="51364545" w:rsidR="1ABC14B8" w:rsidRPr="00B42C37" w:rsidRDefault="1ABC14B8" w:rsidP="00B42C37">
            <w:pPr>
              <w:rPr>
                <w:rFonts w:asciiTheme="minorHAnsi" w:eastAsia="Calibri" w:hAnsiTheme="minorHAnsi" w:cstheme="minorHAnsi"/>
                <w:sz w:val="22"/>
                <w:szCs w:val="22"/>
              </w:rPr>
            </w:pPr>
            <w:r w:rsidRPr="00B42C37">
              <w:rPr>
                <w:rFonts w:asciiTheme="minorHAnsi" w:eastAsia="Calibri" w:hAnsiTheme="minorHAnsi" w:cstheme="minorHAnsi"/>
                <w:sz w:val="22"/>
                <w:szCs w:val="22"/>
              </w:rPr>
              <w:t xml:space="preserve"> </w:t>
            </w:r>
          </w:p>
        </w:tc>
        <w:tc>
          <w:tcPr>
            <w:tcW w:w="3420" w:type="dxa"/>
          </w:tcPr>
          <w:p w14:paraId="15B2CD75" w14:textId="2497FD07" w:rsidR="1ABC14B8" w:rsidRPr="00B42C37" w:rsidRDefault="1ABC14B8" w:rsidP="1ABC14B8">
            <w:pPr>
              <w:rPr>
                <w:rFonts w:asciiTheme="minorHAnsi" w:eastAsia="Calibri" w:hAnsiTheme="minorHAnsi" w:cstheme="minorHAnsi"/>
                <w:sz w:val="22"/>
                <w:szCs w:val="22"/>
              </w:rPr>
            </w:pPr>
            <w:r w:rsidRPr="00B42C37">
              <w:rPr>
                <w:rFonts w:asciiTheme="minorHAnsi" w:eastAsia="Calibri" w:hAnsiTheme="minorHAnsi" w:cstheme="minorHAnsi"/>
                <w:sz w:val="22"/>
                <w:szCs w:val="22"/>
              </w:rPr>
              <w:t>In FY 2023, 79% (103 of 130) of retaliation case files lacked the required documentation, specifically proof of delivery of official letters.</w:t>
            </w:r>
          </w:p>
        </w:tc>
        <w:tc>
          <w:tcPr>
            <w:tcW w:w="4230" w:type="dxa"/>
          </w:tcPr>
          <w:p w14:paraId="16A77409" w14:textId="36B7837B" w:rsidR="1ABC14B8" w:rsidRPr="00B42C37" w:rsidRDefault="1ABC14B8" w:rsidP="1ABC14B8">
            <w:pPr>
              <w:rPr>
                <w:rFonts w:asciiTheme="minorHAnsi" w:hAnsiTheme="minorHAnsi" w:cstheme="minorHAnsi"/>
                <w:sz w:val="22"/>
                <w:szCs w:val="22"/>
              </w:rPr>
            </w:pPr>
            <w:r w:rsidRPr="00B42C37">
              <w:rPr>
                <w:rFonts w:asciiTheme="minorHAnsi" w:eastAsia="Calibri" w:hAnsiTheme="minorHAnsi" w:cstheme="minorHAnsi"/>
                <w:sz w:val="22"/>
                <w:szCs w:val="22"/>
              </w:rPr>
              <w:t>OSHA will monitor the lack of required</w:t>
            </w:r>
          </w:p>
          <w:p w14:paraId="07792DA9" w14:textId="15453B6C" w:rsidR="1ABC14B8" w:rsidRPr="00B42C37" w:rsidRDefault="1ABC14B8" w:rsidP="1ABC14B8">
            <w:pPr>
              <w:rPr>
                <w:rFonts w:asciiTheme="minorHAnsi" w:eastAsia="Calibri" w:hAnsiTheme="minorHAnsi" w:cstheme="minorHAnsi"/>
                <w:sz w:val="22"/>
                <w:szCs w:val="22"/>
              </w:rPr>
            </w:pPr>
            <w:r w:rsidRPr="00B42C37">
              <w:rPr>
                <w:rFonts w:asciiTheme="minorHAnsi" w:eastAsia="Calibri" w:hAnsiTheme="minorHAnsi" w:cstheme="minorHAnsi"/>
                <w:sz w:val="22"/>
                <w:szCs w:val="22"/>
              </w:rPr>
              <w:t>documentation during quarterly meetings with DOSH.</w:t>
            </w:r>
          </w:p>
        </w:tc>
        <w:tc>
          <w:tcPr>
            <w:tcW w:w="1975" w:type="dxa"/>
          </w:tcPr>
          <w:p w14:paraId="7F5D1B92" w14:textId="7DE7BA75" w:rsidR="0356BB9D" w:rsidRPr="00C04E81" w:rsidRDefault="00A44D15" w:rsidP="0356BB9D">
            <w:pPr>
              <w:widowControl/>
              <w:rPr>
                <w:rFonts w:asciiTheme="minorHAnsi" w:hAnsiTheme="minorHAnsi" w:cstheme="minorHAnsi"/>
                <w:sz w:val="22"/>
                <w:szCs w:val="22"/>
              </w:rPr>
            </w:pPr>
            <w:r>
              <w:rPr>
                <w:rFonts w:asciiTheme="minorHAnsi" w:hAnsiTheme="minorHAnsi" w:cstheme="minorHAnsi"/>
                <w:sz w:val="22"/>
                <w:szCs w:val="22"/>
              </w:rPr>
              <w:t>Continued</w:t>
            </w:r>
          </w:p>
        </w:tc>
      </w:tr>
      <w:tr w:rsidR="0356BB9D" w:rsidRPr="00B42C37" w14:paraId="4F3C5E8C" w14:textId="77777777" w:rsidTr="00C429E7">
        <w:trPr>
          <w:cantSplit/>
          <w:trHeight w:val="300"/>
        </w:trPr>
        <w:tc>
          <w:tcPr>
            <w:tcW w:w="1615" w:type="dxa"/>
          </w:tcPr>
          <w:p w14:paraId="6D7D0E39" w14:textId="2A321541" w:rsidR="1ABC14B8" w:rsidRPr="00B42C37" w:rsidRDefault="1ABC14B8" w:rsidP="1ABC14B8">
            <w:pPr>
              <w:jc w:val="center"/>
              <w:rPr>
                <w:rFonts w:asciiTheme="minorHAnsi" w:eastAsia="Calibri" w:hAnsiTheme="minorHAnsi" w:cstheme="minorHAnsi"/>
                <w:sz w:val="22"/>
                <w:szCs w:val="22"/>
              </w:rPr>
            </w:pPr>
            <w:r w:rsidRPr="00B42C37">
              <w:rPr>
                <w:rFonts w:asciiTheme="minorHAnsi" w:eastAsia="Calibri" w:hAnsiTheme="minorHAnsi" w:cstheme="minorHAnsi"/>
                <w:sz w:val="22"/>
                <w:szCs w:val="22"/>
              </w:rPr>
              <w:t xml:space="preserve">FY </w:t>
            </w:r>
            <w:r w:rsidR="225F77F6" w:rsidRPr="00B42C37">
              <w:rPr>
                <w:rFonts w:asciiTheme="minorHAnsi" w:eastAsia="Calibri" w:hAnsiTheme="minorHAnsi" w:cstheme="minorHAnsi"/>
                <w:sz w:val="22"/>
                <w:szCs w:val="22"/>
              </w:rPr>
              <w:t>202</w:t>
            </w:r>
            <w:r w:rsidR="4BCBC820" w:rsidRPr="00B42C37">
              <w:rPr>
                <w:rFonts w:asciiTheme="minorHAnsi" w:eastAsia="Calibri" w:hAnsiTheme="minorHAnsi" w:cstheme="minorHAnsi"/>
                <w:sz w:val="22"/>
                <w:szCs w:val="22"/>
              </w:rPr>
              <w:t>4</w:t>
            </w:r>
            <w:r w:rsidRPr="00B42C37">
              <w:rPr>
                <w:rFonts w:asciiTheme="minorHAnsi" w:eastAsia="Calibri" w:hAnsiTheme="minorHAnsi" w:cstheme="minorHAnsi"/>
                <w:sz w:val="22"/>
                <w:szCs w:val="22"/>
              </w:rPr>
              <w:t>-OB-0</w:t>
            </w:r>
            <w:r w:rsidR="0077557B">
              <w:rPr>
                <w:rFonts w:asciiTheme="minorHAnsi" w:eastAsia="Calibri" w:hAnsiTheme="minorHAnsi" w:cstheme="minorHAnsi"/>
                <w:sz w:val="22"/>
                <w:szCs w:val="22"/>
              </w:rPr>
              <w:t>5</w:t>
            </w:r>
          </w:p>
        </w:tc>
        <w:tc>
          <w:tcPr>
            <w:tcW w:w="1710" w:type="dxa"/>
          </w:tcPr>
          <w:p w14:paraId="46C88FB6" w14:textId="114BE156" w:rsidR="1ABC14B8" w:rsidRPr="00B42C37" w:rsidRDefault="225F77F6" w:rsidP="00B42C37">
            <w:pPr>
              <w:rPr>
                <w:rFonts w:asciiTheme="minorHAnsi" w:eastAsia="Calibri" w:hAnsiTheme="minorHAnsi" w:cstheme="minorHAnsi"/>
                <w:sz w:val="22"/>
                <w:szCs w:val="22"/>
              </w:rPr>
            </w:pPr>
            <w:r w:rsidRPr="00B42C37">
              <w:rPr>
                <w:rFonts w:asciiTheme="minorHAnsi" w:eastAsia="Calibri" w:hAnsiTheme="minorHAnsi" w:cstheme="minorHAnsi"/>
                <w:sz w:val="22"/>
                <w:szCs w:val="22"/>
              </w:rPr>
              <w:t xml:space="preserve"> </w:t>
            </w:r>
            <w:r w:rsidR="5E2C2A8E" w:rsidRPr="00B42C37">
              <w:rPr>
                <w:rFonts w:asciiTheme="minorHAnsi" w:eastAsia="Calibri" w:hAnsiTheme="minorHAnsi" w:cstheme="minorHAnsi"/>
                <w:sz w:val="22"/>
                <w:szCs w:val="22"/>
              </w:rPr>
              <w:t xml:space="preserve">FY 2023-OB-07  </w:t>
            </w:r>
          </w:p>
        </w:tc>
        <w:tc>
          <w:tcPr>
            <w:tcW w:w="3420" w:type="dxa"/>
          </w:tcPr>
          <w:p w14:paraId="693B1BD3" w14:textId="4ACE2B8D" w:rsidR="1ABC14B8" w:rsidRPr="00B42C37" w:rsidRDefault="1ABC14B8" w:rsidP="00A44D15">
            <w:pPr>
              <w:rPr>
                <w:rFonts w:asciiTheme="minorHAnsi" w:eastAsia="Calibri" w:hAnsiTheme="minorHAnsi" w:cstheme="minorHAnsi"/>
                <w:sz w:val="22"/>
                <w:szCs w:val="22"/>
              </w:rPr>
            </w:pPr>
            <w:r w:rsidRPr="00B42C37">
              <w:rPr>
                <w:rFonts w:asciiTheme="minorHAnsi" w:eastAsia="Calibri" w:hAnsiTheme="minorHAnsi" w:cstheme="minorHAnsi"/>
                <w:sz w:val="22"/>
                <w:szCs w:val="22"/>
              </w:rPr>
              <w:t>In FY 2023, agreement for the complainant to</w:t>
            </w:r>
            <w:r w:rsidR="00A44D15">
              <w:rPr>
                <w:rFonts w:asciiTheme="minorHAnsi" w:eastAsia="Calibri" w:hAnsiTheme="minorHAnsi" w:cstheme="minorHAnsi"/>
                <w:sz w:val="22"/>
                <w:szCs w:val="22"/>
              </w:rPr>
              <w:t xml:space="preserve"> </w:t>
            </w:r>
            <w:r w:rsidRPr="00B42C37">
              <w:rPr>
                <w:rFonts w:asciiTheme="minorHAnsi" w:eastAsia="Calibri" w:hAnsiTheme="minorHAnsi" w:cstheme="minorHAnsi"/>
                <w:sz w:val="22"/>
                <w:szCs w:val="22"/>
              </w:rPr>
              <w:t>administratively close the case was not obtained in 71% (63 of 88) of the retaliation case files reviewed.</w:t>
            </w:r>
          </w:p>
        </w:tc>
        <w:tc>
          <w:tcPr>
            <w:tcW w:w="4230" w:type="dxa"/>
          </w:tcPr>
          <w:p w14:paraId="3D5580F8" w14:textId="7214AC8E" w:rsidR="1ABC14B8" w:rsidRPr="00B42C37" w:rsidRDefault="1ABC14B8" w:rsidP="1ABC14B8">
            <w:pPr>
              <w:rPr>
                <w:rFonts w:asciiTheme="minorHAnsi" w:eastAsia="Calibri" w:hAnsiTheme="minorHAnsi" w:cstheme="minorHAnsi"/>
                <w:sz w:val="22"/>
                <w:szCs w:val="22"/>
              </w:rPr>
            </w:pPr>
            <w:r w:rsidRPr="00B42C37">
              <w:rPr>
                <w:rFonts w:asciiTheme="minorHAnsi" w:eastAsia="Calibri" w:hAnsiTheme="minorHAnsi" w:cstheme="minorHAnsi"/>
                <w:sz w:val="22"/>
                <w:szCs w:val="22"/>
              </w:rPr>
              <w:t xml:space="preserve">OSHA will monitor that DOSH discrimination investigators are obtaining agreement for complainants to administratively close cases during the quarterly meeting with DOSH.  </w:t>
            </w:r>
          </w:p>
        </w:tc>
        <w:tc>
          <w:tcPr>
            <w:tcW w:w="1975" w:type="dxa"/>
          </w:tcPr>
          <w:p w14:paraId="78938AAF" w14:textId="503EB32D" w:rsidR="0356BB9D" w:rsidRPr="00C04E81" w:rsidRDefault="00A44D15" w:rsidP="0356BB9D">
            <w:pPr>
              <w:widowControl/>
              <w:rPr>
                <w:rFonts w:asciiTheme="minorHAnsi" w:hAnsiTheme="minorHAnsi" w:cstheme="minorHAnsi"/>
                <w:sz w:val="22"/>
                <w:szCs w:val="22"/>
              </w:rPr>
            </w:pPr>
            <w:r>
              <w:rPr>
                <w:rFonts w:asciiTheme="minorHAnsi" w:hAnsiTheme="minorHAnsi" w:cstheme="minorHAnsi"/>
                <w:sz w:val="22"/>
                <w:szCs w:val="22"/>
              </w:rPr>
              <w:t>Continued</w:t>
            </w:r>
          </w:p>
        </w:tc>
      </w:tr>
      <w:tr w:rsidR="0356BB9D" w:rsidRPr="00B42C37" w14:paraId="6072FD4D" w14:textId="77777777" w:rsidTr="009C01E4">
        <w:trPr>
          <w:cantSplit/>
          <w:trHeight w:val="300"/>
        </w:trPr>
        <w:tc>
          <w:tcPr>
            <w:tcW w:w="1615" w:type="dxa"/>
          </w:tcPr>
          <w:p w14:paraId="16A667EA" w14:textId="0D8755D2" w:rsidR="1ABC14B8" w:rsidRPr="00B42C37" w:rsidRDefault="2CE57A04" w:rsidP="1ABC14B8">
            <w:pPr>
              <w:jc w:val="center"/>
              <w:rPr>
                <w:rFonts w:asciiTheme="minorHAnsi" w:eastAsia="Calibri" w:hAnsiTheme="minorHAnsi" w:cstheme="minorHAnsi"/>
                <w:sz w:val="22"/>
                <w:szCs w:val="22"/>
              </w:rPr>
            </w:pPr>
            <w:r w:rsidRPr="00B42C37">
              <w:rPr>
                <w:rFonts w:asciiTheme="minorHAnsi" w:eastAsia="Calibri" w:hAnsiTheme="minorHAnsi" w:cstheme="minorHAnsi"/>
                <w:sz w:val="22"/>
                <w:szCs w:val="22"/>
              </w:rPr>
              <w:t>FY 202</w:t>
            </w:r>
            <w:r w:rsidR="3BD77901" w:rsidRPr="00B42C37">
              <w:rPr>
                <w:rFonts w:asciiTheme="minorHAnsi" w:eastAsia="Calibri" w:hAnsiTheme="minorHAnsi" w:cstheme="minorHAnsi"/>
                <w:sz w:val="22"/>
                <w:szCs w:val="22"/>
              </w:rPr>
              <w:t>4</w:t>
            </w:r>
            <w:r w:rsidRPr="00B42C37">
              <w:rPr>
                <w:rFonts w:asciiTheme="minorHAnsi" w:eastAsia="Calibri" w:hAnsiTheme="minorHAnsi" w:cstheme="minorHAnsi"/>
                <w:sz w:val="22"/>
                <w:szCs w:val="22"/>
              </w:rPr>
              <w:t>-OB-0</w:t>
            </w:r>
            <w:r w:rsidR="0077557B">
              <w:rPr>
                <w:rFonts w:asciiTheme="minorHAnsi" w:eastAsia="Calibri" w:hAnsiTheme="minorHAnsi" w:cstheme="minorHAnsi"/>
                <w:sz w:val="22"/>
                <w:szCs w:val="22"/>
              </w:rPr>
              <w:t>6</w:t>
            </w:r>
          </w:p>
        </w:tc>
        <w:tc>
          <w:tcPr>
            <w:tcW w:w="1710" w:type="dxa"/>
          </w:tcPr>
          <w:p w14:paraId="458B8234" w14:textId="6AFE3D95" w:rsidR="1C5FBEDA" w:rsidRPr="00B42C37" w:rsidRDefault="1C5FBEDA" w:rsidP="00B42C37">
            <w:pPr>
              <w:rPr>
                <w:rFonts w:asciiTheme="minorHAnsi" w:eastAsia="Calibri" w:hAnsiTheme="minorHAnsi" w:cstheme="minorHAnsi"/>
                <w:sz w:val="22"/>
                <w:szCs w:val="22"/>
              </w:rPr>
            </w:pPr>
            <w:r w:rsidRPr="00B42C37">
              <w:rPr>
                <w:rFonts w:asciiTheme="minorHAnsi" w:eastAsia="Calibri" w:hAnsiTheme="minorHAnsi" w:cstheme="minorHAnsi"/>
                <w:sz w:val="22"/>
                <w:szCs w:val="22"/>
              </w:rPr>
              <w:t>FY 2023-OB-08</w:t>
            </w:r>
          </w:p>
          <w:p w14:paraId="568E939C" w14:textId="39467C5F" w:rsidR="1ABC14B8" w:rsidRPr="00B42C37" w:rsidRDefault="1ABC14B8" w:rsidP="00B42C37">
            <w:pPr>
              <w:rPr>
                <w:rFonts w:asciiTheme="minorHAnsi" w:eastAsia="Calibri" w:hAnsiTheme="minorHAnsi" w:cstheme="minorHAnsi"/>
                <w:sz w:val="22"/>
                <w:szCs w:val="22"/>
              </w:rPr>
            </w:pPr>
          </w:p>
        </w:tc>
        <w:tc>
          <w:tcPr>
            <w:tcW w:w="3420" w:type="dxa"/>
          </w:tcPr>
          <w:p w14:paraId="5E42EBFF" w14:textId="2E5D1FB7" w:rsidR="1ABC14B8" w:rsidRPr="00B42C37" w:rsidRDefault="1ABC14B8" w:rsidP="1ABC14B8">
            <w:pPr>
              <w:rPr>
                <w:rFonts w:asciiTheme="minorHAnsi" w:eastAsia="Calibri" w:hAnsiTheme="minorHAnsi" w:cstheme="minorHAnsi"/>
                <w:sz w:val="22"/>
                <w:szCs w:val="22"/>
              </w:rPr>
            </w:pPr>
            <w:r w:rsidRPr="00B42C37">
              <w:rPr>
                <w:rFonts w:asciiTheme="minorHAnsi" w:eastAsia="Calibri" w:hAnsiTheme="minorHAnsi" w:cstheme="minorHAnsi"/>
                <w:sz w:val="22"/>
                <w:szCs w:val="22"/>
              </w:rPr>
              <w:t>In FY 2023, 8 out of 11 (72%) state and local government workplace consultation files with 10 or more employees at the worksite, did not have the OSHA 300 logs in the file.</w:t>
            </w:r>
          </w:p>
        </w:tc>
        <w:tc>
          <w:tcPr>
            <w:tcW w:w="4230" w:type="dxa"/>
          </w:tcPr>
          <w:p w14:paraId="42E71DBC" w14:textId="06DE042C" w:rsidR="1ABC14B8" w:rsidRPr="00B42C37" w:rsidRDefault="1ABC14B8" w:rsidP="1ABC14B8">
            <w:pPr>
              <w:rPr>
                <w:rFonts w:asciiTheme="minorHAnsi" w:eastAsia="Calibri" w:hAnsiTheme="minorHAnsi" w:cstheme="minorHAnsi"/>
                <w:sz w:val="22"/>
                <w:szCs w:val="22"/>
              </w:rPr>
            </w:pPr>
            <w:r w:rsidRPr="00B42C37">
              <w:rPr>
                <w:rFonts w:asciiTheme="minorHAnsi" w:eastAsia="Calibri" w:hAnsiTheme="minorHAnsi" w:cstheme="minorHAnsi"/>
                <w:sz w:val="22"/>
                <w:szCs w:val="22"/>
              </w:rPr>
              <w:t>OSHA will discuss with DOSH during quarterly meetings and with the Consultation Program Manager. OSHA will conduct a file review during the next comprehensive FAME.</w:t>
            </w:r>
          </w:p>
        </w:tc>
        <w:tc>
          <w:tcPr>
            <w:tcW w:w="1975" w:type="dxa"/>
          </w:tcPr>
          <w:p w14:paraId="160F350D" w14:textId="5668E10A" w:rsidR="0356BB9D" w:rsidRPr="00C04E81" w:rsidRDefault="00A44D15" w:rsidP="0356BB9D">
            <w:pPr>
              <w:widowControl/>
              <w:rPr>
                <w:rFonts w:asciiTheme="minorHAnsi" w:hAnsiTheme="minorHAnsi" w:cstheme="minorHAnsi"/>
                <w:sz w:val="22"/>
                <w:szCs w:val="22"/>
              </w:rPr>
            </w:pPr>
            <w:r>
              <w:rPr>
                <w:rFonts w:asciiTheme="minorHAnsi" w:hAnsiTheme="minorHAnsi" w:cstheme="minorHAnsi"/>
                <w:sz w:val="22"/>
                <w:szCs w:val="22"/>
              </w:rPr>
              <w:t>Continued</w:t>
            </w:r>
          </w:p>
        </w:tc>
      </w:tr>
      <w:tr w:rsidR="0356BB9D" w:rsidRPr="00B42C37" w14:paraId="36BCDE58" w14:textId="77777777" w:rsidTr="00C14984">
        <w:trPr>
          <w:trHeight w:val="300"/>
        </w:trPr>
        <w:tc>
          <w:tcPr>
            <w:tcW w:w="1615" w:type="dxa"/>
          </w:tcPr>
          <w:p w14:paraId="23D11098" w14:textId="6D3BC6D3" w:rsidR="1ABC14B8" w:rsidRPr="00B42C37" w:rsidRDefault="2CE57A04" w:rsidP="1ABC14B8">
            <w:pPr>
              <w:jc w:val="center"/>
              <w:rPr>
                <w:rFonts w:asciiTheme="minorHAnsi" w:eastAsia="Calibri" w:hAnsiTheme="minorHAnsi" w:cstheme="minorHAnsi"/>
                <w:sz w:val="22"/>
                <w:szCs w:val="22"/>
              </w:rPr>
            </w:pPr>
            <w:r w:rsidRPr="00B42C37">
              <w:rPr>
                <w:rFonts w:asciiTheme="minorHAnsi" w:eastAsia="Calibri" w:hAnsiTheme="minorHAnsi" w:cstheme="minorHAnsi"/>
                <w:sz w:val="22"/>
                <w:szCs w:val="22"/>
              </w:rPr>
              <w:t>FY 202</w:t>
            </w:r>
            <w:r w:rsidR="56C5D669" w:rsidRPr="00B42C37">
              <w:rPr>
                <w:rFonts w:asciiTheme="minorHAnsi" w:eastAsia="Calibri" w:hAnsiTheme="minorHAnsi" w:cstheme="minorHAnsi"/>
                <w:sz w:val="22"/>
                <w:szCs w:val="22"/>
              </w:rPr>
              <w:t>4</w:t>
            </w:r>
            <w:r w:rsidRPr="00B42C37">
              <w:rPr>
                <w:rFonts w:asciiTheme="minorHAnsi" w:eastAsia="Calibri" w:hAnsiTheme="minorHAnsi" w:cstheme="minorHAnsi"/>
                <w:sz w:val="22"/>
                <w:szCs w:val="22"/>
              </w:rPr>
              <w:t>-OB-0</w:t>
            </w:r>
            <w:r w:rsidR="009C01E4">
              <w:rPr>
                <w:rFonts w:asciiTheme="minorHAnsi" w:eastAsia="Calibri" w:hAnsiTheme="minorHAnsi" w:cstheme="minorHAnsi"/>
                <w:sz w:val="22"/>
                <w:szCs w:val="22"/>
              </w:rPr>
              <w:t>7</w:t>
            </w:r>
          </w:p>
        </w:tc>
        <w:tc>
          <w:tcPr>
            <w:tcW w:w="1710" w:type="dxa"/>
          </w:tcPr>
          <w:p w14:paraId="6B0FAB79" w14:textId="0A1755CB" w:rsidR="01BDB3EB" w:rsidRPr="00B42C37" w:rsidRDefault="01BDB3EB" w:rsidP="00B42C37">
            <w:pPr>
              <w:rPr>
                <w:rFonts w:asciiTheme="minorHAnsi" w:eastAsia="Calibri" w:hAnsiTheme="minorHAnsi" w:cstheme="minorHAnsi"/>
                <w:sz w:val="22"/>
                <w:szCs w:val="22"/>
              </w:rPr>
            </w:pPr>
            <w:r w:rsidRPr="00B42C37">
              <w:rPr>
                <w:rFonts w:asciiTheme="minorHAnsi" w:eastAsia="Calibri" w:hAnsiTheme="minorHAnsi" w:cstheme="minorHAnsi"/>
                <w:sz w:val="22"/>
                <w:szCs w:val="22"/>
              </w:rPr>
              <w:t>FY 2023-OB-09</w:t>
            </w:r>
          </w:p>
          <w:p w14:paraId="3EA93A49" w14:textId="0411C886" w:rsidR="1ABC14B8" w:rsidRPr="00B42C37" w:rsidRDefault="1ABC14B8" w:rsidP="00B42C37">
            <w:pPr>
              <w:rPr>
                <w:rFonts w:asciiTheme="minorHAnsi" w:eastAsia="Calibri" w:hAnsiTheme="minorHAnsi" w:cstheme="minorHAnsi"/>
                <w:sz w:val="22"/>
                <w:szCs w:val="22"/>
              </w:rPr>
            </w:pPr>
          </w:p>
        </w:tc>
        <w:tc>
          <w:tcPr>
            <w:tcW w:w="3420" w:type="dxa"/>
          </w:tcPr>
          <w:p w14:paraId="2BD37D2A" w14:textId="2982CF9D" w:rsidR="1ABC14B8" w:rsidRPr="00B42C37" w:rsidRDefault="1ABC14B8" w:rsidP="1ABC14B8">
            <w:pPr>
              <w:rPr>
                <w:rFonts w:asciiTheme="minorHAnsi" w:eastAsia="Calibri" w:hAnsiTheme="minorHAnsi" w:cstheme="minorHAnsi"/>
                <w:sz w:val="22"/>
                <w:szCs w:val="22"/>
              </w:rPr>
            </w:pPr>
            <w:r w:rsidRPr="00B42C37">
              <w:rPr>
                <w:rFonts w:asciiTheme="minorHAnsi" w:eastAsia="Calibri" w:hAnsiTheme="minorHAnsi" w:cstheme="minorHAnsi"/>
                <w:sz w:val="22"/>
                <w:szCs w:val="22"/>
              </w:rPr>
              <w:t>In FY 2023, in 10 out of 22 (45%) private sector consultation files with 10 or more employees at the worksite, the OSHA 300 logs were not in the file</w:t>
            </w:r>
            <w:r w:rsidRPr="00B42C37">
              <w:rPr>
                <w:rFonts w:asciiTheme="minorHAnsi" w:eastAsia="Calibri" w:hAnsiTheme="minorHAnsi" w:cstheme="minorHAnsi"/>
                <w:b/>
                <w:bCs/>
                <w:sz w:val="22"/>
                <w:szCs w:val="22"/>
              </w:rPr>
              <w:t xml:space="preserve">. </w:t>
            </w:r>
          </w:p>
        </w:tc>
        <w:tc>
          <w:tcPr>
            <w:tcW w:w="4230" w:type="dxa"/>
          </w:tcPr>
          <w:p w14:paraId="651EF640" w14:textId="1B6F3C1C" w:rsidR="1ABC14B8" w:rsidRPr="00B42C37" w:rsidRDefault="1ABC14B8" w:rsidP="1ABC14B8">
            <w:pPr>
              <w:rPr>
                <w:rFonts w:asciiTheme="minorHAnsi" w:eastAsia="Calibri" w:hAnsiTheme="minorHAnsi" w:cstheme="minorHAnsi"/>
                <w:sz w:val="22"/>
                <w:szCs w:val="22"/>
              </w:rPr>
            </w:pPr>
            <w:r w:rsidRPr="00B42C37">
              <w:rPr>
                <w:rFonts w:asciiTheme="minorHAnsi" w:eastAsia="Calibri" w:hAnsiTheme="minorHAnsi" w:cstheme="minorHAnsi"/>
                <w:sz w:val="22"/>
                <w:szCs w:val="22"/>
              </w:rPr>
              <w:t>OSHA will discuss with DOSH during quarterly meetings and with the Consultation Program Manager. OSHA will conduct a file review during the next comprehensive FAME.</w:t>
            </w:r>
          </w:p>
        </w:tc>
        <w:tc>
          <w:tcPr>
            <w:tcW w:w="1975" w:type="dxa"/>
          </w:tcPr>
          <w:p w14:paraId="20DF6F48" w14:textId="6777726E" w:rsidR="0356BB9D" w:rsidRPr="00C04E81" w:rsidRDefault="00033ED1" w:rsidP="0356BB9D">
            <w:pPr>
              <w:widowControl/>
              <w:rPr>
                <w:rFonts w:asciiTheme="minorHAnsi" w:hAnsiTheme="minorHAnsi" w:cstheme="minorHAnsi"/>
                <w:sz w:val="22"/>
                <w:szCs w:val="22"/>
              </w:rPr>
            </w:pPr>
            <w:r>
              <w:rPr>
                <w:rFonts w:asciiTheme="minorHAnsi" w:hAnsiTheme="minorHAnsi" w:cstheme="minorHAnsi"/>
                <w:sz w:val="22"/>
                <w:szCs w:val="22"/>
              </w:rPr>
              <w:t>Continued</w:t>
            </w:r>
          </w:p>
        </w:tc>
      </w:tr>
      <w:tr w:rsidR="0356BB9D" w:rsidRPr="00B42C37" w14:paraId="1E3DC1D4" w14:textId="77777777" w:rsidTr="00C14984">
        <w:trPr>
          <w:trHeight w:val="300"/>
        </w:trPr>
        <w:tc>
          <w:tcPr>
            <w:tcW w:w="1615" w:type="dxa"/>
          </w:tcPr>
          <w:p w14:paraId="1213F28B" w14:textId="3652DD92" w:rsidR="1ABC14B8" w:rsidRPr="00B42C37" w:rsidRDefault="1ABC14B8" w:rsidP="1ABC14B8">
            <w:pPr>
              <w:jc w:val="center"/>
              <w:rPr>
                <w:rFonts w:asciiTheme="minorHAnsi" w:eastAsia="Calibri" w:hAnsiTheme="minorHAnsi" w:cstheme="minorHAnsi"/>
                <w:sz w:val="22"/>
                <w:szCs w:val="22"/>
              </w:rPr>
            </w:pPr>
            <w:r w:rsidRPr="00B42C37">
              <w:rPr>
                <w:rFonts w:asciiTheme="minorHAnsi" w:eastAsia="Calibri" w:hAnsiTheme="minorHAnsi" w:cstheme="minorHAnsi"/>
                <w:sz w:val="22"/>
                <w:szCs w:val="22"/>
              </w:rPr>
              <w:t xml:space="preserve">FY </w:t>
            </w:r>
            <w:r w:rsidR="330AE219" w:rsidRPr="00B42C37">
              <w:rPr>
                <w:rFonts w:asciiTheme="minorHAnsi" w:eastAsia="Calibri" w:hAnsiTheme="minorHAnsi" w:cstheme="minorHAnsi"/>
                <w:sz w:val="22"/>
                <w:szCs w:val="22"/>
              </w:rPr>
              <w:t>2024</w:t>
            </w:r>
            <w:r w:rsidRPr="00B42C37">
              <w:rPr>
                <w:rFonts w:asciiTheme="minorHAnsi" w:eastAsia="Calibri" w:hAnsiTheme="minorHAnsi" w:cstheme="minorHAnsi"/>
                <w:sz w:val="22"/>
                <w:szCs w:val="22"/>
              </w:rPr>
              <w:t>-OB-</w:t>
            </w:r>
            <w:r w:rsidR="00461ED6">
              <w:rPr>
                <w:rFonts w:asciiTheme="minorHAnsi" w:eastAsia="Calibri" w:hAnsiTheme="minorHAnsi" w:cstheme="minorHAnsi"/>
                <w:sz w:val="22"/>
                <w:szCs w:val="22"/>
              </w:rPr>
              <w:t>0</w:t>
            </w:r>
            <w:r w:rsidR="009C01E4">
              <w:rPr>
                <w:rFonts w:asciiTheme="minorHAnsi" w:eastAsia="Calibri" w:hAnsiTheme="minorHAnsi" w:cstheme="minorHAnsi"/>
                <w:sz w:val="22"/>
                <w:szCs w:val="22"/>
              </w:rPr>
              <w:t>8</w:t>
            </w:r>
            <w:r w:rsidR="330AE219" w:rsidRPr="00B42C37">
              <w:rPr>
                <w:rFonts w:asciiTheme="minorHAnsi" w:eastAsia="Calibri" w:hAnsiTheme="minorHAnsi" w:cstheme="minorHAnsi"/>
                <w:sz w:val="22"/>
                <w:szCs w:val="22"/>
              </w:rPr>
              <w:t xml:space="preserve">  </w:t>
            </w:r>
          </w:p>
        </w:tc>
        <w:tc>
          <w:tcPr>
            <w:tcW w:w="1710" w:type="dxa"/>
          </w:tcPr>
          <w:p w14:paraId="75065731" w14:textId="7F9426A4" w:rsidR="1ABC14B8" w:rsidRPr="00B42C37" w:rsidRDefault="330AE219" w:rsidP="00B42C37">
            <w:pPr>
              <w:rPr>
                <w:rFonts w:asciiTheme="minorHAnsi" w:eastAsia="Calibri" w:hAnsiTheme="minorHAnsi" w:cstheme="minorHAnsi"/>
                <w:sz w:val="22"/>
                <w:szCs w:val="22"/>
              </w:rPr>
            </w:pPr>
            <w:r w:rsidRPr="00B42C37">
              <w:rPr>
                <w:rFonts w:asciiTheme="minorHAnsi" w:eastAsia="Calibri" w:hAnsiTheme="minorHAnsi" w:cstheme="minorHAnsi"/>
                <w:sz w:val="22"/>
                <w:szCs w:val="22"/>
              </w:rPr>
              <w:t>FY 2023-OB-10</w:t>
            </w:r>
          </w:p>
          <w:p w14:paraId="2B3CBF59" w14:textId="67760D49" w:rsidR="1ABC14B8" w:rsidRPr="00B42C37" w:rsidRDefault="1ABC14B8" w:rsidP="00B42C37">
            <w:pPr>
              <w:rPr>
                <w:rFonts w:asciiTheme="minorHAnsi" w:eastAsia="Calibri" w:hAnsiTheme="minorHAnsi" w:cstheme="minorHAnsi"/>
                <w:sz w:val="22"/>
                <w:szCs w:val="22"/>
              </w:rPr>
            </w:pPr>
            <w:r w:rsidRPr="00B42C37">
              <w:rPr>
                <w:rFonts w:asciiTheme="minorHAnsi" w:eastAsia="Calibri" w:hAnsiTheme="minorHAnsi" w:cstheme="minorHAnsi"/>
                <w:sz w:val="22"/>
                <w:szCs w:val="22"/>
              </w:rPr>
              <w:t xml:space="preserve"> </w:t>
            </w:r>
          </w:p>
        </w:tc>
        <w:tc>
          <w:tcPr>
            <w:tcW w:w="3420" w:type="dxa"/>
          </w:tcPr>
          <w:p w14:paraId="5F60F577" w14:textId="4B22EACB" w:rsidR="1ABC14B8" w:rsidRPr="00B42C37" w:rsidRDefault="1ABC14B8" w:rsidP="1ABC14B8">
            <w:pPr>
              <w:rPr>
                <w:rFonts w:asciiTheme="minorHAnsi" w:eastAsia="Calibri" w:hAnsiTheme="minorHAnsi" w:cstheme="minorHAnsi"/>
                <w:sz w:val="22"/>
                <w:szCs w:val="22"/>
              </w:rPr>
            </w:pPr>
            <w:r w:rsidRPr="00B42C37">
              <w:rPr>
                <w:rFonts w:asciiTheme="minorHAnsi" w:eastAsia="Calibri" w:hAnsiTheme="minorHAnsi" w:cstheme="minorHAnsi"/>
                <w:sz w:val="22"/>
                <w:szCs w:val="22"/>
              </w:rPr>
              <w:t>In FY 2023, in 6 out of 22 (27%) private sector consultation files with 10 or more employees at the worksite, there was no comparison of the employer DART rate to the national average.</w:t>
            </w:r>
          </w:p>
        </w:tc>
        <w:tc>
          <w:tcPr>
            <w:tcW w:w="4230" w:type="dxa"/>
          </w:tcPr>
          <w:p w14:paraId="3639DE67" w14:textId="40569D11" w:rsidR="1ABC14B8" w:rsidRPr="00B42C37" w:rsidRDefault="1ABC14B8" w:rsidP="1ABC14B8">
            <w:pPr>
              <w:rPr>
                <w:rFonts w:asciiTheme="minorHAnsi" w:eastAsia="Calibri" w:hAnsiTheme="minorHAnsi" w:cstheme="minorHAnsi"/>
                <w:sz w:val="22"/>
                <w:szCs w:val="22"/>
              </w:rPr>
            </w:pPr>
            <w:r w:rsidRPr="00B42C37">
              <w:rPr>
                <w:rFonts w:asciiTheme="minorHAnsi" w:eastAsia="Calibri" w:hAnsiTheme="minorHAnsi" w:cstheme="minorHAnsi"/>
                <w:sz w:val="22"/>
                <w:szCs w:val="22"/>
              </w:rPr>
              <w:t>OSHA will discuss with DOSH during quarterly meetings and with the Consultation Program Manager. OSHA will conduct a file review during the next comprehensive FAME.</w:t>
            </w:r>
          </w:p>
        </w:tc>
        <w:tc>
          <w:tcPr>
            <w:tcW w:w="1975" w:type="dxa"/>
          </w:tcPr>
          <w:p w14:paraId="3E034368" w14:textId="6F6BDB3C" w:rsidR="64F8246E" w:rsidRPr="00C04E81" w:rsidRDefault="00033ED1" w:rsidP="0356BB9D">
            <w:pPr>
              <w:widowControl/>
              <w:rPr>
                <w:rFonts w:asciiTheme="minorHAnsi" w:hAnsiTheme="minorHAnsi" w:cstheme="minorHAnsi"/>
                <w:sz w:val="22"/>
                <w:szCs w:val="22"/>
              </w:rPr>
            </w:pPr>
            <w:r>
              <w:rPr>
                <w:rFonts w:asciiTheme="minorHAnsi" w:hAnsiTheme="minorHAnsi" w:cstheme="minorHAnsi"/>
                <w:sz w:val="22"/>
                <w:szCs w:val="22"/>
              </w:rPr>
              <w:t>Continued</w:t>
            </w:r>
          </w:p>
        </w:tc>
      </w:tr>
      <w:tr w:rsidR="00DB70E2" w:rsidRPr="00B42C37" w14:paraId="1EE6FDEC" w14:textId="77777777" w:rsidTr="00C14984">
        <w:trPr>
          <w:trHeight w:val="300"/>
        </w:trPr>
        <w:tc>
          <w:tcPr>
            <w:tcW w:w="1615" w:type="dxa"/>
          </w:tcPr>
          <w:p w14:paraId="299D6FE0" w14:textId="63216C9C" w:rsidR="00DB70E2" w:rsidRPr="00B42C37" w:rsidRDefault="00DB70E2" w:rsidP="00DB70E2">
            <w:pPr>
              <w:rPr>
                <w:rFonts w:asciiTheme="minorHAnsi" w:eastAsia="Calibri" w:hAnsiTheme="minorHAnsi" w:cstheme="minorHAnsi"/>
                <w:sz w:val="22"/>
                <w:szCs w:val="22"/>
              </w:rPr>
            </w:pPr>
            <w:r>
              <w:rPr>
                <w:rFonts w:asciiTheme="minorHAnsi" w:eastAsia="Calibri" w:hAnsiTheme="minorHAnsi" w:cstheme="minorHAnsi"/>
                <w:sz w:val="22"/>
                <w:szCs w:val="22"/>
              </w:rPr>
              <w:t>Not Applicable</w:t>
            </w:r>
          </w:p>
        </w:tc>
        <w:tc>
          <w:tcPr>
            <w:tcW w:w="1710" w:type="dxa"/>
          </w:tcPr>
          <w:p w14:paraId="2D148518" w14:textId="77777777" w:rsidR="00DB70E2" w:rsidRPr="00B42C37" w:rsidRDefault="00DB70E2" w:rsidP="00DB70E2">
            <w:pPr>
              <w:rPr>
                <w:rFonts w:asciiTheme="minorHAnsi" w:hAnsiTheme="minorHAnsi" w:cstheme="minorHAnsi"/>
                <w:sz w:val="22"/>
                <w:szCs w:val="22"/>
              </w:rPr>
            </w:pPr>
            <w:r w:rsidRPr="00B42C37">
              <w:rPr>
                <w:rFonts w:asciiTheme="minorHAnsi" w:eastAsia="Calibri" w:hAnsiTheme="minorHAnsi" w:cstheme="minorHAnsi"/>
                <w:sz w:val="22"/>
                <w:szCs w:val="22"/>
              </w:rPr>
              <w:t>FY 2023-OB-02</w:t>
            </w:r>
          </w:p>
          <w:p w14:paraId="17D99C93" w14:textId="5142A070" w:rsidR="00DB70E2" w:rsidRPr="00B42C37" w:rsidRDefault="00DB70E2" w:rsidP="00DB70E2">
            <w:pPr>
              <w:rPr>
                <w:rFonts w:asciiTheme="minorHAnsi" w:eastAsia="Calibri" w:hAnsiTheme="minorHAnsi" w:cstheme="minorHAnsi"/>
                <w:sz w:val="22"/>
                <w:szCs w:val="22"/>
              </w:rPr>
            </w:pPr>
          </w:p>
        </w:tc>
        <w:tc>
          <w:tcPr>
            <w:tcW w:w="3420" w:type="dxa"/>
          </w:tcPr>
          <w:p w14:paraId="12586FB9" w14:textId="2BA7D71F" w:rsidR="00DB70E2" w:rsidRPr="00B42C37" w:rsidRDefault="00033ED1" w:rsidP="00DB70E2">
            <w:pPr>
              <w:rPr>
                <w:rFonts w:asciiTheme="minorHAnsi" w:eastAsia="Calibri" w:hAnsiTheme="minorHAnsi" w:cstheme="minorHAnsi"/>
                <w:sz w:val="22"/>
                <w:szCs w:val="22"/>
              </w:rPr>
            </w:pPr>
            <w:r w:rsidRPr="003A10CE">
              <w:rPr>
                <w:rFonts w:asciiTheme="minorHAnsi" w:hAnsiTheme="minorHAnsi" w:cstheme="minorHAnsi"/>
                <w:iCs/>
                <w:sz w:val="22"/>
                <w:szCs w:val="22"/>
              </w:rPr>
              <w:t xml:space="preserve">In FY 2023, 26 </w:t>
            </w:r>
            <w:r>
              <w:rPr>
                <w:rFonts w:asciiTheme="minorHAnsi" w:hAnsiTheme="minorHAnsi" w:cstheme="minorHAnsi"/>
                <w:iCs/>
                <w:sz w:val="22"/>
                <w:szCs w:val="22"/>
              </w:rPr>
              <w:t xml:space="preserve">out of </w:t>
            </w:r>
            <w:r w:rsidRPr="003A10CE">
              <w:rPr>
                <w:rFonts w:asciiTheme="minorHAnsi" w:hAnsiTheme="minorHAnsi" w:cstheme="minorHAnsi"/>
                <w:iCs/>
                <w:sz w:val="22"/>
                <w:szCs w:val="22"/>
              </w:rPr>
              <w:t>30 (86.67%) work-place related fatalities were responded to in one workday (SAMM 10). The</w:t>
            </w:r>
            <w:r w:rsidR="00741DD2">
              <w:rPr>
                <w:rFonts w:asciiTheme="minorHAnsi" w:hAnsiTheme="minorHAnsi" w:cstheme="minorHAnsi"/>
                <w:iCs/>
                <w:sz w:val="22"/>
                <w:szCs w:val="22"/>
              </w:rPr>
              <w:t xml:space="preserve"> further review level (</w:t>
            </w:r>
            <w:r w:rsidRPr="003A10CE">
              <w:rPr>
                <w:rFonts w:asciiTheme="minorHAnsi" w:hAnsiTheme="minorHAnsi" w:cstheme="minorHAnsi"/>
                <w:iCs/>
                <w:sz w:val="22"/>
                <w:szCs w:val="22"/>
              </w:rPr>
              <w:t>FRL</w:t>
            </w:r>
            <w:r w:rsidR="00741DD2">
              <w:rPr>
                <w:rFonts w:asciiTheme="minorHAnsi" w:hAnsiTheme="minorHAnsi" w:cstheme="minorHAnsi"/>
                <w:iCs/>
                <w:sz w:val="22"/>
                <w:szCs w:val="22"/>
              </w:rPr>
              <w:t>)</w:t>
            </w:r>
            <w:r w:rsidRPr="003A10CE">
              <w:rPr>
                <w:rFonts w:asciiTheme="minorHAnsi" w:hAnsiTheme="minorHAnsi" w:cstheme="minorHAnsi"/>
                <w:iCs/>
                <w:sz w:val="22"/>
                <w:szCs w:val="22"/>
              </w:rPr>
              <w:t xml:space="preserve"> is 100%.</w:t>
            </w:r>
          </w:p>
        </w:tc>
        <w:tc>
          <w:tcPr>
            <w:tcW w:w="4230" w:type="dxa"/>
          </w:tcPr>
          <w:p w14:paraId="65C2C826" w14:textId="57D27DDE" w:rsidR="00DB70E2" w:rsidRPr="00B42C37" w:rsidRDefault="00DB70E2" w:rsidP="00DB70E2">
            <w:pPr>
              <w:rPr>
                <w:rFonts w:asciiTheme="minorHAnsi" w:eastAsia="Calibri" w:hAnsiTheme="minorHAnsi" w:cstheme="minorHAnsi"/>
                <w:sz w:val="22"/>
                <w:szCs w:val="22"/>
              </w:rPr>
            </w:pPr>
            <w:r w:rsidRPr="00B42C37">
              <w:rPr>
                <w:rFonts w:asciiTheme="minorHAnsi" w:eastAsia="Calibri" w:hAnsiTheme="minorHAnsi" w:cstheme="minorHAnsi"/>
                <w:sz w:val="22"/>
                <w:szCs w:val="22"/>
              </w:rPr>
              <w:t>OSHA will continue to discuss this metric during quarterly meetings, request information for outliers, and work with DOSH to ensure proper coding and data transfer from WIN to OIS.  There continues to be some discrepancies between the SAMM and the case file review.  However, in most cases DOSH at least attempted to open an inspection within one day of notification of a fatality.</w:t>
            </w:r>
          </w:p>
        </w:tc>
        <w:tc>
          <w:tcPr>
            <w:tcW w:w="1975" w:type="dxa"/>
          </w:tcPr>
          <w:p w14:paraId="7C853FA1" w14:textId="32CDFF26" w:rsidR="00DB70E2" w:rsidRPr="00C04E81" w:rsidRDefault="00033ED1" w:rsidP="00DB70E2">
            <w:pPr>
              <w:widowControl/>
              <w:rPr>
                <w:rFonts w:asciiTheme="minorHAnsi" w:hAnsiTheme="minorHAnsi" w:cstheme="minorHAnsi"/>
                <w:sz w:val="22"/>
                <w:szCs w:val="22"/>
              </w:rPr>
            </w:pPr>
            <w:r>
              <w:rPr>
                <w:rFonts w:asciiTheme="minorHAnsi" w:hAnsiTheme="minorHAnsi" w:cstheme="minorHAnsi"/>
                <w:sz w:val="22"/>
                <w:szCs w:val="22"/>
              </w:rPr>
              <w:t>Closed</w:t>
            </w:r>
          </w:p>
        </w:tc>
      </w:tr>
      <w:tr w:rsidR="00914FAE" w:rsidRPr="00B42C37" w14:paraId="3A2BE94A" w14:textId="77777777" w:rsidTr="00C14984">
        <w:trPr>
          <w:trHeight w:val="300"/>
        </w:trPr>
        <w:tc>
          <w:tcPr>
            <w:tcW w:w="1615" w:type="dxa"/>
          </w:tcPr>
          <w:p w14:paraId="267C2334" w14:textId="1F765919" w:rsidR="00914FAE" w:rsidRDefault="00914FAE" w:rsidP="00914FAE">
            <w:pPr>
              <w:rPr>
                <w:rFonts w:asciiTheme="minorHAnsi" w:eastAsia="Calibri" w:hAnsiTheme="minorHAnsi" w:cstheme="minorHAnsi"/>
                <w:sz w:val="22"/>
                <w:szCs w:val="22"/>
              </w:rPr>
            </w:pPr>
            <w:r>
              <w:rPr>
                <w:rFonts w:asciiTheme="minorHAnsi" w:eastAsia="Calibri" w:hAnsiTheme="minorHAnsi" w:cstheme="minorHAnsi"/>
                <w:sz w:val="22"/>
                <w:szCs w:val="22"/>
              </w:rPr>
              <w:t>Not Applicable</w:t>
            </w:r>
          </w:p>
        </w:tc>
        <w:tc>
          <w:tcPr>
            <w:tcW w:w="1710" w:type="dxa"/>
          </w:tcPr>
          <w:p w14:paraId="0EABAD15" w14:textId="77777777" w:rsidR="00914FAE" w:rsidRPr="00B42C37" w:rsidRDefault="00914FAE" w:rsidP="00914FAE">
            <w:pPr>
              <w:rPr>
                <w:rFonts w:asciiTheme="minorHAnsi" w:eastAsia="Calibri" w:hAnsiTheme="minorHAnsi" w:cstheme="minorHAnsi"/>
                <w:sz w:val="22"/>
                <w:szCs w:val="22"/>
              </w:rPr>
            </w:pPr>
            <w:r w:rsidRPr="00B42C37">
              <w:rPr>
                <w:rFonts w:asciiTheme="minorHAnsi" w:eastAsia="Calibri" w:hAnsiTheme="minorHAnsi" w:cstheme="minorHAnsi"/>
                <w:sz w:val="22"/>
                <w:szCs w:val="22"/>
              </w:rPr>
              <w:t>FY 2023-OB-03</w:t>
            </w:r>
          </w:p>
          <w:p w14:paraId="035F54D7" w14:textId="77777777" w:rsidR="00914FAE" w:rsidRPr="00B42C37" w:rsidRDefault="00914FAE" w:rsidP="00914FAE">
            <w:pPr>
              <w:rPr>
                <w:rFonts w:asciiTheme="minorHAnsi" w:eastAsia="Calibri" w:hAnsiTheme="minorHAnsi" w:cstheme="minorHAnsi"/>
                <w:sz w:val="22"/>
                <w:szCs w:val="22"/>
              </w:rPr>
            </w:pPr>
          </w:p>
        </w:tc>
        <w:tc>
          <w:tcPr>
            <w:tcW w:w="3420" w:type="dxa"/>
          </w:tcPr>
          <w:p w14:paraId="7B467280" w14:textId="4553A386" w:rsidR="00914FAE" w:rsidRPr="003A10CE" w:rsidRDefault="0067052B" w:rsidP="00914FAE">
            <w:pPr>
              <w:rPr>
                <w:rFonts w:asciiTheme="minorHAnsi" w:hAnsiTheme="minorHAnsi" w:cstheme="minorHAnsi"/>
                <w:iCs/>
                <w:sz w:val="22"/>
                <w:szCs w:val="22"/>
              </w:rPr>
            </w:pPr>
            <w:r w:rsidRPr="0067052B">
              <w:rPr>
                <w:rFonts w:asciiTheme="minorHAnsi" w:hAnsiTheme="minorHAnsi" w:cstheme="minorHAnsi"/>
                <w:iCs/>
                <w:sz w:val="22"/>
                <w:szCs w:val="22"/>
              </w:rPr>
              <w:t>In FY 2023, in 394 of 5,304 (7.43%) initial inspections, DOSH did not ensure worker involvement (SAMM 13).</w:t>
            </w:r>
          </w:p>
        </w:tc>
        <w:tc>
          <w:tcPr>
            <w:tcW w:w="4230" w:type="dxa"/>
          </w:tcPr>
          <w:p w14:paraId="58A393C2" w14:textId="242CFDB6" w:rsidR="00914FAE" w:rsidRPr="00B42C37" w:rsidRDefault="00914FAE" w:rsidP="00914FAE">
            <w:pPr>
              <w:rPr>
                <w:rFonts w:asciiTheme="minorHAnsi" w:eastAsia="Calibri" w:hAnsiTheme="minorHAnsi" w:cstheme="minorHAnsi"/>
                <w:sz w:val="22"/>
                <w:szCs w:val="22"/>
              </w:rPr>
            </w:pPr>
            <w:r w:rsidRPr="00B42C37">
              <w:rPr>
                <w:rFonts w:asciiTheme="minorHAnsi" w:eastAsia="Calibri" w:hAnsiTheme="minorHAnsi" w:cstheme="minorHAnsi"/>
                <w:sz w:val="22"/>
                <w:szCs w:val="22"/>
              </w:rPr>
              <w:t>OSHA will continue to work with DOSH to determine the cause or causes of low performance on SAMM 13 and will review SAMM data during quarterly meetings.</w:t>
            </w:r>
          </w:p>
        </w:tc>
        <w:tc>
          <w:tcPr>
            <w:tcW w:w="1975" w:type="dxa"/>
          </w:tcPr>
          <w:p w14:paraId="16684BAD" w14:textId="177BA44C" w:rsidR="00914FAE" w:rsidRDefault="00914FAE" w:rsidP="00914FAE">
            <w:pPr>
              <w:widowControl/>
              <w:rPr>
                <w:rFonts w:asciiTheme="minorHAnsi" w:hAnsiTheme="minorHAnsi" w:cstheme="minorHAnsi"/>
                <w:sz w:val="22"/>
                <w:szCs w:val="22"/>
              </w:rPr>
            </w:pPr>
            <w:r>
              <w:rPr>
                <w:rFonts w:asciiTheme="minorHAnsi" w:hAnsiTheme="minorHAnsi" w:cstheme="minorHAnsi"/>
                <w:sz w:val="22"/>
                <w:szCs w:val="22"/>
              </w:rPr>
              <w:t>Closed</w:t>
            </w:r>
          </w:p>
        </w:tc>
      </w:tr>
    </w:tbl>
    <w:p w14:paraId="5966FA9F" w14:textId="74F23EF5" w:rsidR="000A134A" w:rsidRPr="001C1E47" w:rsidDel="00BA3D09" w:rsidRDefault="000A134A" w:rsidP="006C04A5">
      <w:pPr>
        <w:pStyle w:val="Heading3"/>
        <w:sectPr w:rsidR="000A134A" w:rsidRPr="001C1E47" w:rsidDel="00BA3D09" w:rsidSect="00D051C1">
          <w:headerReference w:type="default" r:id="rId22"/>
          <w:pgSz w:w="15840" w:h="12240" w:orient="landscape"/>
          <w:pgMar w:top="1440" w:right="1440" w:bottom="1440" w:left="1440" w:header="720" w:footer="720" w:gutter="0"/>
          <w:cols w:space="720"/>
          <w:titlePg/>
          <w:docGrid w:linePitch="360"/>
        </w:sectPr>
      </w:pPr>
    </w:p>
    <w:p w14:paraId="01176981" w14:textId="77A26010" w:rsidR="00747710" w:rsidRDefault="00747710" w:rsidP="006C04A5">
      <w:pPr>
        <w:pStyle w:val="Heading3"/>
      </w:pPr>
      <w:bookmarkStart w:id="27" w:name="_Toc118905019"/>
      <w:bookmarkStart w:id="28" w:name="_Toc193191074"/>
      <w:r w:rsidRPr="00747710">
        <w:t>Appendix C - Status of FY 20</w:t>
      </w:r>
      <w:r w:rsidR="00D164A4">
        <w:t>2</w:t>
      </w:r>
      <w:r w:rsidR="008011AB">
        <w:t>3</w:t>
      </w:r>
      <w:r w:rsidRPr="00747710">
        <w:t xml:space="preserve"> Findings and Recommendations</w:t>
      </w:r>
      <w:bookmarkEnd w:id="27"/>
      <w:bookmarkEnd w:id="28"/>
    </w:p>
    <w:p w14:paraId="45E6B5CB" w14:textId="3646C1E4" w:rsidR="005367D5" w:rsidRPr="00AD2928" w:rsidRDefault="731E179E" w:rsidP="00FD6E8F">
      <w:pPr>
        <w:jc w:val="both"/>
      </w:pPr>
      <w:r>
        <w:t xml:space="preserve">FY </w:t>
      </w:r>
      <w:r w:rsidR="2070524F">
        <w:t xml:space="preserve">2024 </w:t>
      </w:r>
      <w:r w:rsidR="00F2042C">
        <w:t>Washington</w:t>
      </w:r>
      <w:r w:rsidR="7E0CF2BB">
        <w:t xml:space="preserve"> DOSH</w:t>
      </w:r>
      <w:r w:rsidRPr="5991425A">
        <w:rPr>
          <w:color w:val="0070C0"/>
        </w:rPr>
        <w:t xml:space="preserve"> </w:t>
      </w:r>
      <w:r>
        <w:t>Follow-up FAME Report</w:t>
      </w:r>
    </w:p>
    <w:p w14:paraId="1CADA220" w14:textId="77777777" w:rsidR="006820F5" w:rsidRDefault="006820F5" w:rsidP="006579AB">
      <w:pPr>
        <w:widowControl/>
        <w:tabs>
          <w:tab w:val="left" w:pos="630"/>
        </w:tabs>
        <w:autoSpaceDE/>
        <w:autoSpaceDN/>
        <w:adjustRightInd/>
        <w:rPr>
          <w:rFonts w:cs="Calibri"/>
          <w:iCs/>
          <w:color w:val="0070C0"/>
        </w:rPr>
      </w:pPr>
    </w:p>
    <w:tbl>
      <w:tblPr>
        <w:tblStyle w:val="TableGridLight"/>
        <w:tblpPr w:leftFromText="180" w:rightFromText="180" w:vertAnchor="page" w:horzAnchor="margin" w:tblpY="3016"/>
        <w:tblW w:w="12955" w:type="dxa"/>
        <w:tblLayout w:type="fixed"/>
        <w:tblLook w:val="00A0" w:firstRow="1" w:lastRow="0" w:firstColumn="1" w:lastColumn="0" w:noHBand="0" w:noVBand="0"/>
      </w:tblPr>
      <w:tblGrid>
        <w:gridCol w:w="1345"/>
        <w:gridCol w:w="2610"/>
        <w:gridCol w:w="3060"/>
        <w:gridCol w:w="2700"/>
        <w:gridCol w:w="1445"/>
        <w:gridCol w:w="1795"/>
      </w:tblGrid>
      <w:tr w:rsidR="006820F5" w:rsidRPr="00CD27A1" w14:paraId="51A87258" w14:textId="77777777" w:rsidTr="006820F5">
        <w:trPr>
          <w:trHeight w:val="412"/>
          <w:tblHeader/>
        </w:trPr>
        <w:tc>
          <w:tcPr>
            <w:tcW w:w="1345" w:type="dxa"/>
          </w:tcPr>
          <w:p w14:paraId="585B7609" w14:textId="77777777" w:rsidR="006820F5" w:rsidRPr="00CD27A1" w:rsidRDefault="006820F5" w:rsidP="006820F5">
            <w:pPr>
              <w:rPr>
                <w:rFonts w:cs="Calibri"/>
                <w:b/>
                <w:bCs/>
                <w:sz w:val="22"/>
                <w:szCs w:val="22"/>
              </w:rPr>
            </w:pPr>
            <w:r w:rsidRPr="00CD27A1">
              <w:rPr>
                <w:rFonts w:cs="Calibri"/>
                <w:b/>
                <w:bCs/>
                <w:sz w:val="22"/>
                <w:szCs w:val="22"/>
              </w:rPr>
              <w:t>FY 2023-#</w:t>
            </w:r>
          </w:p>
        </w:tc>
        <w:tc>
          <w:tcPr>
            <w:tcW w:w="2610" w:type="dxa"/>
          </w:tcPr>
          <w:p w14:paraId="47CC1C59" w14:textId="77777777" w:rsidR="006820F5" w:rsidRPr="00CD27A1" w:rsidRDefault="006820F5" w:rsidP="006820F5">
            <w:pPr>
              <w:rPr>
                <w:rFonts w:cs="Calibri"/>
                <w:b/>
                <w:sz w:val="22"/>
                <w:szCs w:val="22"/>
              </w:rPr>
            </w:pPr>
            <w:r w:rsidRPr="00CD27A1">
              <w:rPr>
                <w:rFonts w:cs="Calibri"/>
                <w:b/>
                <w:sz w:val="22"/>
                <w:szCs w:val="22"/>
              </w:rPr>
              <w:t>Finding</w:t>
            </w:r>
          </w:p>
        </w:tc>
        <w:tc>
          <w:tcPr>
            <w:tcW w:w="3060" w:type="dxa"/>
          </w:tcPr>
          <w:p w14:paraId="7C685D71" w14:textId="77777777" w:rsidR="006820F5" w:rsidRPr="00CD27A1" w:rsidRDefault="006820F5" w:rsidP="006820F5">
            <w:pPr>
              <w:rPr>
                <w:rFonts w:cs="Calibri"/>
                <w:b/>
                <w:sz w:val="22"/>
                <w:szCs w:val="22"/>
              </w:rPr>
            </w:pPr>
            <w:r w:rsidRPr="00CD27A1">
              <w:rPr>
                <w:rFonts w:cs="Calibri"/>
                <w:b/>
                <w:sz w:val="22"/>
                <w:szCs w:val="22"/>
              </w:rPr>
              <w:t>Recommendation</w:t>
            </w:r>
          </w:p>
        </w:tc>
        <w:tc>
          <w:tcPr>
            <w:tcW w:w="2700" w:type="dxa"/>
          </w:tcPr>
          <w:p w14:paraId="4AD5B375" w14:textId="77777777" w:rsidR="006820F5" w:rsidRPr="00CD27A1" w:rsidRDefault="006820F5" w:rsidP="006820F5">
            <w:pPr>
              <w:rPr>
                <w:rFonts w:cs="Calibri"/>
                <w:b/>
                <w:sz w:val="22"/>
                <w:szCs w:val="22"/>
              </w:rPr>
            </w:pPr>
            <w:r w:rsidRPr="00CD27A1">
              <w:rPr>
                <w:rFonts w:cs="Calibri"/>
                <w:b/>
                <w:sz w:val="22"/>
                <w:szCs w:val="22"/>
              </w:rPr>
              <w:t>State Plan Corrective Action</w:t>
            </w:r>
          </w:p>
        </w:tc>
        <w:tc>
          <w:tcPr>
            <w:tcW w:w="1445" w:type="dxa"/>
          </w:tcPr>
          <w:p w14:paraId="03526FA4" w14:textId="77777777" w:rsidR="006820F5" w:rsidRPr="00CD27A1" w:rsidRDefault="006820F5" w:rsidP="006820F5">
            <w:pPr>
              <w:rPr>
                <w:rFonts w:cs="Calibri"/>
                <w:b/>
                <w:sz w:val="22"/>
                <w:szCs w:val="22"/>
              </w:rPr>
            </w:pPr>
            <w:r w:rsidRPr="00CD27A1">
              <w:rPr>
                <w:rFonts w:cs="Calibri"/>
                <w:b/>
                <w:sz w:val="22"/>
                <w:szCs w:val="22"/>
              </w:rPr>
              <w:t>Completion Date</w:t>
            </w:r>
          </w:p>
        </w:tc>
        <w:tc>
          <w:tcPr>
            <w:tcW w:w="1795" w:type="dxa"/>
          </w:tcPr>
          <w:p w14:paraId="0C919BC8" w14:textId="77777777" w:rsidR="006820F5" w:rsidRPr="00CD27A1" w:rsidRDefault="006820F5" w:rsidP="006820F5">
            <w:pPr>
              <w:rPr>
                <w:rFonts w:cs="Calibri"/>
                <w:b/>
                <w:sz w:val="22"/>
                <w:szCs w:val="22"/>
              </w:rPr>
            </w:pPr>
            <w:r w:rsidRPr="00CD27A1">
              <w:rPr>
                <w:rFonts w:cs="Calibri"/>
                <w:b/>
                <w:sz w:val="22"/>
                <w:szCs w:val="22"/>
              </w:rPr>
              <w:t xml:space="preserve">Current Status </w:t>
            </w:r>
          </w:p>
          <w:p w14:paraId="4911F9C9" w14:textId="77777777" w:rsidR="006820F5" w:rsidRPr="00CD27A1" w:rsidRDefault="006820F5" w:rsidP="006820F5">
            <w:pPr>
              <w:rPr>
                <w:rFonts w:cs="Calibri"/>
                <w:b/>
                <w:sz w:val="22"/>
                <w:szCs w:val="22"/>
              </w:rPr>
            </w:pPr>
            <w:r w:rsidRPr="00CD27A1">
              <w:rPr>
                <w:rFonts w:cs="Calibri"/>
                <w:b/>
                <w:sz w:val="22"/>
                <w:szCs w:val="22"/>
              </w:rPr>
              <w:t>and Date</w:t>
            </w:r>
          </w:p>
        </w:tc>
      </w:tr>
      <w:tr w:rsidR="006820F5" w:rsidRPr="00CD27A1" w14:paraId="31F035E4" w14:textId="77777777" w:rsidTr="006820F5">
        <w:trPr>
          <w:cantSplit/>
          <w:trHeight w:val="1253"/>
        </w:trPr>
        <w:tc>
          <w:tcPr>
            <w:tcW w:w="1345" w:type="dxa"/>
          </w:tcPr>
          <w:p w14:paraId="46377ED2" w14:textId="77777777" w:rsidR="006820F5" w:rsidRPr="00F2042C" w:rsidRDefault="006820F5" w:rsidP="006820F5">
            <w:pPr>
              <w:widowControl/>
              <w:autoSpaceDE/>
              <w:autoSpaceDN/>
              <w:adjustRightInd/>
              <w:rPr>
                <w:rFonts w:asciiTheme="minorHAnsi" w:hAnsiTheme="minorHAnsi" w:cstheme="minorHAnsi"/>
                <w:sz w:val="22"/>
                <w:szCs w:val="22"/>
              </w:rPr>
            </w:pPr>
            <w:r w:rsidRPr="00F2042C">
              <w:rPr>
                <w:rFonts w:asciiTheme="minorHAnsi" w:hAnsiTheme="minorHAnsi" w:cstheme="minorHAnsi"/>
                <w:sz w:val="22"/>
                <w:szCs w:val="22"/>
              </w:rPr>
              <w:t>FY 202</w:t>
            </w:r>
            <w:r>
              <w:rPr>
                <w:rFonts w:asciiTheme="minorHAnsi" w:hAnsiTheme="minorHAnsi" w:cstheme="minorHAnsi"/>
                <w:sz w:val="22"/>
                <w:szCs w:val="22"/>
              </w:rPr>
              <w:t>3</w:t>
            </w:r>
            <w:r w:rsidRPr="00F2042C">
              <w:rPr>
                <w:rFonts w:asciiTheme="minorHAnsi" w:hAnsiTheme="minorHAnsi" w:cstheme="minorHAnsi"/>
                <w:sz w:val="22"/>
                <w:szCs w:val="22"/>
              </w:rPr>
              <w:t>-01</w:t>
            </w:r>
          </w:p>
          <w:p w14:paraId="5A092ADC" w14:textId="77777777" w:rsidR="006820F5" w:rsidRPr="00CD27A1" w:rsidRDefault="006820F5" w:rsidP="006820F5">
            <w:pPr>
              <w:pStyle w:val="Default"/>
              <w:ind w:left="-28"/>
              <w:rPr>
                <w:rFonts w:asciiTheme="minorHAnsi" w:hAnsiTheme="minorHAnsi" w:cstheme="minorHAnsi"/>
                <w:sz w:val="22"/>
                <w:szCs w:val="22"/>
              </w:rPr>
            </w:pPr>
          </w:p>
        </w:tc>
        <w:tc>
          <w:tcPr>
            <w:tcW w:w="2610" w:type="dxa"/>
          </w:tcPr>
          <w:p w14:paraId="2CBE1B55" w14:textId="77777777" w:rsidR="006820F5" w:rsidRPr="00CD27A1" w:rsidRDefault="006820F5" w:rsidP="006820F5">
            <w:pPr>
              <w:rPr>
                <w:rFonts w:asciiTheme="minorHAnsi" w:eastAsia="PMingLiU" w:hAnsiTheme="minorHAnsi" w:cstheme="minorHAnsi"/>
                <w:b/>
                <w:sz w:val="22"/>
                <w:szCs w:val="22"/>
              </w:rPr>
            </w:pPr>
            <w:r w:rsidRPr="00F2042C">
              <w:rPr>
                <w:rFonts w:asciiTheme="minorHAnsi" w:hAnsiTheme="minorHAnsi" w:cstheme="minorHAnsi"/>
                <w:bCs/>
                <w:sz w:val="22"/>
                <w:szCs w:val="22"/>
              </w:rPr>
              <w:t xml:space="preserve">In FY </w:t>
            </w:r>
            <w:r w:rsidRPr="00F2042C">
              <w:rPr>
                <w:rFonts w:asciiTheme="minorHAnsi" w:hAnsiTheme="minorHAnsi" w:cstheme="minorHAnsi"/>
                <w:sz w:val="22"/>
                <w:szCs w:val="22"/>
              </w:rPr>
              <w:t>202</w:t>
            </w:r>
            <w:r>
              <w:rPr>
                <w:rFonts w:asciiTheme="minorHAnsi" w:hAnsiTheme="minorHAnsi" w:cstheme="minorHAnsi"/>
                <w:sz w:val="22"/>
                <w:szCs w:val="22"/>
              </w:rPr>
              <w:t>3</w:t>
            </w:r>
            <w:r w:rsidRPr="00F2042C">
              <w:rPr>
                <w:rFonts w:asciiTheme="minorHAnsi" w:hAnsiTheme="minorHAnsi" w:cstheme="minorHAnsi"/>
                <w:bCs/>
                <w:sz w:val="22"/>
                <w:szCs w:val="22"/>
              </w:rPr>
              <w:t>, standards were not adopted by their due date.</w:t>
            </w:r>
          </w:p>
        </w:tc>
        <w:tc>
          <w:tcPr>
            <w:tcW w:w="3060" w:type="dxa"/>
          </w:tcPr>
          <w:p w14:paraId="142B4474" w14:textId="77777777" w:rsidR="006820F5" w:rsidRPr="00CD27A1" w:rsidRDefault="006820F5" w:rsidP="006820F5">
            <w:pPr>
              <w:widowControl/>
              <w:autoSpaceDE/>
              <w:autoSpaceDN/>
              <w:adjustRightInd/>
              <w:rPr>
                <w:rFonts w:asciiTheme="minorHAnsi" w:hAnsiTheme="minorHAnsi" w:cstheme="minorHAnsi"/>
                <w:sz w:val="22"/>
                <w:szCs w:val="22"/>
              </w:rPr>
            </w:pPr>
            <w:r w:rsidRPr="00F2042C">
              <w:rPr>
                <w:rFonts w:asciiTheme="minorHAnsi" w:hAnsiTheme="minorHAnsi" w:cstheme="minorHAnsi"/>
                <w:sz w:val="22"/>
                <w:szCs w:val="22"/>
              </w:rPr>
              <w:t>DOSH should ensure each standard is adopted by the due date.</w:t>
            </w:r>
          </w:p>
        </w:tc>
        <w:tc>
          <w:tcPr>
            <w:tcW w:w="2700" w:type="dxa"/>
          </w:tcPr>
          <w:p w14:paraId="5AEDCEEF" w14:textId="77777777" w:rsidR="006820F5" w:rsidRPr="00CD27A1" w:rsidRDefault="006820F5" w:rsidP="006820F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22"/>
                <w:szCs w:val="22"/>
              </w:rPr>
            </w:pPr>
            <w:r w:rsidRPr="00F2042C">
              <w:rPr>
                <w:rFonts w:asciiTheme="minorHAnsi" w:hAnsiTheme="minorHAnsi" w:cstheme="minorHAnsi"/>
                <w:sz w:val="22"/>
                <w:szCs w:val="22"/>
              </w:rPr>
              <w:t>DOSH will make every effort to adopt standards by the due date.</w:t>
            </w:r>
          </w:p>
        </w:tc>
        <w:tc>
          <w:tcPr>
            <w:tcW w:w="1445" w:type="dxa"/>
          </w:tcPr>
          <w:p w14:paraId="70289AE3" w14:textId="1ED91A80" w:rsidR="006820F5" w:rsidRPr="00CD27A1" w:rsidRDefault="006820F5" w:rsidP="006820F5">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PMingLiU" w:hAnsiTheme="minorHAnsi" w:cstheme="minorHAnsi"/>
                <w:b/>
                <w:bCs/>
                <w:sz w:val="22"/>
                <w:szCs w:val="22"/>
              </w:rPr>
            </w:pPr>
            <w:r w:rsidRPr="00F2042C">
              <w:rPr>
                <w:rFonts w:asciiTheme="minorHAnsi" w:hAnsiTheme="minorHAnsi" w:cstheme="minorHAnsi"/>
                <w:sz w:val="22"/>
                <w:szCs w:val="22"/>
              </w:rPr>
              <w:t xml:space="preserve">Not completed </w:t>
            </w:r>
          </w:p>
        </w:tc>
        <w:tc>
          <w:tcPr>
            <w:tcW w:w="1795" w:type="dxa"/>
          </w:tcPr>
          <w:p w14:paraId="60CADE2A" w14:textId="77777777" w:rsidR="006820F5" w:rsidRPr="00F2042C" w:rsidRDefault="006820F5" w:rsidP="006820F5">
            <w:pPr>
              <w:widowControl/>
              <w:autoSpaceDE/>
              <w:autoSpaceDN/>
              <w:adjustRightInd/>
              <w:rPr>
                <w:rFonts w:asciiTheme="minorHAnsi" w:hAnsiTheme="minorHAnsi" w:cstheme="minorHAnsi"/>
                <w:sz w:val="22"/>
                <w:szCs w:val="22"/>
              </w:rPr>
            </w:pPr>
            <w:r w:rsidRPr="00F2042C">
              <w:rPr>
                <w:rFonts w:asciiTheme="minorHAnsi" w:hAnsiTheme="minorHAnsi" w:cstheme="minorHAnsi"/>
                <w:sz w:val="22"/>
                <w:szCs w:val="22"/>
              </w:rPr>
              <w:t>Open</w:t>
            </w:r>
          </w:p>
          <w:p w14:paraId="61B9DA15" w14:textId="7A378FDF" w:rsidR="006820F5" w:rsidRPr="00CD27A1" w:rsidRDefault="006820F5" w:rsidP="006820F5">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bCs/>
                <w:sz w:val="22"/>
                <w:szCs w:val="22"/>
              </w:rPr>
            </w:pPr>
            <w:r>
              <w:rPr>
                <w:rFonts w:asciiTheme="minorHAnsi" w:hAnsiTheme="minorHAnsi" w:cstheme="minorHAnsi"/>
                <w:sz w:val="22"/>
                <w:szCs w:val="22"/>
              </w:rPr>
              <w:t>2/20/202</w:t>
            </w:r>
            <w:r w:rsidR="0099574C">
              <w:rPr>
                <w:rFonts w:asciiTheme="minorHAnsi" w:hAnsiTheme="minorHAnsi" w:cstheme="minorHAnsi"/>
                <w:sz w:val="22"/>
                <w:szCs w:val="22"/>
              </w:rPr>
              <w:t>5</w:t>
            </w:r>
          </w:p>
        </w:tc>
      </w:tr>
    </w:tbl>
    <w:p w14:paraId="5A163C8E" w14:textId="3EBCF11A" w:rsidR="006820F5" w:rsidRPr="008164E8" w:rsidRDefault="006820F5" w:rsidP="006579AB">
      <w:pPr>
        <w:widowControl/>
        <w:tabs>
          <w:tab w:val="left" w:pos="630"/>
        </w:tabs>
        <w:autoSpaceDE/>
        <w:autoSpaceDN/>
        <w:adjustRightInd/>
        <w:rPr>
          <w:rFonts w:cs="Calibri"/>
          <w:iCs/>
          <w:color w:val="0070C0"/>
        </w:rPr>
        <w:sectPr w:rsidR="006820F5" w:rsidRPr="008164E8" w:rsidSect="00476C08">
          <w:headerReference w:type="default" r:id="rId23"/>
          <w:headerReference w:type="first" r:id="rId24"/>
          <w:footerReference w:type="first" r:id="rId25"/>
          <w:pgSz w:w="15840" w:h="12240" w:orient="landscape"/>
          <w:pgMar w:top="1440" w:right="1440" w:bottom="1440" w:left="1440" w:header="630" w:footer="720" w:gutter="0"/>
          <w:cols w:space="720"/>
          <w:titlePg/>
          <w:docGrid w:linePitch="360"/>
        </w:sectPr>
      </w:pPr>
    </w:p>
    <w:p w14:paraId="6D50F01B" w14:textId="0646D06E" w:rsidR="144635F2" w:rsidRDefault="144635F2" w:rsidP="006C04A5">
      <w:pPr>
        <w:pStyle w:val="Heading3"/>
        <w:rPr>
          <w:rFonts w:eastAsia="Calibri"/>
        </w:rPr>
      </w:pPr>
      <w:bookmarkStart w:id="29" w:name="_Toc193191075"/>
      <w:r w:rsidRPr="1A5BAE10">
        <w:rPr>
          <w:rFonts w:eastAsia="Calibri"/>
        </w:rPr>
        <w:t>Appendix D – FY 2024 State Activity Mandated Measures (SAMM) Report</w:t>
      </w:r>
      <w:bookmarkEnd w:id="29"/>
    </w:p>
    <w:p w14:paraId="33DEB096" w14:textId="14AD66FB" w:rsidR="144635F2" w:rsidRDefault="144635F2" w:rsidP="1A5BAE10">
      <w:pPr>
        <w:tabs>
          <w:tab w:val="center" w:pos="4680"/>
          <w:tab w:val="right" w:pos="9360"/>
        </w:tabs>
        <w:rPr>
          <w:rFonts w:eastAsia="Calibri" w:cs="Calibri"/>
        </w:rPr>
      </w:pPr>
      <w:r w:rsidRPr="1A5BAE10">
        <w:rPr>
          <w:rFonts w:eastAsia="Calibri" w:cs="Calibri"/>
        </w:rPr>
        <w:t xml:space="preserve">FY 2024 </w:t>
      </w:r>
      <w:r w:rsidR="00F2042C">
        <w:rPr>
          <w:rFonts w:eastAsia="Calibri" w:cs="Calibri"/>
        </w:rPr>
        <w:t>Washington DOSH</w:t>
      </w:r>
      <w:r w:rsidRPr="1A5BAE10">
        <w:rPr>
          <w:rFonts w:eastAsia="Calibri" w:cs="Calibri"/>
        </w:rPr>
        <w:t xml:space="preserve"> Follow-up FAME Report</w:t>
      </w:r>
    </w:p>
    <w:p w14:paraId="606ABC70" w14:textId="345C5C77" w:rsidR="144635F2" w:rsidRDefault="144635F2" w:rsidP="1A5BAE10">
      <w:pPr>
        <w:rPr>
          <w:rFonts w:eastAsia="Calibri" w:cs="Calibri"/>
          <w:b/>
          <w:bCs/>
          <w:sz w:val="28"/>
          <w:szCs w:val="28"/>
        </w:rPr>
      </w:pPr>
      <w:r w:rsidRPr="1A5BAE10">
        <w:rPr>
          <w:rFonts w:eastAsia="Calibri" w:cs="Calibri"/>
          <w:b/>
          <w:bCs/>
          <w:sz w:val="28"/>
          <w:szCs w:val="28"/>
        </w:rPr>
        <w:t xml:space="preserve"> </w:t>
      </w:r>
    </w:p>
    <w:tbl>
      <w:tblPr>
        <w:tblStyle w:val="TableGridLight"/>
        <w:tblW w:w="0" w:type="auto"/>
        <w:tblLayout w:type="fixed"/>
        <w:tblLook w:val="06A0" w:firstRow="1" w:lastRow="0" w:firstColumn="1" w:lastColumn="0" w:noHBand="1" w:noVBand="1"/>
      </w:tblPr>
      <w:tblGrid>
        <w:gridCol w:w="1070"/>
        <w:gridCol w:w="1926"/>
        <w:gridCol w:w="1201"/>
        <w:gridCol w:w="1296"/>
        <w:gridCol w:w="3704"/>
      </w:tblGrid>
      <w:tr w:rsidR="1A5BAE10" w:rsidRPr="007E73BE" w14:paraId="704CFFB5" w14:textId="77777777" w:rsidTr="00BA600F">
        <w:trPr>
          <w:cantSplit/>
          <w:trHeight w:val="300"/>
          <w:tblHeader/>
        </w:trPr>
        <w:tc>
          <w:tcPr>
            <w:tcW w:w="1070" w:type="dxa"/>
          </w:tcPr>
          <w:p w14:paraId="5140A5A8" w14:textId="48357BF8"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SAMM Number</w:t>
            </w:r>
          </w:p>
        </w:tc>
        <w:tc>
          <w:tcPr>
            <w:tcW w:w="1926" w:type="dxa"/>
          </w:tcPr>
          <w:p w14:paraId="65B9E988" w14:textId="606441CB"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SAMM Name</w:t>
            </w:r>
          </w:p>
        </w:tc>
        <w:tc>
          <w:tcPr>
            <w:tcW w:w="1201" w:type="dxa"/>
          </w:tcPr>
          <w:p w14:paraId="43AFD07F" w14:textId="5D684F22"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State Plan Data</w:t>
            </w:r>
          </w:p>
        </w:tc>
        <w:tc>
          <w:tcPr>
            <w:tcW w:w="1296" w:type="dxa"/>
          </w:tcPr>
          <w:p w14:paraId="18673DC0" w14:textId="0D22C080"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Further Review Level</w:t>
            </w:r>
          </w:p>
        </w:tc>
        <w:tc>
          <w:tcPr>
            <w:tcW w:w="3704" w:type="dxa"/>
          </w:tcPr>
          <w:p w14:paraId="3BCB5086" w14:textId="619051BB"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Notes</w:t>
            </w:r>
          </w:p>
        </w:tc>
      </w:tr>
      <w:tr w:rsidR="1A5BAE10" w:rsidRPr="007E73BE" w14:paraId="107CD1FE" w14:textId="77777777" w:rsidTr="00F57FF7">
        <w:trPr>
          <w:trHeight w:val="300"/>
        </w:trPr>
        <w:tc>
          <w:tcPr>
            <w:tcW w:w="1070" w:type="dxa"/>
          </w:tcPr>
          <w:p w14:paraId="6ACD7FF5" w14:textId="311292EB"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1a</w:t>
            </w:r>
          </w:p>
        </w:tc>
        <w:tc>
          <w:tcPr>
            <w:tcW w:w="1926" w:type="dxa"/>
          </w:tcPr>
          <w:p w14:paraId="770D67B7" w14:textId="1B0C7485"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Average number of work days to initiate complaint inspections (state formula)</w:t>
            </w:r>
          </w:p>
        </w:tc>
        <w:tc>
          <w:tcPr>
            <w:tcW w:w="1201" w:type="dxa"/>
          </w:tcPr>
          <w:p w14:paraId="7DA1ECD6" w14:textId="1DA597AC"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7.34</w:t>
            </w:r>
          </w:p>
        </w:tc>
        <w:tc>
          <w:tcPr>
            <w:tcW w:w="1296" w:type="dxa"/>
          </w:tcPr>
          <w:p w14:paraId="7A891DD2" w14:textId="172CC15D" w:rsidR="1A5BAE10" w:rsidRPr="007E73BE" w:rsidRDefault="1A5BAE10" w:rsidP="00361DE1">
            <w:pPr>
              <w:rPr>
                <w:rFonts w:eastAsia="Calibri" w:cs="Calibri"/>
                <w:sz w:val="22"/>
                <w:szCs w:val="22"/>
              </w:rPr>
            </w:pPr>
            <w:r w:rsidRPr="007E73BE">
              <w:rPr>
                <w:rFonts w:eastAsia="Calibri" w:cs="Calibri"/>
                <w:sz w:val="22"/>
                <w:szCs w:val="22"/>
              </w:rPr>
              <w:t>15 days for serious hazards; 30 days for other-than-serious hazards</w:t>
            </w:r>
          </w:p>
        </w:tc>
        <w:tc>
          <w:tcPr>
            <w:tcW w:w="3704" w:type="dxa"/>
          </w:tcPr>
          <w:p w14:paraId="356A2648" w14:textId="7AB981DA"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The further review level is negotiated by OSHA and the State Plan.</w:t>
            </w:r>
          </w:p>
        </w:tc>
      </w:tr>
      <w:tr w:rsidR="1A5BAE10" w:rsidRPr="007E73BE" w14:paraId="13CC1EE8" w14:textId="77777777" w:rsidTr="00F57FF7">
        <w:trPr>
          <w:trHeight w:val="300"/>
        </w:trPr>
        <w:tc>
          <w:tcPr>
            <w:tcW w:w="1070" w:type="dxa"/>
          </w:tcPr>
          <w:p w14:paraId="6D899E89" w14:textId="70C73D7B"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1b</w:t>
            </w:r>
          </w:p>
        </w:tc>
        <w:tc>
          <w:tcPr>
            <w:tcW w:w="1926" w:type="dxa"/>
          </w:tcPr>
          <w:p w14:paraId="1EEEC744" w14:textId="0D04F3E1"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Average number of work days to initiate complaint inspections (federal formula)</w:t>
            </w:r>
          </w:p>
        </w:tc>
        <w:tc>
          <w:tcPr>
            <w:tcW w:w="1201" w:type="dxa"/>
          </w:tcPr>
          <w:p w14:paraId="2375951B" w14:textId="5AE0B853"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7.34</w:t>
            </w:r>
          </w:p>
        </w:tc>
        <w:tc>
          <w:tcPr>
            <w:tcW w:w="1296" w:type="dxa"/>
          </w:tcPr>
          <w:p w14:paraId="32FD8F54" w14:textId="2939A688"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N/A</w:t>
            </w:r>
          </w:p>
        </w:tc>
        <w:tc>
          <w:tcPr>
            <w:tcW w:w="3704" w:type="dxa"/>
          </w:tcPr>
          <w:p w14:paraId="0AB85613" w14:textId="70413A3B"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This measure is for informational purposes only and is not a mandated measure.</w:t>
            </w:r>
          </w:p>
        </w:tc>
      </w:tr>
      <w:tr w:rsidR="1A5BAE10" w:rsidRPr="007E73BE" w14:paraId="192E1F36" w14:textId="77777777" w:rsidTr="00F57FF7">
        <w:trPr>
          <w:trHeight w:val="300"/>
        </w:trPr>
        <w:tc>
          <w:tcPr>
            <w:tcW w:w="1070" w:type="dxa"/>
          </w:tcPr>
          <w:p w14:paraId="60635FD1" w14:textId="37882396"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2a</w:t>
            </w:r>
          </w:p>
        </w:tc>
        <w:tc>
          <w:tcPr>
            <w:tcW w:w="1926" w:type="dxa"/>
          </w:tcPr>
          <w:p w14:paraId="67CF9A84" w14:textId="431E43F0"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Average number of work days to initiate complaint investigations (state formula)</w:t>
            </w:r>
          </w:p>
        </w:tc>
        <w:tc>
          <w:tcPr>
            <w:tcW w:w="1201" w:type="dxa"/>
          </w:tcPr>
          <w:p w14:paraId="052D9EE1" w14:textId="596A43E7"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8.07</w:t>
            </w:r>
          </w:p>
        </w:tc>
        <w:tc>
          <w:tcPr>
            <w:tcW w:w="1296" w:type="dxa"/>
          </w:tcPr>
          <w:p w14:paraId="702E492C" w14:textId="0A4105AB"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5</w:t>
            </w:r>
          </w:p>
        </w:tc>
        <w:tc>
          <w:tcPr>
            <w:tcW w:w="3704" w:type="dxa"/>
          </w:tcPr>
          <w:p w14:paraId="5AC6C7AC" w14:textId="4E99A1BE"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The further review level is negotiated by OSHA and the State Plan.</w:t>
            </w:r>
          </w:p>
        </w:tc>
      </w:tr>
      <w:tr w:rsidR="1A5BAE10" w:rsidRPr="007E73BE" w14:paraId="3AB6DF61" w14:textId="77777777" w:rsidTr="00F57FF7">
        <w:trPr>
          <w:trHeight w:val="300"/>
        </w:trPr>
        <w:tc>
          <w:tcPr>
            <w:tcW w:w="1070" w:type="dxa"/>
          </w:tcPr>
          <w:p w14:paraId="7536B80F" w14:textId="6545704D"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2b</w:t>
            </w:r>
          </w:p>
        </w:tc>
        <w:tc>
          <w:tcPr>
            <w:tcW w:w="1926" w:type="dxa"/>
          </w:tcPr>
          <w:p w14:paraId="05196DC8" w14:textId="63E23BAF"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Average number of work days to initiate complaint investigations (federal formula)</w:t>
            </w:r>
          </w:p>
        </w:tc>
        <w:tc>
          <w:tcPr>
            <w:tcW w:w="1201" w:type="dxa"/>
          </w:tcPr>
          <w:p w14:paraId="6BDD6C76" w14:textId="45E5E581"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8.07</w:t>
            </w:r>
          </w:p>
        </w:tc>
        <w:tc>
          <w:tcPr>
            <w:tcW w:w="1296" w:type="dxa"/>
          </w:tcPr>
          <w:p w14:paraId="62C73DE2" w14:textId="7EB91AB6"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N/A</w:t>
            </w:r>
          </w:p>
        </w:tc>
        <w:tc>
          <w:tcPr>
            <w:tcW w:w="3704" w:type="dxa"/>
          </w:tcPr>
          <w:p w14:paraId="21B55559" w14:textId="097A1144"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This measure is for informational purposes only and is not a mandated measure.</w:t>
            </w:r>
          </w:p>
        </w:tc>
      </w:tr>
      <w:tr w:rsidR="1A5BAE10" w:rsidRPr="007E73BE" w14:paraId="6F1E6599" w14:textId="77777777" w:rsidTr="00F57FF7">
        <w:trPr>
          <w:trHeight w:val="300"/>
        </w:trPr>
        <w:tc>
          <w:tcPr>
            <w:tcW w:w="1070" w:type="dxa"/>
          </w:tcPr>
          <w:p w14:paraId="29D524CD" w14:textId="1F8EBAED"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3</w:t>
            </w:r>
          </w:p>
        </w:tc>
        <w:tc>
          <w:tcPr>
            <w:tcW w:w="1926" w:type="dxa"/>
          </w:tcPr>
          <w:p w14:paraId="7138C896" w14:textId="0426101B"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Percent of complaints and referrals responded to within one workday (imminent danger)</w:t>
            </w:r>
          </w:p>
        </w:tc>
        <w:tc>
          <w:tcPr>
            <w:tcW w:w="1201" w:type="dxa"/>
          </w:tcPr>
          <w:p w14:paraId="3F4F1F58" w14:textId="1B6477B0"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95.28%</w:t>
            </w:r>
          </w:p>
        </w:tc>
        <w:tc>
          <w:tcPr>
            <w:tcW w:w="1296" w:type="dxa"/>
          </w:tcPr>
          <w:p w14:paraId="44E0D493" w14:textId="5281133D"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100%</w:t>
            </w:r>
          </w:p>
        </w:tc>
        <w:tc>
          <w:tcPr>
            <w:tcW w:w="3704" w:type="dxa"/>
          </w:tcPr>
          <w:p w14:paraId="53FF0918" w14:textId="46EFDBC3"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The further review level is fixed for all State Plans.</w:t>
            </w:r>
          </w:p>
        </w:tc>
      </w:tr>
      <w:tr w:rsidR="1A5BAE10" w:rsidRPr="007E73BE" w14:paraId="37FABEC5" w14:textId="77777777" w:rsidTr="00F57FF7">
        <w:trPr>
          <w:trHeight w:val="300"/>
        </w:trPr>
        <w:tc>
          <w:tcPr>
            <w:tcW w:w="1070" w:type="dxa"/>
          </w:tcPr>
          <w:p w14:paraId="19F9138D" w14:textId="24854F79"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4</w:t>
            </w:r>
          </w:p>
        </w:tc>
        <w:tc>
          <w:tcPr>
            <w:tcW w:w="1926" w:type="dxa"/>
          </w:tcPr>
          <w:p w14:paraId="1096CC07" w14:textId="7BB1D5C5"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Number of denials where entry not obtained</w:t>
            </w:r>
          </w:p>
        </w:tc>
        <w:tc>
          <w:tcPr>
            <w:tcW w:w="1201" w:type="dxa"/>
          </w:tcPr>
          <w:p w14:paraId="5FE58872" w14:textId="5FBD5D12"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0</w:t>
            </w:r>
          </w:p>
        </w:tc>
        <w:tc>
          <w:tcPr>
            <w:tcW w:w="1296" w:type="dxa"/>
          </w:tcPr>
          <w:p w14:paraId="052A7983" w14:textId="0F5BA60B"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0</w:t>
            </w:r>
          </w:p>
        </w:tc>
        <w:tc>
          <w:tcPr>
            <w:tcW w:w="3704" w:type="dxa"/>
          </w:tcPr>
          <w:p w14:paraId="2C3FB8B4" w14:textId="3FC8D0B6"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The further review level is fixed for all State Plans.</w:t>
            </w:r>
          </w:p>
        </w:tc>
      </w:tr>
      <w:tr w:rsidR="1A5BAE10" w:rsidRPr="007E73BE" w14:paraId="1E50528E" w14:textId="77777777" w:rsidTr="00F57FF7">
        <w:trPr>
          <w:trHeight w:val="855"/>
        </w:trPr>
        <w:tc>
          <w:tcPr>
            <w:tcW w:w="1070" w:type="dxa"/>
          </w:tcPr>
          <w:p w14:paraId="58B83559" w14:textId="34F15F6E"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5a</w:t>
            </w:r>
          </w:p>
        </w:tc>
        <w:tc>
          <w:tcPr>
            <w:tcW w:w="1926" w:type="dxa"/>
          </w:tcPr>
          <w:p w14:paraId="19951E0D" w14:textId="44C4555E"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Average number of violations per inspection with violations by violation type (SWRU)</w:t>
            </w:r>
          </w:p>
        </w:tc>
        <w:tc>
          <w:tcPr>
            <w:tcW w:w="1201" w:type="dxa"/>
          </w:tcPr>
          <w:p w14:paraId="4E2077BB" w14:textId="076B01DC"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1.61</w:t>
            </w:r>
          </w:p>
        </w:tc>
        <w:tc>
          <w:tcPr>
            <w:tcW w:w="1296" w:type="dxa"/>
          </w:tcPr>
          <w:p w14:paraId="1EC2FE0A" w14:textId="6D440AB5" w:rsidR="1A5BAE10" w:rsidRPr="007E73BE" w:rsidRDefault="1A5BAE10" w:rsidP="1A5BAE10">
            <w:pPr>
              <w:rPr>
                <w:rFonts w:eastAsia="Calibri" w:cs="Calibri"/>
                <w:sz w:val="22"/>
                <w:szCs w:val="22"/>
              </w:rPr>
            </w:pPr>
            <w:r w:rsidRPr="007E73BE">
              <w:rPr>
                <w:rFonts w:eastAsia="Calibri" w:cs="Calibri"/>
                <w:sz w:val="22"/>
                <w:szCs w:val="22"/>
              </w:rPr>
              <w:t>+/- 20% of 1.74</w:t>
            </w:r>
          </w:p>
          <w:p w14:paraId="1FC8158C" w14:textId="32BC594E" w:rsidR="1A5BAE10" w:rsidRPr="007E73BE" w:rsidRDefault="1A5BAE10" w:rsidP="1A5BAE10">
            <w:pPr>
              <w:rPr>
                <w:rFonts w:eastAsia="Calibri" w:cs="Calibri"/>
                <w:sz w:val="22"/>
                <w:szCs w:val="22"/>
              </w:rPr>
            </w:pPr>
            <w:r w:rsidRPr="007E73BE">
              <w:rPr>
                <w:rFonts w:eastAsia="Calibri" w:cs="Calibri"/>
                <w:sz w:val="22"/>
                <w:szCs w:val="22"/>
              </w:rPr>
              <w:t xml:space="preserve"> </w:t>
            </w:r>
          </w:p>
          <w:p w14:paraId="63F69830" w14:textId="5424114E"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 xml:space="preserve"> </w:t>
            </w:r>
          </w:p>
        </w:tc>
        <w:tc>
          <w:tcPr>
            <w:tcW w:w="3704" w:type="dxa"/>
          </w:tcPr>
          <w:p w14:paraId="3F7D6EE2" w14:textId="518A267E"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 xml:space="preserve">The further review level is based on a three-year national average.  The range of acceptable data not requiring further review is from 1.39 to 2.08 for SWRU. </w:t>
            </w:r>
          </w:p>
        </w:tc>
      </w:tr>
      <w:tr w:rsidR="1A5BAE10" w:rsidRPr="007E73BE" w14:paraId="06A21F5F" w14:textId="77777777" w:rsidTr="00BA600F">
        <w:trPr>
          <w:cantSplit/>
          <w:trHeight w:val="300"/>
        </w:trPr>
        <w:tc>
          <w:tcPr>
            <w:tcW w:w="1070" w:type="dxa"/>
          </w:tcPr>
          <w:p w14:paraId="5A374E7A" w14:textId="3FB39087"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5b</w:t>
            </w:r>
          </w:p>
        </w:tc>
        <w:tc>
          <w:tcPr>
            <w:tcW w:w="1926" w:type="dxa"/>
          </w:tcPr>
          <w:p w14:paraId="2C6C2CB7" w14:textId="6552CCD1"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Average number of violations per inspection with violations by violation type (other)</w:t>
            </w:r>
          </w:p>
        </w:tc>
        <w:tc>
          <w:tcPr>
            <w:tcW w:w="1201" w:type="dxa"/>
          </w:tcPr>
          <w:p w14:paraId="4CA61626" w14:textId="4003F5BD"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1.91</w:t>
            </w:r>
          </w:p>
        </w:tc>
        <w:tc>
          <w:tcPr>
            <w:tcW w:w="1296" w:type="dxa"/>
          </w:tcPr>
          <w:p w14:paraId="23E4F71B" w14:textId="4DBFF8E7" w:rsidR="1A5BAE10" w:rsidRPr="007E73BE" w:rsidRDefault="1A5BAE10" w:rsidP="1A5BAE10">
            <w:pPr>
              <w:rPr>
                <w:rFonts w:eastAsia="Calibri" w:cs="Calibri"/>
                <w:sz w:val="22"/>
                <w:szCs w:val="22"/>
              </w:rPr>
            </w:pPr>
            <w:r w:rsidRPr="007E73BE">
              <w:rPr>
                <w:rFonts w:eastAsia="Calibri" w:cs="Calibri"/>
                <w:sz w:val="22"/>
                <w:szCs w:val="22"/>
              </w:rPr>
              <w:t>+/- 20% of 0.94</w:t>
            </w:r>
          </w:p>
          <w:p w14:paraId="105A3C1F" w14:textId="1608E1B1"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 xml:space="preserve"> </w:t>
            </w:r>
          </w:p>
        </w:tc>
        <w:tc>
          <w:tcPr>
            <w:tcW w:w="3704" w:type="dxa"/>
          </w:tcPr>
          <w:p w14:paraId="1E9A38E1" w14:textId="0C965C08"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The further review level is based on a three-year national average.  The range of acceptable data not requiring further review is from 0.75 to 1.12 for OTS.</w:t>
            </w:r>
          </w:p>
        </w:tc>
      </w:tr>
      <w:tr w:rsidR="1A5BAE10" w:rsidRPr="007E73BE" w14:paraId="73C90AD6" w14:textId="77777777" w:rsidTr="00F57FF7">
        <w:trPr>
          <w:trHeight w:val="300"/>
        </w:trPr>
        <w:tc>
          <w:tcPr>
            <w:tcW w:w="1070" w:type="dxa"/>
          </w:tcPr>
          <w:p w14:paraId="18492A2F" w14:textId="5A06A1D2"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6</w:t>
            </w:r>
          </w:p>
        </w:tc>
        <w:tc>
          <w:tcPr>
            <w:tcW w:w="1926" w:type="dxa"/>
          </w:tcPr>
          <w:p w14:paraId="4E972ABB" w14:textId="30A3F369"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Percent of total inspections in state and local government workplaces</w:t>
            </w:r>
          </w:p>
        </w:tc>
        <w:tc>
          <w:tcPr>
            <w:tcW w:w="1201" w:type="dxa"/>
          </w:tcPr>
          <w:p w14:paraId="5A153163" w14:textId="7110605E"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3.11%</w:t>
            </w:r>
          </w:p>
        </w:tc>
        <w:tc>
          <w:tcPr>
            <w:tcW w:w="1296" w:type="dxa"/>
          </w:tcPr>
          <w:p w14:paraId="0BEB2E3E" w14:textId="7BCAAA0C" w:rsidR="1A5BAE10" w:rsidRPr="007E73BE" w:rsidRDefault="1A5BAE10" w:rsidP="1A5BAE10">
            <w:pPr>
              <w:rPr>
                <w:rFonts w:eastAsia="Calibri" w:cs="Calibri"/>
                <w:sz w:val="22"/>
                <w:szCs w:val="22"/>
              </w:rPr>
            </w:pPr>
            <w:r w:rsidRPr="007E73BE">
              <w:rPr>
                <w:rFonts w:eastAsia="Calibri" w:cs="Calibri"/>
                <w:sz w:val="22"/>
                <w:szCs w:val="22"/>
              </w:rPr>
              <w:t>+/- 5% of</w:t>
            </w:r>
          </w:p>
          <w:p w14:paraId="1BB27621" w14:textId="6D48CBC3"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 xml:space="preserve">Grant 4.00% </w:t>
            </w:r>
          </w:p>
        </w:tc>
        <w:tc>
          <w:tcPr>
            <w:tcW w:w="3704" w:type="dxa"/>
          </w:tcPr>
          <w:p w14:paraId="234809C2" w14:textId="6FD33300"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The further review level is based on a number negotiated by OSHA and the State Plan through the grant application.  The range of acceptable data not requiring further review is from 3.80% to 4.20%.</w:t>
            </w:r>
          </w:p>
        </w:tc>
      </w:tr>
      <w:tr w:rsidR="1A5BAE10" w:rsidRPr="007E73BE" w14:paraId="34850A84" w14:textId="77777777" w:rsidTr="00F57FF7">
        <w:trPr>
          <w:trHeight w:val="300"/>
        </w:trPr>
        <w:tc>
          <w:tcPr>
            <w:tcW w:w="1070" w:type="dxa"/>
          </w:tcPr>
          <w:p w14:paraId="29E0D5BF" w14:textId="054B145C"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7a</w:t>
            </w:r>
          </w:p>
        </w:tc>
        <w:tc>
          <w:tcPr>
            <w:tcW w:w="1926" w:type="dxa"/>
          </w:tcPr>
          <w:p w14:paraId="35E74B5E" w14:textId="0FDD38BA"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Planned v. actual inspections (safety)</w:t>
            </w:r>
          </w:p>
        </w:tc>
        <w:tc>
          <w:tcPr>
            <w:tcW w:w="1201" w:type="dxa"/>
          </w:tcPr>
          <w:p w14:paraId="4E5BE648" w14:textId="52254796"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4,695</w:t>
            </w:r>
          </w:p>
        </w:tc>
        <w:tc>
          <w:tcPr>
            <w:tcW w:w="1296" w:type="dxa"/>
          </w:tcPr>
          <w:p w14:paraId="4B0E1DCC" w14:textId="4CABDFF9" w:rsidR="1A5BAE10" w:rsidRPr="007E73BE" w:rsidRDefault="1A5BAE10" w:rsidP="1A5BAE10">
            <w:pPr>
              <w:rPr>
                <w:rFonts w:eastAsia="Calibri" w:cs="Calibri"/>
                <w:sz w:val="22"/>
                <w:szCs w:val="22"/>
              </w:rPr>
            </w:pPr>
            <w:r w:rsidRPr="007E73BE">
              <w:rPr>
                <w:rFonts w:eastAsia="Calibri" w:cs="Calibri"/>
                <w:sz w:val="22"/>
                <w:szCs w:val="22"/>
              </w:rPr>
              <w:t xml:space="preserve">+/- 5% of </w:t>
            </w:r>
          </w:p>
          <w:p w14:paraId="0A76D87E" w14:textId="5903EA4E"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Grant 4,080</w:t>
            </w:r>
          </w:p>
        </w:tc>
        <w:tc>
          <w:tcPr>
            <w:tcW w:w="3704" w:type="dxa"/>
          </w:tcPr>
          <w:p w14:paraId="6A656D4F" w14:textId="2060FB4C"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The further review level is based on a number negotiated by OSHA and the State Plan through the grant application.  The range of acceptable data not requiring further review is from 3,876 to 4,284 for safety.</w:t>
            </w:r>
          </w:p>
        </w:tc>
      </w:tr>
      <w:tr w:rsidR="1A5BAE10" w:rsidRPr="007E73BE" w14:paraId="2CDC93D7" w14:textId="77777777" w:rsidTr="00F57FF7">
        <w:trPr>
          <w:trHeight w:val="300"/>
        </w:trPr>
        <w:tc>
          <w:tcPr>
            <w:tcW w:w="1070" w:type="dxa"/>
          </w:tcPr>
          <w:p w14:paraId="1B5C3B3B" w14:textId="14D821A4"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7b</w:t>
            </w:r>
          </w:p>
        </w:tc>
        <w:tc>
          <w:tcPr>
            <w:tcW w:w="1926" w:type="dxa"/>
          </w:tcPr>
          <w:p w14:paraId="7A295159" w14:textId="1F5E1A11"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Planned v. actual inspections (health)</w:t>
            </w:r>
          </w:p>
        </w:tc>
        <w:tc>
          <w:tcPr>
            <w:tcW w:w="1201" w:type="dxa"/>
          </w:tcPr>
          <w:p w14:paraId="153B4696" w14:textId="0B632A1D"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1,189</w:t>
            </w:r>
          </w:p>
        </w:tc>
        <w:tc>
          <w:tcPr>
            <w:tcW w:w="1296" w:type="dxa"/>
          </w:tcPr>
          <w:p w14:paraId="5D0BEBEB" w14:textId="1D5CAFC0" w:rsidR="1A5BAE10" w:rsidRPr="007E73BE" w:rsidRDefault="1A5BAE10" w:rsidP="1A5BAE10">
            <w:pPr>
              <w:rPr>
                <w:rFonts w:eastAsia="Calibri" w:cs="Calibri"/>
                <w:sz w:val="22"/>
                <w:szCs w:val="22"/>
              </w:rPr>
            </w:pPr>
            <w:r w:rsidRPr="007E73BE">
              <w:rPr>
                <w:rFonts w:eastAsia="Calibri" w:cs="Calibri"/>
                <w:sz w:val="22"/>
                <w:szCs w:val="22"/>
              </w:rPr>
              <w:t xml:space="preserve">+/- 5% of </w:t>
            </w:r>
          </w:p>
          <w:p w14:paraId="71C04A19" w14:textId="5514D8A4"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Grant 1,020</w:t>
            </w:r>
          </w:p>
        </w:tc>
        <w:tc>
          <w:tcPr>
            <w:tcW w:w="3704" w:type="dxa"/>
          </w:tcPr>
          <w:p w14:paraId="054936E8" w14:textId="3C821CE5"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The further review level is based on a number negotiated by OSHA and the State Plan through the grant application.  The range of acceptable data not requiring further review is from 969 to 1,071 for health.</w:t>
            </w:r>
          </w:p>
        </w:tc>
      </w:tr>
      <w:tr w:rsidR="1A5BAE10" w:rsidRPr="007E73BE" w14:paraId="390FEE43" w14:textId="77777777" w:rsidTr="00F57FF7">
        <w:trPr>
          <w:trHeight w:val="300"/>
        </w:trPr>
        <w:tc>
          <w:tcPr>
            <w:tcW w:w="1070" w:type="dxa"/>
          </w:tcPr>
          <w:p w14:paraId="4EF5B6D9" w14:textId="626E305A"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8</w:t>
            </w:r>
          </w:p>
        </w:tc>
        <w:tc>
          <w:tcPr>
            <w:tcW w:w="1926" w:type="dxa"/>
          </w:tcPr>
          <w:p w14:paraId="04213C41" w14:textId="32797B13"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Average current serious penalty in private sector - total (1 to greater than 250 workers)</w:t>
            </w:r>
          </w:p>
        </w:tc>
        <w:tc>
          <w:tcPr>
            <w:tcW w:w="1201" w:type="dxa"/>
          </w:tcPr>
          <w:p w14:paraId="0400B560" w14:textId="06912A30"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$1,792.19</w:t>
            </w:r>
          </w:p>
        </w:tc>
        <w:tc>
          <w:tcPr>
            <w:tcW w:w="1296" w:type="dxa"/>
          </w:tcPr>
          <w:p w14:paraId="15421B29" w14:textId="5D4081E8" w:rsidR="1A5BAE10" w:rsidRPr="007E73BE" w:rsidRDefault="1A5BAE10" w:rsidP="1A5BAE10">
            <w:pPr>
              <w:rPr>
                <w:rFonts w:eastAsia="Calibri" w:cs="Calibri"/>
                <w:sz w:val="22"/>
                <w:szCs w:val="22"/>
              </w:rPr>
            </w:pPr>
            <w:r w:rsidRPr="007E73BE">
              <w:rPr>
                <w:rFonts w:eastAsia="Calibri" w:cs="Calibri"/>
                <w:sz w:val="22"/>
                <w:szCs w:val="22"/>
              </w:rPr>
              <w:t xml:space="preserve">+/- 25% of </w:t>
            </w:r>
          </w:p>
          <w:p w14:paraId="6BED7B25" w14:textId="7B22CE1E" w:rsidR="1A5BAE10" w:rsidRPr="007E73BE" w:rsidRDefault="1A5BAE10" w:rsidP="1A5BAE10">
            <w:pPr>
              <w:rPr>
                <w:rFonts w:eastAsia="Calibri" w:cs="Calibri"/>
                <w:sz w:val="22"/>
                <w:szCs w:val="22"/>
              </w:rPr>
            </w:pPr>
            <w:r w:rsidRPr="007E73BE">
              <w:rPr>
                <w:rFonts w:eastAsia="Calibri" w:cs="Calibri"/>
                <w:sz w:val="22"/>
                <w:szCs w:val="22"/>
              </w:rPr>
              <w:t>$3,793.81</w:t>
            </w:r>
          </w:p>
          <w:p w14:paraId="7F52C43A" w14:textId="59856088"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 xml:space="preserve"> </w:t>
            </w:r>
          </w:p>
        </w:tc>
        <w:tc>
          <w:tcPr>
            <w:tcW w:w="3704" w:type="dxa"/>
          </w:tcPr>
          <w:p w14:paraId="10CECE74" w14:textId="7146113A" w:rsidR="1A5BAE10" w:rsidRPr="007E73BE" w:rsidRDefault="1A5BAE10" w:rsidP="1A5BAE10">
            <w:pPr>
              <w:tabs>
                <w:tab w:val="left" w:pos="2416"/>
              </w:tabs>
              <w:rPr>
                <w:rFonts w:eastAsia="Calibri" w:cs="Calibri"/>
                <w:sz w:val="22"/>
                <w:szCs w:val="22"/>
              </w:rPr>
            </w:pPr>
            <w:r w:rsidRPr="007E73BE">
              <w:rPr>
                <w:rFonts w:eastAsia="Calibri" w:cs="Calibri"/>
                <w:sz w:val="22"/>
                <w:szCs w:val="22"/>
              </w:rPr>
              <w:t>The further review level is based on a three-year national average.  The range of acceptable data not requiring further review is from $2,845.36 to $4,742.27.</w:t>
            </w:r>
          </w:p>
        </w:tc>
      </w:tr>
      <w:tr w:rsidR="1A5BAE10" w:rsidRPr="007E73BE" w14:paraId="0A727D40" w14:textId="77777777" w:rsidTr="00F57FF7">
        <w:trPr>
          <w:trHeight w:val="300"/>
        </w:trPr>
        <w:tc>
          <w:tcPr>
            <w:tcW w:w="1070" w:type="dxa"/>
          </w:tcPr>
          <w:p w14:paraId="5D14BC88" w14:textId="0FC662AB"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8a</w:t>
            </w:r>
          </w:p>
        </w:tc>
        <w:tc>
          <w:tcPr>
            <w:tcW w:w="1926" w:type="dxa"/>
          </w:tcPr>
          <w:p w14:paraId="65616CE2" w14:textId="6D858D3F" w:rsidR="1A5BAE10" w:rsidRPr="007E73BE" w:rsidRDefault="1A5BAE10" w:rsidP="1A5BAE10">
            <w:pPr>
              <w:rPr>
                <w:rFonts w:eastAsia="Calibri" w:cs="Calibri"/>
                <w:sz w:val="22"/>
                <w:szCs w:val="22"/>
              </w:rPr>
            </w:pPr>
            <w:r w:rsidRPr="007E73BE">
              <w:rPr>
                <w:rFonts w:eastAsia="Calibri" w:cs="Calibri"/>
                <w:sz w:val="22"/>
                <w:szCs w:val="22"/>
              </w:rPr>
              <w:t>Average current serious penalty in private sector</w:t>
            </w:r>
          </w:p>
          <w:p w14:paraId="58CD2F1A" w14:textId="20F02B9E"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 xml:space="preserve"> (1-25 workers)</w:t>
            </w:r>
          </w:p>
        </w:tc>
        <w:tc>
          <w:tcPr>
            <w:tcW w:w="1201" w:type="dxa"/>
          </w:tcPr>
          <w:p w14:paraId="017D1557" w14:textId="39BDF1DE"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$1,325.00</w:t>
            </w:r>
          </w:p>
        </w:tc>
        <w:tc>
          <w:tcPr>
            <w:tcW w:w="1296" w:type="dxa"/>
          </w:tcPr>
          <w:p w14:paraId="30416626" w14:textId="2139F4DF" w:rsidR="1A5BAE10" w:rsidRPr="007E73BE" w:rsidRDefault="1A5BAE10" w:rsidP="1A5BAE10">
            <w:pPr>
              <w:rPr>
                <w:rFonts w:eastAsia="Calibri" w:cs="Calibri"/>
                <w:sz w:val="22"/>
                <w:szCs w:val="22"/>
              </w:rPr>
            </w:pPr>
            <w:r w:rsidRPr="007E73BE">
              <w:rPr>
                <w:rFonts w:eastAsia="Calibri" w:cs="Calibri"/>
                <w:sz w:val="22"/>
                <w:szCs w:val="22"/>
              </w:rPr>
              <w:t xml:space="preserve">+/- 25% of </w:t>
            </w:r>
          </w:p>
          <w:p w14:paraId="7454DC74" w14:textId="763DDE71" w:rsidR="1A5BAE10" w:rsidRPr="007E73BE" w:rsidRDefault="1A5BAE10" w:rsidP="1A5BAE10">
            <w:pPr>
              <w:rPr>
                <w:rFonts w:eastAsia="Calibri" w:cs="Calibri"/>
                <w:sz w:val="22"/>
                <w:szCs w:val="22"/>
              </w:rPr>
            </w:pPr>
            <w:r w:rsidRPr="007E73BE">
              <w:rPr>
                <w:rFonts w:eastAsia="Calibri" w:cs="Calibri"/>
                <w:sz w:val="22"/>
                <w:szCs w:val="22"/>
              </w:rPr>
              <w:t>$2,498.51</w:t>
            </w:r>
          </w:p>
          <w:p w14:paraId="719BC9D2" w14:textId="7935C8C9"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 xml:space="preserve"> </w:t>
            </w:r>
          </w:p>
        </w:tc>
        <w:tc>
          <w:tcPr>
            <w:tcW w:w="3704" w:type="dxa"/>
          </w:tcPr>
          <w:p w14:paraId="51FB3006" w14:textId="5117AB96"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The further review level is based on a three-year national average.  The range of acceptable data not requiring further review is from $1,873.88 to $3,123.14.</w:t>
            </w:r>
          </w:p>
        </w:tc>
      </w:tr>
      <w:tr w:rsidR="1A5BAE10" w:rsidRPr="007E73BE" w14:paraId="08FC4477" w14:textId="77777777" w:rsidTr="00F57FF7">
        <w:trPr>
          <w:trHeight w:val="300"/>
        </w:trPr>
        <w:tc>
          <w:tcPr>
            <w:tcW w:w="1070" w:type="dxa"/>
          </w:tcPr>
          <w:p w14:paraId="0279183C" w14:textId="574D47FF"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8b</w:t>
            </w:r>
          </w:p>
        </w:tc>
        <w:tc>
          <w:tcPr>
            <w:tcW w:w="1926" w:type="dxa"/>
          </w:tcPr>
          <w:p w14:paraId="522C61B5" w14:textId="20865D2F" w:rsidR="1A5BAE10" w:rsidRPr="007E73BE" w:rsidRDefault="1A5BAE10" w:rsidP="1A5BAE10">
            <w:pPr>
              <w:rPr>
                <w:rFonts w:eastAsia="Calibri" w:cs="Calibri"/>
                <w:sz w:val="22"/>
                <w:szCs w:val="22"/>
              </w:rPr>
            </w:pPr>
            <w:r w:rsidRPr="007E73BE">
              <w:rPr>
                <w:rFonts w:eastAsia="Calibri" w:cs="Calibri"/>
                <w:sz w:val="22"/>
                <w:szCs w:val="22"/>
              </w:rPr>
              <w:t xml:space="preserve">Average current serious penalty in private sector </w:t>
            </w:r>
          </w:p>
          <w:p w14:paraId="3C8436CD" w14:textId="70FA3503"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sz w:val="22"/>
                <w:szCs w:val="22"/>
              </w:rPr>
              <w:t>(26-100 workers</w:t>
            </w:r>
            <w:r w:rsidRPr="007E73BE">
              <w:rPr>
                <w:rFonts w:eastAsia="Calibri" w:cs="Calibri"/>
                <w:b/>
                <w:bCs/>
                <w:sz w:val="22"/>
                <w:szCs w:val="22"/>
              </w:rPr>
              <w:t>)</w:t>
            </w:r>
          </w:p>
        </w:tc>
        <w:tc>
          <w:tcPr>
            <w:tcW w:w="1201" w:type="dxa"/>
          </w:tcPr>
          <w:p w14:paraId="153FBE83" w14:textId="166C2FF1"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$1,982.59</w:t>
            </w:r>
          </w:p>
        </w:tc>
        <w:tc>
          <w:tcPr>
            <w:tcW w:w="1296" w:type="dxa"/>
          </w:tcPr>
          <w:p w14:paraId="497CDF9F" w14:textId="04D9DF90" w:rsidR="1A5BAE10" w:rsidRPr="007E73BE" w:rsidRDefault="1A5BAE10" w:rsidP="1A5BAE10">
            <w:pPr>
              <w:rPr>
                <w:rFonts w:eastAsia="Calibri" w:cs="Calibri"/>
                <w:sz w:val="22"/>
                <w:szCs w:val="22"/>
              </w:rPr>
            </w:pPr>
            <w:r w:rsidRPr="007E73BE">
              <w:rPr>
                <w:rFonts w:eastAsia="Calibri" w:cs="Calibri"/>
                <w:sz w:val="22"/>
                <w:szCs w:val="22"/>
              </w:rPr>
              <w:t xml:space="preserve">+/- 25% of </w:t>
            </w:r>
          </w:p>
          <w:p w14:paraId="036BC99D" w14:textId="35B43203" w:rsidR="1A5BAE10" w:rsidRPr="007E73BE" w:rsidRDefault="1A5BAE10" w:rsidP="1A5BAE10">
            <w:pPr>
              <w:rPr>
                <w:rFonts w:eastAsia="Calibri" w:cs="Calibri"/>
                <w:sz w:val="22"/>
                <w:szCs w:val="22"/>
              </w:rPr>
            </w:pPr>
            <w:r w:rsidRPr="007E73BE">
              <w:rPr>
                <w:rFonts w:eastAsia="Calibri" w:cs="Calibri"/>
                <w:sz w:val="22"/>
                <w:szCs w:val="22"/>
              </w:rPr>
              <w:t>$4,322.61</w:t>
            </w:r>
          </w:p>
          <w:p w14:paraId="0997DE70" w14:textId="552AD02C"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 xml:space="preserve"> </w:t>
            </w:r>
          </w:p>
        </w:tc>
        <w:tc>
          <w:tcPr>
            <w:tcW w:w="3704" w:type="dxa"/>
          </w:tcPr>
          <w:p w14:paraId="381A1871" w14:textId="239E157D"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The further review level is based on a three-year national average.  The range of acceptable data not requiring further review is from $3,241.96 to $5,403.26.</w:t>
            </w:r>
          </w:p>
        </w:tc>
      </w:tr>
      <w:tr w:rsidR="1A5BAE10" w:rsidRPr="007E73BE" w14:paraId="12DD3721" w14:textId="77777777" w:rsidTr="00F57FF7">
        <w:trPr>
          <w:trHeight w:val="300"/>
        </w:trPr>
        <w:tc>
          <w:tcPr>
            <w:tcW w:w="1070" w:type="dxa"/>
          </w:tcPr>
          <w:p w14:paraId="3210C622" w14:textId="2629F8A4"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8c</w:t>
            </w:r>
          </w:p>
        </w:tc>
        <w:tc>
          <w:tcPr>
            <w:tcW w:w="1926" w:type="dxa"/>
          </w:tcPr>
          <w:p w14:paraId="514F75EE" w14:textId="21730215" w:rsidR="1A5BAE10" w:rsidRPr="007E73BE" w:rsidRDefault="1A5BAE10" w:rsidP="1A5BAE10">
            <w:pPr>
              <w:rPr>
                <w:rFonts w:eastAsia="Calibri" w:cs="Calibri"/>
                <w:sz w:val="22"/>
                <w:szCs w:val="22"/>
              </w:rPr>
            </w:pPr>
            <w:r w:rsidRPr="007E73BE">
              <w:rPr>
                <w:rFonts w:eastAsia="Calibri" w:cs="Calibri"/>
                <w:sz w:val="22"/>
                <w:szCs w:val="22"/>
              </w:rPr>
              <w:t>Average current serious penalty in private sector</w:t>
            </w:r>
          </w:p>
          <w:p w14:paraId="66402425" w14:textId="7DCF508E"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(101-250 workers)</w:t>
            </w:r>
          </w:p>
        </w:tc>
        <w:tc>
          <w:tcPr>
            <w:tcW w:w="1201" w:type="dxa"/>
          </w:tcPr>
          <w:p w14:paraId="7B776875" w14:textId="719218C6"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$2,828.44</w:t>
            </w:r>
          </w:p>
        </w:tc>
        <w:tc>
          <w:tcPr>
            <w:tcW w:w="1296" w:type="dxa"/>
          </w:tcPr>
          <w:p w14:paraId="1285C654" w14:textId="73C29B94" w:rsidR="1A5BAE10" w:rsidRPr="007E73BE" w:rsidRDefault="1A5BAE10" w:rsidP="1A5BAE10">
            <w:pPr>
              <w:rPr>
                <w:rFonts w:eastAsia="Calibri" w:cs="Calibri"/>
                <w:sz w:val="22"/>
                <w:szCs w:val="22"/>
              </w:rPr>
            </w:pPr>
            <w:r w:rsidRPr="007E73BE">
              <w:rPr>
                <w:rFonts w:eastAsia="Calibri" w:cs="Calibri"/>
                <w:sz w:val="22"/>
                <w:szCs w:val="22"/>
              </w:rPr>
              <w:t xml:space="preserve">+/- 25% of </w:t>
            </w:r>
          </w:p>
          <w:p w14:paraId="1E256A00" w14:textId="66DB64B3" w:rsidR="1A5BAE10" w:rsidRPr="007E73BE" w:rsidRDefault="1A5BAE10" w:rsidP="1A5BAE10">
            <w:pPr>
              <w:rPr>
                <w:rFonts w:eastAsia="Calibri" w:cs="Calibri"/>
                <w:sz w:val="22"/>
                <w:szCs w:val="22"/>
              </w:rPr>
            </w:pPr>
            <w:r w:rsidRPr="007E73BE">
              <w:rPr>
                <w:rFonts w:eastAsia="Calibri" w:cs="Calibri"/>
                <w:sz w:val="22"/>
                <w:szCs w:val="22"/>
              </w:rPr>
              <w:t>$6,114.84</w:t>
            </w:r>
          </w:p>
          <w:p w14:paraId="52E3C76D" w14:textId="77F4377A"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 xml:space="preserve"> </w:t>
            </w:r>
          </w:p>
        </w:tc>
        <w:tc>
          <w:tcPr>
            <w:tcW w:w="3704" w:type="dxa"/>
          </w:tcPr>
          <w:p w14:paraId="7B35AD2E" w14:textId="6E3DD19C"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The further review level is based on a three-year national average.  The range of acceptable data not requiring further review is from $4,586.13 to $7,643.55.</w:t>
            </w:r>
          </w:p>
        </w:tc>
      </w:tr>
      <w:tr w:rsidR="1A5BAE10" w:rsidRPr="007E73BE" w14:paraId="71F809D7" w14:textId="77777777" w:rsidTr="00F57FF7">
        <w:trPr>
          <w:trHeight w:val="300"/>
        </w:trPr>
        <w:tc>
          <w:tcPr>
            <w:tcW w:w="1070" w:type="dxa"/>
          </w:tcPr>
          <w:p w14:paraId="4A86A9E4" w14:textId="5753AF29"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8d</w:t>
            </w:r>
          </w:p>
        </w:tc>
        <w:tc>
          <w:tcPr>
            <w:tcW w:w="1926" w:type="dxa"/>
          </w:tcPr>
          <w:p w14:paraId="4529CE30" w14:textId="611F0129" w:rsidR="1A5BAE10" w:rsidRPr="007E73BE" w:rsidRDefault="1A5BAE10" w:rsidP="1A5BAE10">
            <w:pPr>
              <w:rPr>
                <w:rFonts w:eastAsia="Calibri" w:cs="Calibri"/>
                <w:sz w:val="22"/>
                <w:szCs w:val="22"/>
              </w:rPr>
            </w:pPr>
            <w:r w:rsidRPr="007E73BE">
              <w:rPr>
                <w:rFonts w:eastAsia="Calibri" w:cs="Calibri"/>
                <w:sz w:val="22"/>
                <w:szCs w:val="22"/>
              </w:rPr>
              <w:t>Average current serious penalty in private sector</w:t>
            </w:r>
          </w:p>
          <w:p w14:paraId="4427ADB6" w14:textId="15F982A4"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(greater than 250 workers)</w:t>
            </w:r>
          </w:p>
        </w:tc>
        <w:tc>
          <w:tcPr>
            <w:tcW w:w="1201" w:type="dxa"/>
          </w:tcPr>
          <w:p w14:paraId="3CAD6C7F" w14:textId="4EAEE649"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$3,495.99</w:t>
            </w:r>
          </w:p>
        </w:tc>
        <w:tc>
          <w:tcPr>
            <w:tcW w:w="1296" w:type="dxa"/>
          </w:tcPr>
          <w:p w14:paraId="06B3ED90" w14:textId="70FA0094" w:rsidR="1A5BAE10" w:rsidRPr="007E73BE" w:rsidRDefault="1A5BAE10" w:rsidP="1A5BAE10">
            <w:pPr>
              <w:rPr>
                <w:rFonts w:eastAsia="Calibri" w:cs="Calibri"/>
                <w:sz w:val="22"/>
                <w:szCs w:val="22"/>
              </w:rPr>
            </w:pPr>
            <w:r w:rsidRPr="007E73BE">
              <w:rPr>
                <w:rFonts w:eastAsia="Calibri" w:cs="Calibri"/>
                <w:sz w:val="22"/>
                <w:szCs w:val="22"/>
              </w:rPr>
              <w:t xml:space="preserve">+/- 25% of </w:t>
            </w:r>
          </w:p>
          <w:p w14:paraId="18ABC78D" w14:textId="33C23660" w:rsidR="1A5BAE10" w:rsidRPr="007E73BE" w:rsidRDefault="1A5BAE10" w:rsidP="1A5BAE10">
            <w:pPr>
              <w:rPr>
                <w:rFonts w:eastAsia="Calibri" w:cs="Calibri"/>
                <w:sz w:val="22"/>
                <w:szCs w:val="22"/>
              </w:rPr>
            </w:pPr>
            <w:r w:rsidRPr="007E73BE">
              <w:rPr>
                <w:rFonts w:eastAsia="Calibri" w:cs="Calibri"/>
                <w:sz w:val="22"/>
                <w:szCs w:val="22"/>
              </w:rPr>
              <w:t>$7,533.58</w:t>
            </w:r>
          </w:p>
          <w:p w14:paraId="7E3C910A" w14:textId="6A16193B"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 xml:space="preserve"> </w:t>
            </w:r>
          </w:p>
        </w:tc>
        <w:tc>
          <w:tcPr>
            <w:tcW w:w="3704" w:type="dxa"/>
          </w:tcPr>
          <w:p w14:paraId="20F03ED5" w14:textId="3ECA3D97"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The further review level is based on a three-year national average.  The range of acceptable data not requiring further review is from $5,650.19 to $9,416.98.</w:t>
            </w:r>
          </w:p>
        </w:tc>
      </w:tr>
      <w:tr w:rsidR="1A5BAE10" w:rsidRPr="007E73BE" w14:paraId="23ECA882" w14:textId="77777777" w:rsidTr="00F57FF7">
        <w:trPr>
          <w:trHeight w:val="300"/>
        </w:trPr>
        <w:tc>
          <w:tcPr>
            <w:tcW w:w="1070" w:type="dxa"/>
          </w:tcPr>
          <w:p w14:paraId="4CB262C5" w14:textId="1A4A70FB"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9a</w:t>
            </w:r>
          </w:p>
        </w:tc>
        <w:tc>
          <w:tcPr>
            <w:tcW w:w="1926" w:type="dxa"/>
          </w:tcPr>
          <w:p w14:paraId="7550096B" w14:textId="20912D85"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Percent in compliance (safety)</w:t>
            </w:r>
          </w:p>
        </w:tc>
        <w:tc>
          <w:tcPr>
            <w:tcW w:w="1201" w:type="dxa"/>
          </w:tcPr>
          <w:p w14:paraId="5D374BB9" w14:textId="45C5DF0C"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32.38%</w:t>
            </w:r>
          </w:p>
        </w:tc>
        <w:tc>
          <w:tcPr>
            <w:tcW w:w="1296" w:type="dxa"/>
          </w:tcPr>
          <w:p w14:paraId="1F9AD26B" w14:textId="12B2BEB8" w:rsidR="1A5BAE10" w:rsidRPr="007E73BE" w:rsidRDefault="1A5BAE10" w:rsidP="1A5BAE10">
            <w:pPr>
              <w:rPr>
                <w:rFonts w:eastAsia="Calibri" w:cs="Calibri"/>
                <w:sz w:val="22"/>
                <w:szCs w:val="22"/>
              </w:rPr>
            </w:pPr>
            <w:r w:rsidRPr="007E73BE">
              <w:rPr>
                <w:rFonts w:eastAsia="Calibri" w:cs="Calibri"/>
                <w:sz w:val="22"/>
                <w:szCs w:val="22"/>
              </w:rPr>
              <w:t>+/- 20% of</w:t>
            </w:r>
          </w:p>
          <w:p w14:paraId="6B5F0927" w14:textId="74C646CE"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32.83%</w:t>
            </w:r>
          </w:p>
        </w:tc>
        <w:tc>
          <w:tcPr>
            <w:tcW w:w="3704" w:type="dxa"/>
          </w:tcPr>
          <w:p w14:paraId="6BE3B18B" w14:textId="189CBC1F"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The further review level is based on a three-year national average.  The range of acceptable data not requiring further review is from 26.27% to 39.40% for safety.</w:t>
            </w:r>
          </w:p>
        </w:tc>
      </w:tr>
      <w:tr w:rsidR="1A5BAE10" w:rsidRPr="007E73BE" w14:paraId="55A6780F" w14:textId="77777777" w:rsidTr="00F57FF7">
        <w:trPr>
          <w:trHeight w:val="300"/>
        </w:trPr>
        <w:tc>
          <w:tcPr>
            <w:tcW w:w="1070" w:type="dxa"/>
          </w:tcPr>
          <w:p w14:paraId="56FAC09F" w14:textId="4F292851"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9b</w:t>
            </w:r>
          </w:p>
        </w:tc>
        <w:tc>
          <w:tcPr>
            <w:tcW w:w="1926" w:type="dxa"/>
          </w:tcPr>
          <w:p w14:paraId="4B97071D" w14:textId="40889B57"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Percent in compliance (health)</w:t>
            </w:r>
          </w:p>
        </w:tc>
        <w:tc>
          <w:tcPr>
            <w:tcW w:w="1201" w:type="dxa"/>
          </w:tcPr>
          <w:p w14:paraId="58274066" w14:textId="5EE0F563"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29.62%</w:t>
            </w:r>
          </w:p>
        </w:tc>
        <w:tc>
          <w:tcPr>
            <w:tcW w:w="1296" w:type="dxa"/>
          </w:tcPr>
          <w:p w14:paraId="7228B113" w14:textId="11E6EBA7" w:rsidR="1A5BAE10" w:rsidRPr="007E73BE" w:rsidRDefault="1A5BAE10" w:rsidP="1A5BAE10">
            <w:pPr>
              <w:rPr>
                <w:rFonts w:eastAsia="Calibri" w:cs="Calibri"/>
                <w:sz w:val="22"/>
                <w:szCs w:val="22"/>
              </w:rPr>
            </w:pPr>
            <w:r w:rsidRPr="007E73BE">
              <w:rPr>
                <w:rFonts w:eastAsia="Calibri" w:cs="Calibri"/>
                <w:sz w:val="22"/>
                <w:szCs w:val="22"/>
              </w:rPr>
              <w:t>+/- 20% of</w:t>
            </w:r>
          </w:p>
          <w:p w14:paraId="145F9A1A" w14:textId="09B2F041"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44.18%</w:t>
            </w:r>
          </w:p>
        </w:tc>
        <w:tc>
          <w:tcPr>
            <w:tcW w:w="3704" w:type="dxa"/>
          </w:tcPr>
          <w:p w14:paraId="21CF4B4B" w14:textId="0FB7F292"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The further review level is based on a three-year national average.  The range of acceptable data not requiring further review is from 35.34% to 53.01% for health.</w:t>
            </w:r>
          </w:p>
        </w:tc>
      </w:tr>
      <w:tr w:rsidR="1A5BAE10" w:rsidRPr="007E73BE" w14:paraId="2556BCA6" w14:textId="77777777" w:rsidTr="00F57FF7">
        <w:trPr>
          <w:trHeight w:val="300"/>
        </w:trPr>
        <w:tc>
          <w:tcPr>
            <w:tcW w:w="1070" w:type="dxa"/>
          </w:tcPr>
          <w:p w14:paraId="61244D11" w14:textId="62FFEFE7"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10</w:t>
            </w:r>
          </w:p>
        </w:tc>
        <w:tc>
          <w:tcPr>
            <w:tcW w:w="1926" w:type="dxa"/>
          </w:tcPr>
          <w:p w14:paraId="70A3E57D" w14:textId="2D52650B"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Percent of work-related fatalities responded to in one workday</w:t>
            </w:r>
          </w:p>
        </w:tc>
        <w:tc>
          <w:tcPr>
            <w:tcW w:w="1201" w:type="dxa"/>
          </w:tcPr>
          <w:p w14:paraId="6D5090DF" w14:textId="06A4B9FD"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85.71%</w:t>
            </w:r>
          </w:p>
        </w:tc>
        <w:tc>
          <w:tcPr>
            <w:tcW w:w="1296" w:type="dxa"/>
          </w:tcPr>
          <w:p w14:paraId="1DE53B0C" w14:textId="44B2A561"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100%</w:t>
            </w:r>
          </w:p>
        </w:tc>
        <w:tc>
          <w:tcPr>
            <w:tcW w:w="3704" w:type="dxa"/>
          </w:tcPr>
          <w:p w14:paraId="5E038778" w14:textId="5E2AA174"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The further review level is fixed for all State Plans.</w:t>
            </w:r>
          </w:p>
        </w:tc>
      </w:tr>
      <w:tr w:rsidR="1A5BAE10" w:rsidRPr="007E73BE" w14:paraId="79ED1A12" w14:textId="77777777" w:rsidTr="00F57FF7">
        <w:trPr>
          <w:trHeight w:val="300"/>
        </w:trPr>
        <w:tc>
          <w:tcPr>
            <w:tcW w:w="1070" w:type="dxa"/>
          </w:tcPr>
          <w:p w14:paraId="503B4D3A" w14:textId="72326400"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11a</w:t>
            </w:r>
          </w:p>
        </w:tc>
        <w:tc>
          <w:tcPr>
            <w:tcW w:w="1926" w:type="dxa"/>
          </w:tcPr>
          <w:p w14:paraId="1D409815" w14:textId="30DFBAEE"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Average lapse time (safety)</w:t>
            </w:r>
          </w:p>
        </w:tc>
        <w:tc>
          <w:tcPr>
            <w:tcW w:w="1201" w:type="dxa"/>
          </w:tcPr>
          <w:p w14:paraId="78AF837D" w14:textId="19B44FE4"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40.53</w:t>
            </w:r>
          </w:p>
        </w:tc>
        <w:tc>
          <w:tcPr>
            <w:tcW w:w="1296" w:type="dxa"/>
          </w:tcPr>
          <w:p w14:paraId="26CB2486" w14:textId="77DA7BF5" w:rsidR="1A5BAE10" w:rsidRPr="007E73BE" w:rsidRDefault="1A5BAE10" w:rsidP="1A5BAE10">
            <w:pPr>
              <w:rPr>
                <w:rFonts w:eastAsia="Calibri" w:cs="Calibri"/>
                <w:sz w:val="22"/>
                <w:szCs w:val="22"/>
              </w:rPr>
            </w:pPr>
            <w:r w:rsidRPr="007E73BE">
              <w:rPr>
                <w:rFonts w:eastAsia="Calibri" w:cs="Calibri"/>
                <w:sz w:val="22"/>
                <w:szCs w:val="22"/>
              </w:rPr>
              <w:t>+/- 20% of 56.02</w:t>
            </w:r>
          </w:p>
          <w:p w14:paraId="1F94D7EF" w14:textId="4B6D269B"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 xml:space="preserve"> </w:t>
            </w:r>
          </w:p>
        </w:tc>
        <w:tc>
          <w:tcPr>
            <w:tcW w:w="3704" w:type="dxa"/>
          </w:tcPr>
          <w:p w14:paraId="58EF7A9F" w14:textId="1A5B30DF"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The further review level is based on a three-year national average.  The range of acceptable data not requiring further review is from 44.82 to 67.23</w:t>
            </w:r>
            <w:r w:rsidR="00A2768F" w:rsidRPr="007E73BE">
              <w:rPr>
                <w:rFonts w:eastAsia="Calibri" w:cs="Calibri"/>
                <w:sz w:val="22"/>
                <w:szCs w:val="22"/>
              </w:rPr>
              <w:t xml:space="preserve"> </w:t>
            </w:r>
            <w:r w:rsidRPr="007E73BE">
              <w:rPr>
                <w:rFonts w:eastAsia="Calibri" w:cs="Calibri"/>
                <w:sz w:val="22"/>
                <w:szCs w:val="22"/>
              </w:rPr>
              <w:t>for safety.</w:t>
            </w:r>
          </w:p>
        </w:tc>
      </w:tr>
      <w:tr w:rsidR="1A5BAE10" w:rsidRPr="007E73BE" w14:paraId="18824789" w14:textId="77777777" w:rsidTr="00F57FF7">
        <w:trPr>
          <w:trHeight w:val="300"/>
        </w:trPr>
        <w:tc>
          <w:tcPr>
            <w:tcW w:w="1070" w:type="dxa"/>
          </w:tcPr>
          <w:p w14:paraId="3605EB2C" w14:textId="79596B55"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11b</w:t>
            </w:r>
          </w:p>
        </w:tc>
        <w:tc>
          <w:tcPr>
            <w:tcW w:w="1926" w:type="dxa"/>
          </w:tcPr>
          <w:p w14:paraId="156A073C" w14:textId="48F73C9E"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Average lapse time (health)</w:t>
            </w:r>
          </w:p>
        </w:tc>
        <w:tc>
          <w:tcPr>
            <w:tcW w:w="1201" w:type="dxa"/>
          </w:tcPr>
          <w:p w14:paraId="4A75051B" w14:textId="6FD9C0C8"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53.80</w:t>
            </w:r>
          </w:p>
        </w:tc>
        <w:tc>
          <w:tcPr>
            <w:tcW w:w="1296" w:type="dxa"/>
          </w:tcPr>
          <w:p w14:paraId="2174DD99" w14:textId="0DBBCA26" w:rsidR="1A5BAE10" w:rsidRPr="007E73BE" w:rsidRDefault="1A5BAE10" w:rsidP="1A5BAE10">
            <w:pPr>
              <w:rPr>
                <w:rFonts w:eastAsia="Calibri" w:cs="Calibri"/>
                <w:sz w:val="22"/>
                <w:szCs w:val="22"/>
              </w:rPr>
            </w:pPr>
            <w:r w:rsidRPr="007E73BE">
              <w:rPr>
                <w:rFonts w:eastAsia="Calibri" w:cs="Calibri"/>
                <w:sz w:val="22"/>
                <w:szCs w:val="22"/>
              </w:rPr>
              <w:t>+/- 20% of 67.21</w:t>
            </w:r>
          </w:p>
          <w:p w14:paraId="5E0C58CB" w14:textId="73FDCFCC"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 xml:space="preserve"> </w:t>
            </w:r>
          </w:p>
        </w:tc>
        <w:tc>
          <w:tcPr>
            <w:tcW w:w="3704" w:type="dxa"/>
          </w:tcPr>
          <w:p w14:paraId="54E0D63E" w14:textId="13BEB749"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The further review level is based on a three-year national average.  The range of acceptable data not requiring further review is from 53.77 to 80.65 for health.</w:t>
            </w:r>
          </w:p>
        </w:tc>
      </w:tr>
      <w:tr w:rsidR="1A5BAE10" w:rsidRPr="007E73BE" w14:paraId="2D0CC699" w14:textId="77777777" w:rsidTr="00F57FF7">
        <w:trPr>
          <w:trHeight w:val="300"/>
        </w:trPr>
        <w:tc>
          <w:tcPr>
            <w:tcW w:w="1070" w:type="dxa"/>
          </w:tcPr>
          <w:p w14:paraId="27DA327B" w14:textId="53C238B6"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12</w:t>
            </w:r>
          </w:p>
        </w:tc>
        <w:tc>
          <w:tcPr>
            <w:tcW w:w="1926" w:type="dxa"/>
          </w:tcPr>
          <w:p w14:paraId="20FA3BC7" w14:textId="3B5F6DCC"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Percent penalty retained</w:t>
            </w:r>
          </w:p>
        </w:tc>
        <w:tc>
          <w:tcPr>
            <w:tcW w:w="1201" w:type="dxa"/>
          </w:tcPr>
          <w:p w14:paraId="32BE2AAA" w14:textId="497101E6"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100%</w:t>
            </w:r>
          </w:p>
        </w:tc>
        <w:tc>
          <w:tcPr>
            <w:tcW w:w="1296" w:type="dxa"/>
          </w:tcPr>
          <w:p w14:paraId="3ABC97EA" w14:textId="72A2E643" w:rsidR="1A5BAE10" w:rsidRPr="007E73BE" w:rsidRDefault="1A5BAE10" w:rsidP="1A5BAE10">
            <w:pPr>
              <w:rPr>
                <w:rFonts w:eastAsia="Calibri" w:cs="Calibri"/>
                <w:sz w:val="22"/>
                <w:szCs w:val="22"/>
              </w:rPr>
            </w:pPr>
            <w:r w:rsidRPr="007E73BE">
              <w:rPr>
                <w:rFonts w:eastAsia="Calibri" w:cs="Calibri"/>
                <w:sz w:val="22"/>
                <w:szCs w:val="22"/>
              </w:rPr>
              <w:t>+/- 15% of</w:t>
            </w:r>
          </w:p>
          <w:p w14:paraId="46889D59" w14:textId="355C6CE4"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70.81%</w:t>
            </w:r>
          </w:p>
        </w:tc>
        <w:tc>
          <w:tcPr>
            <w:tcW w:w="3704" w:type="dxa"/>
          </w:tcPr>
          <w:p w14:paraId="30CB285B" w14:textId="51A4822C"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The further review level is based on a three-year national average.  The range of acceptable data not requiring further review is from 60.19% to 81.44%.</w:t>
            </w:r>
          </w:p>
        </w:tc>
      </w:tr>
      <w:tr w:rsidR="1A5BAE10" w:rsidRPr="007E73BE" w14:paraId="437650EE" w14:textId="77777777" w:rsidTr="00F57FF7">
        <w:trPr>
          <w:trHeight w:val="300"/>
        </w:trPr>
        <w:tc>
          <w:tcPr>
            <w:tcW w:w="1070" w:type="dxa"/>
          </w:tcPr>
          <w:p w14:paraId="3AD59398" w14:textId="548991C4"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13</w:t>
            </w:r>
          </w:p>
        </w:tc>
        <w:tc>
          <w:tcPr>
            <w:tcW w:w="1926" w:type="dxa"/>
          </w:tcPr>
          <w:p w14:paraId="67F3A4B7" w14:textId="4945DB87"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Percent of initial inspections with worker walk-around representation or worker interview</w:t>
            </w:r>
          </w:p>
        </w:tc>
        <w:tc>
          <w:tcPr>
            <w:tcW w:w="1201" w:type="dxa"/>
          </w:tcPr>
          <w:p w14:paraId="5628E959" w14:textId="575D3832"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93.07%</w:t>
            </w:r>
          </w:p>
        </w:tc>
        <w:tc>
          <w:tcPr>
            <w:tcW w:w="1296" w:type="dxa"/>
          </w:tcPr>
          <w:p w14:paraId="3B10F510" w14:textId="5D630325"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100%</w:t>
            </w:r>
          </w:p>
        </w:tc>
        <w:tc>
          <w:tcPr>
            <w:tcW w:w="3704" w:type="dxa"/>
          </w:tcPr>
          <w:p w14:paraId="04EF911E" w14:textId="224CF235"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The further review level is fixed for all State Plans.</w:t>
            </w:r>
          </w:p>
        </w:tc>
      </w:tr>
      <w:tr w:rsidR="1A5BAE10" w:rsidRPr="007E73BE" w14:paraId="1AAE3DEA" w14:textId="77777777" w:rsidTr="00F57FF7">
        <w:trPr>
          <w:trHeight w:val="300"/>
        </w:trPr>
        <w:tc>
          <w:tcPr>
            <w:tcW w:w="1070" w:type="dxa"/>
          </w:tcPr>
          <w:p w14:paraId="5A26E907" w14:textId="2ECC5DCB"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14</w:t>
            </w:r>
          </w:p>
        </w:tc>
        <w:tc>
          <w:tcPr>
            <w:tcW w:w="1926" w:type="dxa"/>
          </w:tcPr>
          <w:p w14:paraId="2A624FA9" w14:textId="59DDF7EF"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Percent of 11(c) investigations completed within 90 days</w:t>
            </w:r>
          </w:p>
        </w:tc>
        <w:tc>
          <w:tcPr>
            <w:tcW w:w="1201" w:type="dxa"/>
          </w:tcPr>
          <w:p w14:paraId="6654EAA2" w14:textId="335561DF"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N/A*</w:t>
            </w:r>
          </w:p>
        </w:tc>
        <w:tc>
          <w:tcPr>
            <w:tcW w:w="1296" w:type="dxa"/>
          </w:tcPr>
          <w:p w14:paraId="2B5CCD94" w14:textId="298BA21E"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N/A*</w:t>
            </w:r>
          </w:p>
        </w:tc>
        <w:tc>
          <w:tcPr>
            <w:tcW w:w="3704" w:type="dxa"/>
          </w:tcPr>
          <w:p w14:paraId="7E780A4D" w14:textId="2397BA41"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This measure is not being reported for FY 2024 due to the transition to the new SAMM measures starting in FY 2025.</w:t>
            </w:r>
          </w:p>
        </w:tc>
      </w:tr>
      <w:tr w:rsidR="1A5BAE10" w:rsidRPr="007E73BE" w14:paraId="6A7D6A67" w14:textId="77777777" w:rsidTr="00F57FF7">
        <w:trPr>
          <w:trHeight w:val="300"/>
        </w:trPr>
        <w:tc>
          <w:tcPr>
            <w:tcW w:w="1070" w:type="dxa"/>
          </w:tcPr>
          <w:p w14:paraId="3FB79543" w14:textId="71AE659C"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15</w:t>
            </w:r>
          </w:p>
        </w:tc>
        <w:tc>
          <w:tcPr>
            <w:tcW w:w="1926" w:type="dxa"/>
          </w:tcPr>
          <w:p w14:paraId="1F9A8410" w14:textId="2979E726"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Percent of 11(c) complaints that are meritorious</w:t>
            </w:r>
          </w:p>
        </w:tc>
        <w:tc>
          <w:tcPr>
            <w:tcW w:w="1201" w:type="dxa"/>
          </w:tcPr>
          <w:p w14:paraId="103CE933" w14:textId="7562E410"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N/A*</w:t>
            </w:r>
          </w:p>
        </w:tc>
        <w:tc>
          <w:tcPr>
            <w:tcW w:w="1296" w:type="dxa"/>
          </w:tcPr>
          <w:p w14:paraId="6CF539F4" w14:textId="7D0A49A3"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N/A*</w:t>
            </w:r>
          </w:p>
        </w:tc>
        <w:tc>
          <w:tcPr>
            <w:tcW w:w="3704" w:type="dxa"/>
          </w:tcPr>
          <w:p w14:paraId="14F430F4" w14:textId="1A85B3CE"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This measure is not being reported for FY 2024 due to the transition to the new SAMM measures starting in FY 2025.</w:t>
            </w:r>
          </w:p>
        </w:tc>
      </w:tr>
      <w:tr w:rsidR="1A5BAE10" w:rsidRPr="007E73BE" w14:paraId="0D7ECAFC" w14:textId="77777777" w:rsidTr="00F57FF7">
        <w:trPr>
          <w:trHeight w:val="300"/>
        </w:trPr>
        <w:tc>
          <w:tcPr>
            <w:tcW w:w="1070" w:type="dxa"/>
          </w:tcPr>
          <w:p w14:paraId="05853B7A" w14:textId="1352CB24"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16</w:t>
            </w:r>
          </w:p>
        </w:tc>
        <w:tc>
          <w:tcPr>
            <w:tcW w:w="1926" w:type="dxa"/>
          </w:tcPr>
          <w:p w14:paraId="03B4B191" w14:textId="32EF487F"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Average number of calendar days to complete an 11(c) investigation</w:t>
            </w:r>
          </w:p>
        </w:tc>
        <w:tc>
          <w:tcPr>
            <w:tcW w:w="1201" w:type="dxa"/>
          </w:tcPr>
          <w:p w14:paraId="04C7772C" w14:textId="5B128CB1"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N/A*</w:t>
            </w:r>
          </w:p>
        </w:tc>
        <w:tc>
          <w:tcPr>
            <w:tcW w:w="1296" w:type="dxa"/>
          </w:tcPr>
          <w:p w14:paraId="79C1AB84" w14:textId="3E860047"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N/A*</w:t>
            </w:r>
          </w:p>
        </w:tc>
        <w:tc>
          <w:tcPr>
            <w:tcW w:w="3704" w:type="dxa"/>
          </w:tcPr>
          <w:p w14:paraId="3E8A3B00" w14:textId="05D45F02"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This measure is not being reported for FY 2024 due to the transition to the new SAMM measures starting in FY 2025.</w:t>
            </w:r>
          </w:p>
        </w:tc>
      </w:tr>
      <w:tr w:rsidR="1A5BAE10" w:rsidRPr="007E73BE" w14:paraId="5095236F" w14:textId="77777777" w:rsidTr="00F57FF7">
        <w:trPr>
          <w:trHeight w:val="300"/>
        </w:trPr>
        <w:tc>
          <w:tcPr>
            <w:tcW w:w="1070" w:type="dxa"/>
          </w:tcPr>
          <w:p w14:paraId="75FCB602" w14:textId="31B30706"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7E73BE">
              <w:rPr>
                <w:rFonts w:eastAsia="Calibri" w:cs="Calibri"/>
                <w:b/>
                <w:bCs/>
                <w:sz w:val="22"/>
                <w:szCs w:val="22"/>
              </w:rPr>
              <w:t>17</w:t>
            </w:r>
          </w:p>
        </w:tc>
        <w:tc>
          <w:tcPr>
            <w:tcW w:w="1926" w:type="dxa"/>
          </w:tcPr>
          <w:p w14:paraId="6573D743" w14:textId="665A0799"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Percent of enforcement presence</w:t>
            </w:r>
          </w:p>
        </w:tc>
        <w:tc>
          <w:tcPr>
            <w:tcW w:w="1201" w:type="dxa"/>
          </w:tcPr>
          <w:p w14:paraId="391EA883" w14:textId="4058E569"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3.56%</w:t>
            </w:r>
          </w:p>
        </w:tc>
        <w:tc>
          <w:tcPr>
            <w:tcW w:w="1296" w:type="dxa"/>
          </w:tcPr>
          <w:p w14:paraId="0885579F" w14:textId="60CC59EA" w:rsidR="1A5BAE10" w:rsidRPr="007E73BE" w:rsidRDefault="1A5BAE10" w:rsidP="1A5BAE10">
            <w:pPr>
              <w:rPr>
                <w:rFonts w:eastAsia="Calibri" w:cs="Calibri"/>
                <w:sz w:val="22"/>
                <w:szCs w:val="22"/>
              </w:rPr>
            </w:pPr>
            <w:r w:rsidRPr="007E73BE">
              <w:rPr>
                <w:rFonts w:eastAsia="Calibri" w:cs="Calibri"/>
                <w:sz w:val="22"/>
                <w:szCs w:val="22"/>
              </w:rPr>
              <w:t>+/- 25% of</w:t>
            </w:r>
          </w:p>
          <w:p w14:paraId="182967A0" w14:textId="1AB3D1E1"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1.00%</w:t>
            </w:r>
          </w:p>
        </w:tc>
        <w:tc>
          <w:tcPr>
            <w:tcW w:w="3704" w:type="dxa"/>
          </w:tcPr>
          <w:p w14:paraId="393648A0" w14:textId="4304E3A7" w:rsidR="1A5BAE10" w:rsidRPr="007E73BE" w:rsidRDefault="1A5BAE10" w:rsidP="1A5BAE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7E73BE">
              <w:rPr>
                <w:rFonts w:eastAsia="Calibri" w:cs="Calibri"/>
                <w:sz w:val="22"/>
                <w:szCs w:val="22"/>
              </w:rPr>
              <w:t>The further review level is based on a three-year national average.  The range of acceptable data not requiring further review is from 0.75% to 1.25%.</w:t>
            </w:r>
          </w:p>
        </w:tc>
      </w:tr>
    </w:tbl>
    <w:p w14:paraId="66D62A6C" w14:textId="32333AD0" w:rsidR="144635F2" w:rsidRDefault="144635F2" w:rsidP="1A5BAE10">
      <w:pPr>
        <w:rPr>
          <w:rFonts w:eastAsia="Calibri" w:cs="Calibri"/>
          <w:b/>
          <w:bCs/>
          <w:sz w:val="28"/>
          <w:szCs w:val="28"/>
        </w:rPr>
      </w:pPr>
      <w:r w:rsidRPr="1A5BAE10">
        <w:rPr>
          <w:rFonts w:eastAsia="Calibri" w:cs="Calibri"/>
          <w:b/>
          <w:bCs/>
          <w:sz w:val="28"/>
          <w:szCs w:val="28"/>
        </w:rPr>
        <w:t xml:space="preserve"> </w:t>
      </w:r>
    </w:p>
    <w:p w14:paraId="5C0694AE" w14:textId="6998507B" w:rsidR="144635F2" w:rsidRPr="00451ACF" w:rsidRDefault="144635F2" w:rsidP="1A5BAE10">
      <w:pPr>
        <w:spacing w:after="160" w:line="257" w:lineRule="auto"/>
        <w:rPr>
          <w:rFonts w:eastAsia="Calibri" w:cs="Calibri"/>
        </w:rPr>
      </w:pPr>
      <w:r w:rsidRPr="00451ACF">
        <w:rPr>
          <w:rFonts w:eastAsia="Calibri" w:cs="Calibri"/>
        </w:rPr>
        <w:t xml:space="preserve">NOTE:  The national averages in this report are three-year rolling averages.  Unless otherwise noted, the data contained in this Appendix D is pulled from the </w:t>
      </w:r>
      <w:r w:rsidR="00451ACF">
        <w:rPr>
          <w:rFonts w:eastAsia="Calibri" w:cs="Calibri"/>
        </w:rPr>
        <w:t>SAMM</w:t>
      </w:r>
      <w:r w:rsidRPr="00451ACF">
        <w:rPr>
          <w:rFonts w:eastAsia="Calibri" w:cs="Calibri"/>
        </w:rPr>
        <w:t xml:space="preserve"> Report in OIS and the State Plan WebIMIS report run on November 12, 2024, as part of OSHA’s official end-of-year data run.</w:t>
      </w:r>
    </w:p>
    <w:p w14:paraId="1315F418" w14:textId="49D08206" w:rsidR="006C6027" w:rsidRDefault="006C6027" w:rsidP="006C6027">
      <w:pPr>
        <w:rPr>
          <w:rFonts w:cstheme="minorHAnsi"/>
        </w:rPr>
      </w:pPr>
      <w:r>
        <w:rPr>
          <w:rFonts w:cstheme="minorHAnsi"/>
        </w:rPr>
        <w:t xml:space="preserve">*Due to the transition of 11(c) data from IMIS to OIS, SAMMs 14, 15, and 16 are not being reported for FY 2024. </w:t>
      </w:r>
    </w:p>
    <w:p w14:paraId="5D497340" w14:textId="0B2F5BD4" w:rsidR="1A5BAE10" w:rsidRDefault="1A5BAE10"/>
    <w:p w14:paraId="6573BAF6" w14:textId="3B4460BC" w:rsidR="00634539" w:rsidRPr="001C1E47" w:rsidRDefault="00634539" w:rsidP="1A5BAE10">
      <w:pPr>
        <w:widowControl/>
        <w:rPr>
          <w:rFonts w:cs="Calibri"/>
          <w:b/>
          <w:bCs/>
          <w:color w:val="1F497D" w:themeColor="text2"/>
          <w:sz w:val="28"/>
          <w:szCs w:val="28"/>
        </w:rPr>
      </w:pPr>
    </w:p>
    <w:sectPr w:rsidR="00634539" w:rsidRPr="001C1E47" w:rsidSect="002E3A5E">
      <w:headerReference w:type="default" r:id="rId26"/>
      <w:footerReference w:type="default" r:id="rId27"/>
      <w:type w:val="continuous"/>
      <w:pgSz w:w="12240" w:h="15840" w:code="1"/>
      <w:pgMar w:top="1440" w:right="1440" w:bottom="1440" w:left="1440" w:header="720" w:footer="720" w:gutter="0"/>
      <w:pgNumType w:start="22"/>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8DAD1" w14:textId="77777777" w:rsidR="003E21C9" w:rsidRDefault="003E21C9" w:rsidP="00C872A0">
      <w:r>
        <w:separator/>
      </w:r>
    </w:p>
  </w:endnote>
  <w:endnote w:type="continuationSeparator" w:id="0">
    <w:p w14:paraId="63FB085C" w14:textId="77777777" w:rsidR="003E21C9" w:rsidRDefault="003E21C9" w:rsidP="00C872A0">
      <w:r>
        <w:continuationSeparator/>
      </w:r>
    </w:p>
  </w:endnote>
  <w:endnote w:type="continuationNotice" w:id="1">
    <w:p w14:paraId="351419B8" w14:textId="77777777" w:rsidR="003E21C9" w:rsidRDefault="003E2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BBD4" w14:textId="77777777" w:rsidR="002F18C8" w:rsidRDefault="002F1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161423"/>
      <w:docPartObj>
        <w:docPartGallery w:val="Page Numbers (Bottom of Page)"/>
        <w:docPartUnique/>
      </w:docPartObj>
    </w:sdtPr>
    <w:sdtEndPr>
      <w:rPr>
        <w:noProof/>
      </w:rPr>
    </w:sdtEndPr>
    <w:sdtContent>
      <w:p w14:paraId="3EF13A4C" w14:textId="31D15635" w:rsidR="00D527EF" w:rsidRDefault="00D527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56AAF8" w14:textId="77777777" w:rsidR="00780E29" w:rsidRDefault="00780E29">
    <w:pPr>
      <w:pStyle w:val="Footer"/>
    </w:pPr>
  </w:p>
  <w:p w14:paraId="2F2D53D7" w14:textId="77777777" w:rsidR="00293B3B" w:rsidRDefault="00293B3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F5BF" w14:textId="25062137" w:rsidR="00780E29"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34514"/>
      <w:docPartObj>
        <w:docPartGallery w:val="Page Numbers (Bottom of Page)"/>
        <w:docPartUnique/>
      </w:docPartObj>
    </w:sdtPr>
    <w:sdtEndPr>
      <w:rPr>
        <w:noProof/>
      </w:rPr>
    </w:sdtEndPr>
    <w:sdtContent>
      <w:p w14:paraId="038ADDD9" w14:textId="1B46ACC7" w:rsidR="002E3A5E" w:rsidRDefault="002E3A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776B2" w14:textId="77777777" w:rsidR="003E21C9" w:rsidRDefault="003E21C9" w:rsidP="00C872A0">
      <w:r>
        <w:separator/>
      </w:r>
    </w:p>
  </w:footnote>
  <w:footnote w:type="continuationSeparator" w:id="0">
    <w:p w14:paraId="59A348D1" w14:textId="77777777" w:rsidR="003E21C9" w:rsidRDefault="003E21C9" w:rsidP="00C872A0">
      <w:r>
        <w:continuationSeparator/>
      </w:r>
    </w:p>
  </w:footnote>
  <w:footnote w:type="continuationNotice" w:id="1">
    <w:p w14:paraId="2F85C5C5" w14:textId="77777777" w:rsidR="003E21C9" w:rsidRDefault="003E21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0E40" w14:textId="77777777" w:rsidR="002F18C8" w:rsidRDefault="002F1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0"/>
      <w:gridCol w:w="3180"/>
      <w:gridCol w:w="3180"/>
    </w:tblGrid>
    <w:tr w:rsidR="674FF59B" w14:paraId="66FF9B33" w14:textId="77777777" w:rsidTr="674FF59B">
      <w:trPr>
        <w:trHeight w:val="300"/>
      </w:trPr>
      <w:tc>
        <w:tcPr>
          <w:tcW w:w="3180" w:type="dxa"/>
        </w:tcPr>
        <w:p w14:paraId="6ADFF870" w14:textId="18360528" w:rsidR="674FF59B" w:rsidRDefault="674FF59B" w:rsidP="674FF59B">
          <w:pPr>
            <w:pStyle w:val="Header"/>
            <w:ind w:left="-115"/>
          </w:pPr>
        </w:p>
      </w:tc>
      <w:tc>
        <w:tcPr>
          <w:tcW w:w="3180" w:type="dxa"/>
        </w:tcPr>
        <w:p w14:paraId="7A8D4BDC" w14:textId="161B49C1" w:rsidR="674FF59B" w:rsidRDefault="674FF59B" w:rsidP="674FF59B">
          <w:pPr>
            <w:pStyle w:val="Header"/>
            <w:jc w:val="center"/>
          </w:pPr>
        </w:p>
      </w:tc>
      <w:tc>
        <w:tcPr>
          <w:tcW w:w="3180" w:type="dxa"/>
        </w:tcPr>
        <w:p w14:paraId="0BC84292" w14:textId="7AFEC248" w:rsidR="674FF59B" w:rsidRDefault="674FF59B" w:rsidP="674FF59B">
          <w:pPr>
            <w:pStyle w:val="Header"/>
            <w:ind w:right="-115"/>
            <w:jc w:val="right"/>
          </w:pPr>
        </w:p>
      </w:tc>
    </w:tr>
  </w:tbl>
  <w:p w14:paraId="393A4F0D" w14:textId="6550E933" w:rsidR="002E143C" w:rsidRDefault="002E14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0"/>
      <w:gridCol w:w="3180"/>
      <w:gridCol w:w="3180"/>
    </w:tblGrid>
    <w:tr w:rsidR="674FF59B" w14:paraId="5DA1F6A9" w14:textId="77777777" w:rsidTr="674FF59B">
      <w:trPr>
        <w:trHeight w:val="300"/>
      </w:trPr>
      <w:tc>
        <w:tcPr>
          <w:tcW w:w="3180" w:type="dxa"/>
        </w:tcPr>
        <w:p w14:paraId="31F3B100" w14:textId="19B4C0EC" w:rsidR="674FF59B" w:rsidRDefault="674FF59B" w:rsidP="674FF59B">
          <w:pPr>
            <w:pStyle w:val="Header"/>
            <w:ind w:left="-115"/>
          </w:pPr>
        </w:p>
      </w:tc>
      <w:tc>
        <w:tcPr>
          <w:tcW w:w="3180" w:type="dxa"/>
        </w:tcPr>
        <w:p w14:paraId="7F1A198A" w14:textId="194AFD8C" w:rsidR="674FF59B" w:rsidRDefault="674FF59B" w:rsidP="674FF59B">
          <w:pPr>
            <w:pStyle w:val="Header"/>
            <w:jc w:val="center"/>
          </w:pPr>
        </w:p>
      </w:tc>
      <w:tc>
        <w:tcPr>
          <w:tcW w:w="3180" w:type="dxa"/>
        </w:tcPr>
        <w:p w14:paraId="74A4B858" w14:textId="2A01863E" w:rsidR="674FF59B" w:rsidRDefault="674FF59B" w:rsidP="674FF59B">
          <w:pPr>
            <w:pStyle w:val="Header"/>
            <w:ind w:right="-115"/>
            <w:jc w:val="right"/>
          </w:pPr>
        </w:p>
      </w:tc>
    </w:tr>
  </w:tbl>
  <w:p w14:paraId="3281519E" w14:textId="574E2873" w:rsidR="002E143C" w:rsidRDefault="002E14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674FF59B" w14:paraId="05A2EFB9" w14:textId="77777777" w:rsidTr="674FF59B">
      <w:trPr>
        <w:trHeight w:val="300"/>
      </w:trPr>
      <w:tc>
        <w:tcPr>
          <w:tcW w:w="4320" w:type="dxa"/>
        </w:tcPr>
        <w:p w14:paraId="28327595" w14:textId="322CF440" w:rsidR="674FF59B" w:rsidRDefault="674FF59B" w:rsidP="674FF59B">
          <w:pPr>
            <w:pStyle w:val="Header"/>
            <w:ind w:left="-115"/>
          </w:pPr>
        </w:p>
      </w:tc>
      <w:tc>
        <w:tcPr>
          <w:tcW w:w="4320" w:type="dxa"/>
        </w:tcPr>
        <w:p w14:paraId="4A0ABC47" w14:textId="0574DCA0" w:rsidR="674FF59B" w:rsidRDefault="674FF59B" w:rsidP="674FF59B">
          <w:pPr>
            <w:pStyle w:val="Header"/>
            <w:jc w:val="center"/>
          </w:pPr>
        </w:p>
      </w:tc>
      <w:tc>
        <w:tcPr>
          <w:tcW w:w="4320" w:type="dxa"/>
        </w:tcPr>
        <w:p w14:paraId="6F366C95" w14:textId="1B63DEA9" w:rsidR="674FF59B" w:rsidRDefault="674FF59B" w:rsidP="674FF59B">
          <w:pPr>
            <w:pStyle w:val="Header"/>
            <w:ind w:right="-115"/>
            <w:jc w:val="right"/>
          </w:pPr>
        </w:p>
      </w:tc>
    </w:tr>
  </w:tbl>
  <w:p w14:paraId="0A292D38" w14:textId="575C65A0" w:rsidR="002E143C" w:rsidRDefault="002E14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D947" w14:textId="5BC40A91" w:rsidR="00780E29" w:rsidRDefault="003A7D74" w:rsidP="003A7D74">
    <w:pPr>
      <w:tabs>
        <w:tab w:val="center" w:pos="6480"/>
        <w:tab w:val="left" w:pos="10080"/>
      </w:tabs>
    </w:pPr>
    <w:r>
      <w:tab/>
    </w:r>
  </w:p>
  <w:p w14:paraId="65B55A33" w14:textId="77777777" w:rsidR="00780E29" w:rsidRDefault="00780E29" w:rsidP="000A134A">
    <w:pPr>
      <w:jc w:val="center"/>
    </w:pPr>
  </w:p>
  <w:p w14:paraId="79523575" w14:textId="77777777" w:rsidR="00780E29" w:rsidRDefault="00780E29" w:rsidP="000A134A">
    <w:pP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674FF59B" w14:paraId="32E1969A" w14:textId="77777777" w:rsidTr="674FF59B">
      <w:trPr>
        <w:trHeight w:val="300"/>
      </w:trPr>
      <w:tc>
        <w:tcPr>
          <w:tcW w:w="4320" w:type="dxa"/>
        </w:tcPr>
        <w:p w14:paraId="3665185C" w14:textId="638123CE" w:rsidR="674FF59B" w:rsidRDefault="674FF59B" w:rsidP="674FF59B">
          <w:pPr>
            <w:pStyle w:val="Header"/>
            <w:ind w:left="-115"/>
          </w:pPr>
        </w:p>
      </w:tc>
      <w:tc>
        <w:tcPr>
          <w:tcW w:w="4320" w:type="dxa"/>
        </w:tcPr>
        <w:p w14:paraId="08587516" w14:textId="7DA9CF29" w:rsidR="674FF59B" w:rsidRDefault="674FF59B" w:rsidP="674FF59B">
          <w:pPr>
            <w:pStyle w:val="Header"/>
            <w:jc w:val="center"/>
          </w:pPr>
        </w:p>
      </w:tc>
      <w:tc>
        <w:tcPr>
          <w:tcW w:w="4320" w:type="dxa"/>
        </w:tcPr>
        <w:p w14:paraId="4F45D35F" w14:textId="3E80B9D9" w:rsidR="674FF59B" w:rsidRDefault="674FF59B" w:rsidP="674FF59B">
          <w:pPr>
            <w:pStyle w:val="Header"/>
            <w:ind w:right="-115"/>
            <w:jc w:val="right"/>
          </w:pPr>
        </w:p>
      </w:tc>
    </w:tr>
  </w:tbl>
  <w:p w14:paraId="4F315C14" w14:textId="6791F8A6" w:rsidR="002E143C" w:rsidRDefault="002E14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2B96" w14:textId="77777777" w:rsidR="00780E29" w:rsidRPr="000767C0" w:rsidRDefault="00780E29" w:rsidP="006A2B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92CC" w14:textId="0A117B51" w:rsidR="00780E29" w:rsidRPr="006F2309" w:rsidRDefault="00780E29" w:rsidP="006F2309">
    <w:pPr>
      <w:pStyle w:val="Header"/>
    </w:pPr>
    <w:r w:rsidRPr="006F2309">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E7B3" w14:textId="2FA7B352"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D0173AC"/>
    <w:multiLevelType w:val="hybridMultilevel"/>
    <w:tmpl w:val="96E42812"/>
    <w:lvl w:ilvl="0" w:tplc="9CAC1A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8935DA"/>
    <w:multiLevelType w:val="hybridMultilevel"/>
    <w:tmpl w:val="2CD08C1C"/>
    <w:lvl w:ilvl="0" w:tplc="7EE47D64">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AB67E1"/>
    <w:multiLevelType w:val="hybridMultilevel"/>
    <w:tmpl w:val="F1C47B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BB477B"/>
    <w:multiLevelType w:val="hybridMultilevel"/>
    <w:tmpl w:val="BAAE56A8"/>
    <w:lvl w:ilvl="0" w:tplc="CCA8C1D8">
      <w:start w:val="1"/>
      <w:numFmt w:val="upperLetter"/>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D0254"/>
    <w:multiLevelType w:val="hybridMultilevel"/>
    <w:tmpl w:val="00E6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3"/>
  </w:num>
  <w:num w:numId="5" w16cid:durableId="437339714">
    <w:abstractNumId w:val="30"/>
  </w:num>
  <w:num w:numId="6" w16cid:durableId="1373268660">
    <w:abstractNumId w:val="26"/>
  </w:num>
  <w:num w:numId="7" w16cid:durableId="1614284284">
    <w:abstractNumId w:val="27"/>
  </w:num>
  <w:num w:numId="8" w16cid:durableId="1901401974">
    <w:abstractNumId w:val="31"/>
  </w:num>
  <w:num w:numId="9" w16cid:durableId="340623116">
    <w:abstractNumId w:val="29"/>
  </w:num>
  <w:num w:numId="10" w16cid:durableId="1713532647">
    <w:abstractNumId w:val="34"/>
  </w:num>
  <w:num w:numId="11" w16cid:durableId="247546233">
    <w:abstractNumId w:val="23"/>
  </w:num>
  <w:num w:numId="12" w16cid:durableId="1587691524">
    <w:abstractNumId w:val="25"/>
  </w:num>
  <w:num w:numId="13" w16cid:durableId="457261612">
    <w:abstractNumId w:val="24"/>
  </w:num>
  <w:num w:numId="14" w16cid:durableId="1423722348">
    <w:abstractNumId w:val="28"/>
  </w:num>
  <w:num w:numId="15" w16cid:durableId="726146331">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ctiveWritingStyle w:appName="MSWord" w:lang="en-US" w:vendorID="64" w:dllVersion="0" w:nlCheck="1" w:checkStyle="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070A"/>
    <w:rsid w:val="00000D43"/>
    <w:rsid w:val="000011DF"/>
    <w:rsid w:val="00001884"/>
    <w:rsid w:val="00001F33"/>
    <w:rsid w:val="0000201A"/>
    <w:rsid w:val="00002860"/>
    <w:rsid w:val="00002861"/>
    <w:rsid w:val="00002B73"/>
    <w:rsid w:val="000036AB"/>
    <w:rsid w:val="00004200"/>
    <w:rsid w:val="00006EBC"/>
    <w:rsid w:val="00007781"/>
    <w:rsid w:val="00007E33"/>
    <w:rsid w:val="00010A24"/>
    <w:rsid w:val="000111E1"/>
    <w:rsid w:val="000116C0"/>
    <w:rsid w:val="00013379"/>
    <w:rsid w:val="00013DF1"/>
    <w:rsid w:val="00014C7A"/>
    <w:rsid w:val="000153C2"/>
    <w:rsid w:val="00015980"/>
    <w:rsid w:val="00016214"/>
    <w:rsid w:val="00016803"/>
    <w:rsid w:val="00016E27"/>
    <w:rsid w:val="0001706D"/>
    <w:rsid w:val="00017349"/>
    <w:rsid w:val="00017915"/>
    <w:rsid w:val="00020CD9"/>
    <w:rsid w:val="00021274"/>
    <w:rsid w:val="000212B1"/>
    <w:rsid w:val="000217D1"/>
    <w:rsid w:val="00021FE0"/>
    <w:rsid w:val="00022BEE"/>
    <w:rsid w:val="00023160"/>
    <w:rsid w:val="000232D1"/>
    <w:rsid w:val="00023E67"/>
    <w:rsid w:val="000248F0"/>
    <w:rsid w:val="0002572C"/>
    <w:rsid w:val="00025F57"/>
    <w:rsid w:val="00026221"/>
    <w:rsid w:val="00026D63"/>
    <w:rsid w:val="00027051"/>
    <w:rsid w:val="00027093"/>
    <w:rsid w:val="00027E53"/>
    <w:rsid w:val="000317F3"/>
    <w:rsid w:val="00033ED1"/>
    <w:rsid w:val="0003442F"/>
    <w:rsid w:val="000349FD"/>
    <w:rsid w:val="00034A4E"/>
    <w:rsid w:val="00034B6D"/>
    <w:rsid w:val="00035083"/>
    <w:rsid w:val="0003567C"/>
    <w:rsid w:val="00035E14"/>
    <w:rsid w:val="00036865"/>
    <w:rsid w:val="00036BF8"/>
    <w:rsid w:val="00036EB4"/>
    <w:rsid w:val="00036F0D"/>
    <w:rsid w:val="00037F48"/>
    <w:rsid w:val="00040009"/>
    <w:rsid w:val="000404ED"/>
    <w:rsid w:val="00041D9A"/>
    <w:rsid w:val="00042327"/>
    <w:rsid w:val="00042A9B"/>
    <w:rsid w:val="00043515"/>
    <w:rsid w:val="00043ED4"/>
    <w:rsid w:val="00044436"/>
    <w:rsid w:val="000447C9"/>
    <w:rsid w:val="000449F8"/>
    <w:rsid w:val="00045479"/>
    <w:rsid w:val="00045BD6"/>
    <w:rsid w:val="00045C51"/>
    <w:rsid w:val="00045F0B"/>
    <w:rsid w:val="00046151"/>
    <w:rsid w:val="000468C6"/>
    <w:rsid w:val="00046BEE"/>
    <w:rsid w:val="00046CF1"/>
    <w:rsid w:val="00046E13"/>
    <w:rsid w:val="000470EE"/>
    <w:rsid w:val="000471A4"/>
    <w:rsid w:val="0005007B"/>
    <w:rsid w:val="00050FEB"/>
    <w:rsid w:val="000517FA"/>
    <w:rsid w:val="00052B36"/>
    <w:rsid w:val="00053A2C"/>
    <w:rsid w:val="00054416"/>
    <w:rsid w:val="00054900"/>
    <w:rsid w:val="00054BB1"/>
    <w:rsid w:val="00055243"/>
    <w:rsid w:val="00055365"/>
    <w:rsid w:val="00055917"/>
    <w:rsid w:val="00055B40"/>
    <w:rsid w:val="00055F2C"/>
    <w:rsid w:val="00056801"/>
    <w:rsid w:val="00057840"/>
    <w:rsid w:val="00060D39"/>
    <w:rsid w:val="00061875"/>
    <w:rsid w:val="000625FB"/>
    <w:rsid w:val="0006398D"/>
    <w:rsid w:val="00065AB2"/>
    <w:rsid w:val="0006611A"/>
    <w:rsid w:val="00066164"/>
    <w:rsid w:val="00066A7B"/>
    <w:rsid w:val="00066C52"/>
    <w:rsid w:val="000701E4"/>
    <w:rsid w:val="0007058B"/>
    <w:rsid w:val="0007073F"/>
    <w:rsid w:val="0007157F"/>
    <w:rsid w:val="00071E71"/>
    <w:rsid w:val="000724F1"/>
    <w:rsid w:val="00072A67"/>
    <w:rsid w:val="0007306B"/>
    <w:rsid w:val="00073908"/>
    <w:rsid w:val="000743D1"/>
    <w:rsid w:val="00074876"/>
    <w:rsid w:val="00075436"/>
    <w:rsid w:val="000754DE"/>
    <w:rsid w:val="00075673"/>
    <w:rsid w:val="00075A09"/>
    <w:rsid w:val="00075FC4"/>
    <w:rsid w:val="000760CB"/>
    <w:rsid w:val="00076601"/>
    <w:rsid w:val="000767C0"/>
    <w:rsid w:val="00076ADB"/>
    <w:rsid w:val="00077410"/>
    <w:rsid w:val="00077A2F"/>
    <w:rsid w:val="00077D1C"/>
    <w:rsid w:val="0008232C"/>
    <w:rsid w:val="00082870"/>
    <w:rsid w:val="00082C69"/>
    <w:rsid w:val="00083235"/>
    <w:rsid w:val="000836EB"/>
    <w:rsid w:val="000839FF"/>
    <w:rsid w:val="00083A76"/>
    <w:rsid w:val="00083FD1"/>
    <w:rsid w:val="00084B3D"/>
    <w:rsid w:val="00084E78"/>
    <w:rsid w:val="00085230"/>
    <w:rsid w:val="00086F2F"/>
    <w:rsid w:val="0008759E"/>
    <w:rsid w:val="00087EE9"/>
    <w:rsid w:val="00090155"/>
    <w:rsid w:val="000902ED"/>
    <w:rsid w:val="0009134A"/>
    <w:rsid w:val="00091ABD"/>
    <w:rsid w:val="00091AE2"/>
    <w:rsid w:val="00091B54"/>
    <w:rsid w:val="000923E0"/>
    <w:rsid w:val="00092555"/>
    <w:rsid w:val="000929B5"/>
    <w:rsid w:val="00092AA1"/>
    <w:rsid w:val="00092F1B"/>
    <w:rsid w:val="00093239"/>
    <w:rsid w:val="000947BF"/>
    <w:rsid w:val="0009535D"/>
    <w:rsid w:val="0009583F"/>
    <w:rsid w:val="0009613B"/>
    <w:rsid w:val="0009648C"/>
    <w:rsid w:val="000969E2"/>
    <w:rsid w:val="000A07BE"/>
    <w:rsid w:val="000A09A3"/>
    <w:rsid w:val="000A134A"/>
    <w:rsid w:val="000A1CE9"/>
    <w:rsid w:val="000A2DE7"/>
    <w:rsid w:val="000A342D"/>
    <w:rsid w:val="000A3878"/>
    <w:rsid w:val="000A40EC"/>
    <w:rsid w:val="000A43EF"/>
    <w:rsid w:val="000A55DB"/>
    <w:rsid w:val="000A658C"/>
    <w:rsid w:val="000A7003"/>
    <w:rsid w:val="000A7220"/>
    <w:rsid w:val="000A7279"/>
    <w:rsid w:val="000A7A05"/>
    <w:rsid w:val="000A7D44"/>
    <w:rsid w:val="000B07D7"/>
    <w:rsid w:val="000B09AE"/>
    <w:rsid w:val="000B1A5B"/>
    <w:rsid w:val="000B1BAB"/>
    <w:rsid w:val="000B1ECC"/>
    <w:rsid w:val="000B22B2"/>
    <w:rsid w:val="000B22E4"/>
    <w:rsid w:val="000B25A9"/>
    <w:rsid w:val="000B26A2"/>
    <w:rsid w:val="000B3A37"/>
    <w:rsid w:val="000B3E29"/>
    <w:rsid w:val="000B440B"/>
    <w:rsid w:val="000B4798"/>
    <w:rsid w:val="000B4852"/>
    <w:rsid w:val="000B58BE"/>
    <w:rsid w:val="000B66B1"/>
    <w:rsid w:val="000B6A8A"/>
    <w:rsid w:val="000B7127"/>
    <w:rsid w:val="000B7E36"/>
    <w:rsid w:val="000C04C6"/>
    <w:rsid w:val="000C0E15"/>
    <w:rsid w:val="000C12C6"/>
    <w:rsid w:val="000C1882"/>
    <w:rsid w:val="000C1A6E"/>
    <w:rsid w:val="000C1C52"/>
    <w:rsid w:val="000C1ED8"/>
    <w:rsid w:val="000C1FD9"/>
    <w:rsid w:val="000C295F"/>
    <w:rsid w:val="000C2E74"/>
    <w:rsid w:val="000C368E"/>
    <w:rsid w:val="000C38BD"/>
    <w:rsid w:val="000C4141"/>
    <w:rsid w:val="000C4168"/>
    <w:rsid w:val="000C43DE"/>
    <w:rsid w:val="000C44E3"/>
    <w:rsid w:val="000C46E4"/>
    <w:rsid w:val="000C4E32"/>
    <w:rsid w:val="000C5C82"/>
    <w:rsid w:val="000C7C9A"/>
    <w:rsid w:val="000D1097"/>
    <w:rsid w:val="000D1537"/>
    <w:rsid w:val="000D2E36"/>
    <w:rsid w:val="000D33D6"/>
    <w:rsid w:val="000D343F"/>
    <w:rsid w:val="000D4560"/>
    <w:rsid w:val="000D490D"/>
    <w:rsid w:val="000D4A64"/>
    <w:rsid w:val="000D67C3"/>
    <w:rsid w:val="000D750A"/>
    <w:rsid w:val="000D7AAD"/>
    <w:rsid w:val="000E0408"/>
    <w:rsid w:val="000E07E7"/>
    <w:rsid w:val="000E0B5C"/>
    <w:rsid w:val="000E0DD1"/>
    <w:rsid w:val="000E1995"/>
    <w:rsid w:val="000E1AA2"/>
    <w:rsid w:val="000E20A2"/>
    <w:rsid w:val="000E394D"/>
    <w:rsid w:val="000E46F3"/>
    <w:rsid w:val="000E5C64"/>
    <w:rsid w:val="000E6466"/>
    <w:rsid w:val="000E673E"/>
    <w:rsid w:val="000E757B"/>
    <w:rsid w:val="000E7F42"/>
    <w:rsid w:val="000F1D68"/>
    <w:rsid w:val="000F1E49"/>
    <w:rsid w:val="000F46ED"/>
    <w:rsid w:val="000F4DA3"/>
    <w:rsid w:val="000F5631"/>
    <w:rsid w:val="000F5A36"/>
    <w:rsid w:val="000F63C1"/>
    <w:rsid w:val="000F6534"/>
    <w:rsid w:val="000F6A5C"/>
    <w:rsid w:val="000F7ECC"/>
    <w:rsid w:val="001002EC"/>
    <w:rsid w:val="0010050C"/>
    <w:rsid w:val="00100F27"/>
    <w:rsid w:val="001039FA"/>
    <w:rsid w:val="001041E4"/>
    <w:rsid w:val="001056A7"/>
    <w:rsid w:val="00105E41"/>
    <w:rsid w:val="00106012"/>
    <w:rsid w:val="001062AC"/>
    <w:rsid w:val="00106C75"/>
    <w:rsid w:val="00107A53"/>
    <w:rsid w:val="0011011A"/>
    <w:rsid w:val="00110CB0"/>
    <w:rsid w:val="001113A1"/>
    <w:rsid w:val="001122FA"/>
    <w:rsid w:val="00112C81"/>
    <w:rsid w:val="0011314E"/>
    <w:rsid w:val="0011326F"/>
    <w:rsid w:val="001134BA"/>
    <w:rsid w:val="00113CA8"/>
    <w:rsid w:val="001142E3"/>
    <w:rsid w:val="00114884"/>
    <w:rsid w:val="0011522A"/>
    <w:rsid w:val="00115B48"/>
    <w:rsid w:val="00115DF5"/>
    <w:rsid w:val="00116055"/>
    <w:rsid w:val="001170E4"/>
    <w:rsid w:val="00117115"/>
    <w:rsid w:val="001174A0"/>
    <w:rsid w:val="00117650"/>
    <w:rsid w:val="00117E7F"/>
    <w:rsid w:val="001206B1"/>
    <w:rsid w:val="00120C5D"/>
    <w:rsid w:val="0012164B"/>
    <w:rsid w:val="00121B70"/>
    <w:rsid w:val="00122228"/>
    <w:rsid w:val="0012279E"/>
    <w:rsid w:val="00122839"/>
    <w:rsid w:val="00122BD3"/>
    <w:rsid w:val="00123AC4"/>
    <w:rsid w:val="00123F51"/>
    <w:rsid w:val="00124C81"/>
    <w:rsid w:val="00125065"/>
    <w:rsid w:val="001250DD"/>
    <w:rsid w:val="00125345"/>
    <w:rsid w:val="00125AC1"/>
    <w:rsid w:val="00125C8A"/>
    <w:rsid w:val="0012650B"/>
    <w:rsid w:val="00126880"/>
    <w:rsid w:val="00126DF4"/>
    <w:rsid w:val="001272F2"/>
    <w:rsid w:val="001274AB"/>
    <w:rsid w:val="00127576"/>
    <w:rsid w:val="00130E2D"/>
    <w:rsid w:val="00131BA5"/>
    <w:rsid w:val="00131F66"/>
    <w:rsid w:val="00132862"/>
    <w:rsid w:val="00132F71"/>
    <w:rsid w:val="001330E6"/>
    <w:rsid w:val="001334D8"/>
    <w:rsid w:val="00133AF5"/>
    <w:rsid w:val="00133DBE"/>
    <w:rsid w:val="001341FE"/>
    <w:rsid w:val="00134F5C"/>
    <w:rsid w:val="00134F5D"/>
    <w:rsid w:val="001356C8"/>
    <w:rsid w:val="001358F0"/>
    <w:rsid w:val="00136DA3"/>
    <w:rsid w:val="001376D1"/>
    <w:rsid w:val="00140C21"/>
    <w:rsid w:val="00141758"/>
    <w:rsid w:val="0014199D"/>
    <w:rsid w:val="00142198"/>
    <w:rsid w:val="00143ACD"/>
    <w:rsid w:val="0014420A"/>
    <w:rsid w:val="00144A53"/>
    <w:rsid w:val="00144BA1"/>
    <w:rsid w:val="00144C46"/>
    <w:rsid w:val="00145BC1"/>
    <w:rsid w:val="001469F6"/>
    <w:rsid w:val="00146DDC"/>
    <w:rsid w:val="001471B8"/>
    <w:rsid w:val="00147825"/>
    <w:rsid w:val="001478A0"/>
    <w:rsid w:val="00147B01"/>
    <w:rsid w:val="00147F8B"/>
    <w:rsid w:val="00150F03"/>
    <w:rsid w:val="001515BB"/>
    <w:rsid w:val="00151730"/>
    <w:rsid w:val="00151CFD"/>
    <w:rsid w:val="00152207"/>
    <w:rsid w:val="00152BAD"/>
    <w:rsid w:val="00154568"/>
    <w:rsid w:val="00155591"/>
    <w:rsid w:val="0015575D"/>
    <w:rsid w:val="0015583F"/>
    <w:rsid w:val="00155B27"/>
    <w:rsid w:val="001569D6"/>
    <w:rsid w:val="00156CD6"/>
    <w:rsid w:val="00156E0C"/>
    <w:rsid w:val="00157520"/>
    <w:rsid w:val="00157705"/>
    <w:rsid w:val="00161740"/>
    <w:rsid w:val="00162DAC"/>
    <w:rsid w:val="0016336D"/>
    <w:rsid w:val="0016358C"/>
    <w:rsid w:val="00163E90"/>
    <w:rsid w:val="001643EC"/>
    <w:rsid w:val="0016472F"/>
    <w:rsid w:val="001665BB"/>
    <w:rsid w:val="00166834"/>
    <w:rsid w:val="00167789"/>
    <w:rsid w:val="00167BF2"/>
    <w:rsid w:val="00171C25"/>
    <w:rsid w:val="00172085"/>
    <w:rsid w:val="001726E8"/>
    <w:rsid w:val="00173853"/>
    <w:rsid w:val="001738E9"/>
    <w:rsid w:val="00173946"/>
    <w:rsid w:val="001753B3"/>
    <w:rsid w:val="0017552C"/>
    <w:rsid w:val="001769B0"/>
    <w:rsid w:val="00176DF8"/>
    <w:rsid w:val="00177A1E"/>
    <w:rsid w:val="00177D70"/>
    <w:rsid w:val="00177EE4"/>
    <w:rsid w:val="00180D36"/>
    <w:rsid w:val="001818B4"/>
    <w:rsid w:val="00181DF5"/>
    <w:rsid w:val="00182B5C"/>
    <w:rsid w:val="00182B63"/>
    <w:rsid w:val="00182CE0"/>
    <w:rsid w:val="00184043"/>
    <w:rsid w:val="001843E2"/>
    <w:rsid w:val="00184E43"/>
    <w:rsid w:val="00185C7D"/>
    <w:rsid w:val="00185D7E"/>
    <w:rsid w:val="001861B8"/>
    <w:rsid w:val="00186C84"/>
    <w:rsid w:val="00187065"/>
    <w:rsid w:val="00187182"/>
    <w:rsid w:val="001902FE"/>
    <w:rsid w:val="001927A4"/>
    <w:rsid w:val="00192881"/>
    <w:rsid w:val="00192C14"/>
    <w:rsid w:val="00192C43"/>
    <w:rsid w:val="00193B55"/>
    <w:rsid w:val="00193E53"/>
    <w:rsid w:val="001941DE"/>
    <w:rsid w:val="00195153"/>
    <w:rsid w:val="00195559"/>
    <w:rsid w:val="001958C8"/>
    <w:rsid w:val="00195923"/>
    <w:rsid w:val="00197775"/>
    <w:rsid w:val="00197EE0"/>
    <w:rsid w:val="001A0191"/>
    <w:rsid w:val="001A0974"/>
    <w:rsid w:val="001A2967"/>
    <w:rsid w:val="001A335E"/>
    <w:rsid w:val="001A3671"/>
    <w:rsid w:val="001A3E75"/>
    <w:rsid w:val="001A6B79"/>
    <w:rsid w:val="001A773D"/>
    <w:rsid w:val="001A7BB9"/>
    <w:rsid w:val="001A7F60"/>
    <w:rsid w:val="001B0219"/>
    <w:rsid w:val="001B02D7"/>
    <w:rsid w:val="001B0632"/>
    <w:rsid w:val="001B0AF1"/>
    <w:rsid w:val="001B0B8F"/>
    <w:rsid w:val="001B160F"/>
    <w:rsid w:val="001B284A"/>
    <w:rsid w:val="001B28C8"/>
    <w:rsid w:val="001B2DFD"/>
    <w:rsid w:val="001B2E30"/>
    <w:rsid w:val="001B346B"/>
    <w:rsid w:val="001B47CF"/>
    <w:rsid w:val="001B53CD"/>
    <w:rsid w:val="001B5CE7"/>
    <w:rsid w:val="001B5E5F"/>
    <w:rsid w:val="001B684C"/>
    <w:rsid w:val="001B6A3E"/>
    <w:rsid w:val="001B6DA7"/>
    <w:rsid w:val="001B77A2"/>
    <w:rsid w:val="001C07CB"/>
    <w:rsid w:val="001C154D"/>
    <w:rsid w:val="001C1E47"/>
    <w:rsid w:val="001C2B11"/>
    <w:rsid w:val="001C2FC9"/>
    <w:rsid w:val="001C3276"/>
    <w:rsid w:val="001C44E8"/>
    <w:rsid w:val="001C4D1D"/>
    <w:rsid w:val="001C560E"/>
    <w:rsid w:val="001C58C2"/>
    <w:rsid w:val="001C620B"/>
    <w:rsid w:val="001C625E"/>
    <w:rsid w:val="001C6287"/>
    <w:rsid w:val="001C6610"/>
    <w:rsid w:val="001C7D27"/>
    <w:rsid w:val="001D0452"/>
    <w:rsid w:val="001D073A"/>
    <w:rsid w:val="001D08AB"/>
    <w:rsid w:val="001D0930"/>
    <w:rsid w:val="001D09D7"/>
    <w:rsid w:val="001D1819"/>
    <w:rsid w:val="001D18B3"/>
    <w:rsid w:val="001D1A16"/>
    <w:rsid w:val="001D1E4F"/>
    <w:rsid w:val="001D35A4"/>
    <w:rsid w:val="001D5FA3"/>
    <w:rsid w:val="001D647A"/>
    <w:rsid w:val="001D6530"/>
    <w:rsid w:val="001D681F"/>
    <w:rsid w:val="001D6D59"/>
    <w:rsid w:val="001D7428"/>
    <w:rsid w:val="001D7613"/>
    <w:rsid w:val="001E06A8"/>
    <w:rsid w:val="001E0EFF"/>
    <w:rsid w:val="001E1B35"/>
    <w:rsid w:val="001E1C5D"/>
    <w:rsid w:val="001E1D0C"/>
    <w:rsid w:val="001E1FD1"/>
    <w:rsid w:val="001E2D62"/>
    <w:rsid w:val="001E2E5F"/>
    <w:rsid w:val="001E2FBB"/>
    <w:rsid w:val="001E4F8A"/>
    <w:rsid w:val="001E56E3"/>
    <w:rsid w:val="001E5ABD"/>
    <w:rsid w:val="001E5C43"/>
    <w:rsid w:val="001E5FE4"/>
    <w:rsid w:val="001E6111"/>
    <w:rsid w:val="001E71BA"/>
    <w:rsid w:val="001E79AF"/>
    <w:rsid w:val="001EAB50"/>
    <w:rsid w:val="001F07B1"/>
    <w:rsid w:val="001F092E"/>
    <w:rsid w:val="001F0B51"/>
    <w:rsid w:val="001F1D8A"/>
    <w:rsid w:val="001F224F"/>
    <w:rsid w:val="001F341F"/>
    <w:rsid w:val="001F34B9"/>
    <w:rsid w:val="001F359C"/>
    <w:rsid w:val="001F3750"/>
    <w:rsid w:val="001F40E1"/>
    <w:rsid w:val="001F4D9E"/>
    <w:rsid w:val="001F5170"/>
    <w:rsid w:val="001F58B8"/>
    <w:rsid w:val="001F74BC"/>
    <w:rsid w:val="001F7D05"/>
    <w:rsid w:val="00200D27"/>
    <w:rsid w:val="002011AC"/>
    <w:rsid w:val="00201EB9"/>
    <w:rsid w:val="002021F3"/>
    <w:rsid w:val="00202784"/>
    <w:rsid w:val="002029F8"/>
    <w:rsid w:val="00202BD7"/>
    <w:rsid w:val="00203C6E"/>
    <w:rsid w:val="002048CC"/>
    <w:rsid w:val="00204DAE"/>
    <w:rsid w:val="0020506D"/>
    <w:rsid w:val="00205391"/>
    <w:rsid w:val="00205A3A"/>
    <w:rsid w:val="00205A99"/>
    <w:rsid w:val="00205B95"/>
    <w:rsid w:val="0020733F"/>
    <w:rsid w:val="002078A6"/>
    <w:rsid w:val="00207B94"/>
    <w:rsid w:val="002109FB"/>
    <w:rsid w:val="00210E15"/>
    <w:rsid w:val="00211016"/>
    <w:rsid w:val="00211312"/>
    <w:rsid w:val="00211626"/>
    <w:rsid w:val="00211870"/>
    <w:rsid w:val="00211AAC"/>
    <w:rsid w:val="00211CEC"/>
    <w:rsid w:val="00211D99"/>
    <w:rsid w:val="00211FF3"/>
    <w:rsid w:val="0021277A"/>
    <w:rsid w:val="00212BC7"/>
    <w:rsid w:val="00212BDF"/>
    <w:rsid w:val="00212D18"/>
    <w:rsid w:val="00212D81"/>
    <w:rsid w:val="00213226"/>
    <w:rsid w:val="0021380C"/>
    <w:rsid w:val="00213E5A"/>
    <w:rsid w:val="00213FCA"/>
    <w:rsid w:val="00214542"/>
    <w:rsid w:val="00214672"/>
    <w:rsid w:val="00216139"/>
    <w:rsid w:val="00216621"/>
    <w:rsid w:val="0021682D"/>
    <w:rsid w:val="00216B0E"/>
    <w:rsid w:val="00217433"/>
    <w:rsid w:val="00217437"/>
    <w:rsid w:val="0021764A"/>
    <w:rsid w:val="00217919"/>
    <w:rsid w:val="0022035C"/>
    <w:rsid w:val="0022058F"/>
    <w:rsid w:val="0022134D"/>
    <w:rsid w:val="00222350"/>
    <w:rsid w:val="002231D3"/>
    <w:rsid w:val="002235F3"/>
    <w:rsid w:val="002238FF"/>
    <w:rsid w:val="00223CBC"/>
    <w:rsid w:val="00223F7F"/>
    <w:rsid w:val="002245EA"/>
    <w:rsid w:val="002247E7"/>
    <w:rsid w:val="0022537C"/>
    <w:rsid w:val="0022578B"/>
    <w:rsid w:val="00225886"/>
    <w:rsid w:val="00225983"/>
    <w:rsid w:val="00225AF2"/>
    <w:rsid w:val="0022625C"/>
    <w:rsid w:val="0022685E"/>
    <w:rsid w:val="00226D05"/>
    <w:rsid w:val="00226FBC"/>
    <w:rsid w:val="00227868"/>
    <w:rsid w:val="00227B81"/>
    <w:rsid w:val="00230724"/>
    <w:rsid w:val="00230915"/>
    <w:rsid w:val="00230D53"/>
    <w:rsid w:val="0023176A"/>
    <w:rsid w:val="0023191B"/>
    <w:rsid w:val="00231CB6"/>
    <w:rsid w:val="00231CF7"/>
    <w:rsid w:val="002337B2"/>
    <w:rsid w:val="00233C64"/>
    <w:rsid w:val="00234309"/>
    <w:rsid w:val="00234E0E"/>
    <w:rsid w:val="00235BDE"/>
    <w:rsid w:val="00237337"/>
    <w:rsid w:val="002378C0"/>
    <w:rsid w:val="00237EEF"/>
    <w:rsid w:val="00240102"/>
    <w:rsid w:val="002404BA"/>
    <w:rsid w:val="00240A40"/>
    <w:rsid w:val="00240FD1"/>
    <w:rsid w:val="00241235"/>
    <w:rsid w:val="00241441"/>
    <w:rsid w:val="002427F7"/>
    <w:rsid w:val="00243015"/>
    <w:rsid w:val="0024338F"/>
    <w:rsid w:val="0024397A"/>
    <w:rsid w:val="00243E1B"/>
    <w:rsid w:val="002444BD"/>
    <w:rsid w:val="00245B71"/>
    <w:rsid w:val="002461D0"/>
    <w:rsid w:val="00246BB1"/>
    <w:rsid w:val="00247A47"/>
    <w:rsid w:val="002511A8"/>
    <w:rsid w:val="002511E9"/>
    <w:rsid w:val="002512E8"/>
    <w:rsid w:val="002518E4"/>
    <w:rsid w:val="00251F94"/>
    <w:rsid w:val="00251FA2"/>
    <w:rsid w:val="002523FB"/>
    <w:rsid w:val="002529E8"/>
    <w:rsid w:val="00252F30"/>
    <w:rsid w:val="00253249"/>
    <w:rsid w:val="002536CB"/>
    <w:rsid w:val="0025526A"/>
    <w:rsid w:val="00255BF4"/>
    <w:rsid w:val="00255D33"/>
    <w:rsid w:val="00255EA4"/>
    <w:rsid w:val="0025757C"/>
    <w:rsid w:val="0026063E"/>
    <w:rsid w:val="00260A89"/>
    <w:rsid w:val="00260C9F"/>
    <w:rsid w:val="00261529"/>
    <w:rsid w:val="00261A11"/>
    <w:rsid w:val="00261CEB"/>
    <w:rsid w:val="00261D5B"/>
    <w:rsid w:val="00262A51"/>
    <w:rsid w:val="00262DDC"/>
    <w:rsid w:val="002648FC"/>
    <w:rsid w:val="00264949"/>
    <w:rsid w:val="00265778"/>
    <w:rsid w:val="002658D0"/>
    <w:rsid w:val="00267981"/>
    <w:rsid w:val="002679E5"/>
    <w:rsid w:val="00267A42"/>
    <w:rsid w:val="00270695"/>
    <w:rsid w:val="002707B8"/>
    <w:rsid w:val="0027084D"/>
    <w:rsid w:val="002725BC"/>
    <w:rsid w:val="00272C6E"/>
    <w:rsid w:val="002731DE"/>
    <w:rsid w:val="002735F9"/>
    <w:rsid w:val="00273CD1"/>
    <w:rsid w:val="00274463"/>
    <w:rsid w:val="0027502F"/>
    <w:rsid w:val="00277812"/>
    <w:rsid w:val="00277C24"/>
    <w:rsid w:val="00278533"/>
    <w:rsid w:val="002806DC"/>
    <w:rsid w:val="002812BD"/>
    <w:rsid w:val="002815F2"/>
    <w:rsid w:val="0028166F"/>
    <w:rsid w:val="00281733"/>
    <w:rsid w:val="0028174D"/>
    <w:rsid w:val="00281A30"/>
    <w:rsid w:val="002823D9"/>
    <w:rsid w:val="002831C6"/>
    <w:rsid w:val="00283FF9"/>
    <w:rsid w:val="00284263"/>
    <w:rsid w:val="0028433A"/>
    <w:rsid w:val="002844A4"/>
    <w:rsid w:val="0028561A"/>
    <w:rsid w:val="00286C95"/>
    <w:rsid w:val="002872BC"/>
    <w:rsid w:val="00287E09"/>
    <w:rsid w:val="00290B29"/>
    <w:rsid w:val="00290C1D"/>
    <w:rsid w:val="00292313"/>
    <w:rsid w:val="00293B3B"/>
    <w:rsid w:val="00294168"/>
    <w:rsid w:val="00294245"/>
    <w:rsid w:val="002948AE"/>
    <w:rsid w:val="00294FD0"/>
    <w:rsid w:val="002954DC"/>
    <w:rsid w:val="0029647F"/>
    <w:rsid w:val="0029673B"/>
    <w:rsid w:val="00296A91"/>
    <w:rsid w:val="00296B1E"/>
    <w:rsid w:val="00297ABC"/>
    <w:rsid w:val="002A1475"/>
    <w:rsid w:val="002A1C0D"/>
    <w:rsid w:val="002A2421"/>
    <w:rsid w:val="002A388E"/>
    <w:rsid w:val="002A40A1"/>
    <w:rsid w:val="002A4115"/>
    <w:rsid w:val="002A4594"/>
    <w:rsid w:val="002A4934"/>
    <w:rsid w:val="002A4BF7"/>
    <w:rsid w:val="002A50A7"/>
    <w:rsid w:val="002A65C4"/>
    <w:rsid w:val="002A6CAA"/>
    <w:rsid w:val="002A6EA8"/>
    <w:rsid w:val="002B00F7"/>
    <w:rsid w:val="002B020A"/>
    <w:rsid w:val="002B035B"/>
    <w:rsid w:val="002B334F"/>
    <w:rsid w:val="002B3E37"/>
    <w:rsid w:val="002B4100"/>
    <w:rsid w:val="002B4250"/>
    <w:rsid w:val="002B429D"/>
    <w:rsid w:val="002B43F3"/>
    <w:rsid w:val="002B4830"/>
    <w:rsid w:val="002B4F49"/>
    <w:rsid w:val="002B5C37"/>
    <w:rsid w:val="002B5E3B"/>
    <w:rsid w:val="002B63FA"/>
    <w:rsid w:val="002B7D36"/>
    <w:rsid w:val="002C1BAF"/>
    <w:rsid w:val="002C1E78"/>
    <w:rsid w:val="002C1F97"/>
    <w:rsid w:val="002C21A1"/>
    <w:rsid w:val="002C2547"/>
    <w:rsid w:val="002C4E8C"/>
    <w:rsid w:val="002C65D1"/>
    <w:rsid w:val="002C67BD"/>
    <w:rsid w:val="002C6984"/>
    <w:rsid w:val="002C6F1F"/>
    <w:rsid w:val="002C7831"/>
    <w:rsid w:val="002C7EDA"/>
    <w:rsid w:val="002D0261"/>
    <w:rsid w:val="002D07F7"/>
    <w:rsid w:val="002D1C0D"/>
    <w:rsid w:val="002D1D1E"/>
    <w:rsid w:val="002D30DF"/>
    <w:rsid w:val="002D3327"/>
    <w:rsid w:val="002D3EDB"/>
    <w:rsid w:val="002D473A"/>
    <w:rsid w:val="002D4F37"/>
    <w:rsid w:val="002D54B7"/>
    <w:rsid w:val="002D6130"/>
    <w:rsid w:val="002D61CE"/>
    <w:rsid w:val="002D6E03"/>
    <w:rsid w:val="002D7535"/>
    <w:rsid w:val="002E030B"/>
    <w:rsid w:val="002E0E60"/>
    <w:rsid w:val="002E143C"/>
    <w:rsid w:val="002E211F"/>
    <w:rsid w:val="002E397D"/>
    <w:rsid w:val="002E3A5E"/>
    <w:rsid w:val="002E43B7"/>
    <w:rsid w:val="002E4405"/>
    <w:rsid w:val="002E4E4D"/>
    <w:rsid w:val="002E4F20"/>
    <w:rsid w:val="002E4FDC"/>
    <w:rsid w:val="002E50F9"/>
    <w:rsid w:val="002E516E"/>
    <w:rsid w:val="002E5F0C"/>
    <w:rsid w:val="002E6386"/>
    <w:rsid w:val="002E6E73"/>
    <w:rsid w:val="002E799C"/>
    <w:rsid w:val="002E79C4"/>
    <w:rsid w:val="002E7C88"/>
    <w:rsid w:val="002F0A93"/>
    <w:rsid w:val="002F140C"/>
    <w:rsid w:val="002F18C8"/>
    <w:rsid w:val="002F1CE6"/>
    <w:rsid w:val="002F29DF"/>
    <w:rsid w:val="002F313C"/>
    <w:rsid w:val="002F4DA3"/>
    <w:rsid w:val="002F4FA0"/>
    <w:rsid w:val="002F5F07"/>
    <w:rsid w:val="002F78C9"/>
    <w:rsid w:val="002F7F47"/>
    <w:rsid w:val="0030105C"/>
    <w:rsid w:val="00302E79"/>
    <w:rsid w:val="003042D5"/>
    <w:rsid w:val="00304846"/>
    <w:rsid w:val="00304930"/>
    <w:rsid w:val="0030523E"/>
    <w:rsid w:val="003053AE"/>
    <w:rsid w:val="00306137"/>
    <w:rsid w:val="00307A7E"/>
    <w:rsid w:val="00307BE8"/>
    <w:rsid w:val="00310C7E"/>
    <w:rsid w:val="00311854"/>
    <w:rsid w:val="00312D97"/>
    <w:rsid w:val="00312FDE"/>
    <w:rsid w:val="00314687"/>
    <w:rsid w:val="0031493F"/>
    <w:rsid w:val="00314C1F"/>
    <w:rsid w:val="00315361"/>
    <w:rsid w:val="00315366"/>
    <w:rsid w:val="00315E58"/>
    <w:rsid w:val="00315FEE"/>
    <w:rsid w:val="00316683"/>
    <w:rsid w:val="00317161"/>
    <w:rsid w:val="00320A32"/>
    <w:rsid w:val="00321486"/>
    <w:rsid w:val="00322518"/>
    <w:rsid w:val="00322C51"/>
    <w:rsid w:val="003235C8"/>
    <w:rsid w:val="00324090"/>
    <w:rsid w:val="003249AC"/>
    <w:rsid w:val="00324E05"/>
    <w:rsid w:val="0032597C"/>
    <w:rsid w:val="00326BAB"/>
    <w:rsid w:val="00327926"/>
    <w:rsid w:val="00327E12"/>
    <w:rsid w:val="003306BF"/>
    <w:rsid w:val="00331F49"/>
    <w:rsid w:val="00333331"/>
    <w:rsid w:val="00334155"/>
    <w:rsid w:val="00334387"/>
    <w:rsid w:val="00336613"/>
    <w:rsid w:val="00336972"/>
    <w:rsid w:val="00336FF6"/>
    <w:rsid w:val="0033715B"/>
    <w:rsid w:val="0033788F"/>
    <w:rsid w:val="003400CE"/>
    <w:rsid w:val="00340ED2"/>
    <w:rsid w:val="0034117B"/>
    <w:rsid w:val="00341DD1"/>
    <w:rsid w:val="00343604"/>
    <w:rsid w:val="00344186"/>
    <w:rsid w:val="00344D3F"/>
    <w:rsid w:val="0034504D"/>
    <w:rsid w:val="00345174"/>
    <w:rsid w:val="0034562A"/>
    <w:rsid w:val="00346388"/>
    <w:rsid w:val="003478A8"/>
    <w:rsid w:val="00351ABE"/>
    <w:rsid w:val="00351D27"/>
    <w:rsid w:val="00351DAD"/>
    <w:rsid w:val="00352202"/>
    <w:rsid w:val="0035290B"/>
    <w:rsid w:val="003538F5"/>
    <w:rsid w:val="0035483B"/>
    <w:rsid w:val="003549FB"/>
    <w:rsid w:val="0035620E"/>
    <w:rsid w:val="00356C5A"/>
    <w:rsid w:val="00357545"/>
    <w:rsid w:val="0035765D"/>
    <w:rsid w:val="003606A8"/>
    <w:rsid w:val="003609E9"/>
    <w:rsid w:val="00360CDE"/>
    <w:rsid w:val="00361DE1"/>
    <w:rsid w:val="00361E3D"/>
    <w:rsid w:val="0036212E"/>
    <w:rsid w:val="003625AF"/>
    <w:rsid w:val="00362741"/>
    <w:rsid w:val="00363176"/>
    <w:rsid w:val="0036325B"/>
    <w:rsid w:val="00363964"/>
    <w:rsid w:val="00363AF6"/>
    <w:rsid w:val="0036420B"/>
    <w:rsid w:val="00365452"/>
    <w:rsid w:val="003665B2"/>
    <w:rsid w:val="00366FCA"/>
    <w:rsid w:val="003675BA"/>
    <w:rsid w:val="003678D4"/>
    <w:rsid w:val="00367EF2"/>
    <w:rsid w:val="003704B6"/>
    <w:rsid w:val="00371330"/>
    <w:rsid w:val="00371DB9"/>
    <w:rsid w:val="00373067"/>
    <w:rsid w:val="00373624"/>
    <w:rsid w:val="003743AD"/>
    <w:rsid w:val="00374643"/>
    <w:rsid w:val="00374E61"/>
    <w:rsid w:val="0037554E"/>
    <w:rsid w:val="003759CE"/>
    <w:rsid w:val="00375AFE"/>
    <w:rsid w:val="00375D4A"/>
    <w:rsid w:val="003765FD"/>
    <w:rsid w:val="00380246"/>
    <w:rsid w:val="0038038C"/>
    <w:rsid w:val="00380DBE"/>
    <w:rsid w:val="003810F0"/>
    <w:rsid w:val="0038197C"/>
    <w:rsid w:val="00381E24"/>
    <w:rsid w:val="003822A8"/>
    <w:rsid w:val="00382632"/>
    <w:rsid w:val="00382E82"/>
    <w:rsid w:val="00383151"/>
    <w:rsid w:val="00383223"/>
    <w:rsid w:val="00384D3F"/>
    <w:rsid w:val="00384DB6"/>
    <w:rsid w:val="003861AB"/>
    <w:rsid w:val="0038622A"/>
    <w:rsid w:val="00386A92"/>
    <w:rsid w:val="0038709C"/>
    <w:rsid w:val="003879C9"/>
    <w:rsid w:val="00387B03"/>
    <w:rsid w:val="00387C8A"/>
    <w:rsid w:val="0039036E"/>
    <w:rsid w:val="00390796"/>
    <w:rsid w:val="00391D69"/>
    <w:rsid w:val="00391D6F"/>
    <w:rsid w:val="003921E0"/>
    <w:rsid w:val="00392C0A"/>
    <w:rsid w:val="0039352F"/>
    <w:rsid w:val="00393CCB"/>
    <w:rsid w:val="0039497C"/>
    <w:rsid w:val="00394D61"/>
    <w:rsid w:val="0039578E"/>
    <w:rsid w:val="00395A18"/>
    <w:rsid w:val="0039632A"/>
    <w:rsid w:val="00396CFB"/>
    <w:rsid w:val="00396E3D"/>
    <w:rsid w:val="003A00C9"/>
    <w:rsid w:val="003A08D9"/>
    <w:rsid w:val="003A0E9A"/>
    <w:rsid w:val="003A15AE"/>
    <w:rsid w:val="003A1E5E"/>
    <w:rsid w:val="003A1F58"/>
    <w:rsid w:val="003A1FBE"/>
    <w:rsid w:val="003A20DA"/>
    <w:rsid w:val="003A2119"/>
    <w:rsid w:val="003A2D7B"/>
    <w:rsid w:val="003A4069"/>
    <w:rsid w:val="003A44F6"/>
    <w:rsid w:val="003A4F3E"/>
    <w:rsid w:val="003A53CD"/>
    <w:rsid w:val="003A5FE7"/>
    <w:rsid w:val="003A66DF"/>
    <w:rsid w:val="003A6DB0"/>
    <w:rsid w:val="003A79DB"/>
    <w:rsid w:val="003A7D74"/>
    <w:rsid w:val="003B1886"/>
    <w:rsid w:val="003B2977"/>
    <w:rsid w:val="003B3314"/>
    <w:rsid w:val="003B3334"/>
    <w:rsid w:val="003B3D85"/>
    <w:rsid w:val="003B3DD0"/>
    <w:rsid w:val="003B5284"/>
    <w:rsid w:val="003B572B"/>
    <w:rsid w:val="003B5B99"/>
    <w:rsid w:val="003B7931"/>
    <w:rsid w:val="003C04D4"/>
    <w:rsid w:val="003C24E4"/>
    <w:rsid w:val="003C25AC"/>
    <w:rsid w:val="003C3246"/>
    <w:rsid w:val="003C3B39"/>
    <w:rsid w:val="003C4093"/>
    <w:rsid w:val="003C45C1"/>
    <w:rsid w:val="003C495D"/>
    <w:rsid w:val="003C550B"/>
    <w:rsid w:val="003C553A"/>
    <w:rsid w:val="003C5A33"/>
    <w:rsid w:val="003C5C8B"/>
    <w:rsid w:val="003C664A"/>
    <w:rsid w:val="003C70C3"/>
    <w:rsid w:val="003C7DD3"/>
    <w:rsid w:val="003D027A"/>
    <w:rsid w:val="003D0C21"/>
    <w:rsid w:val="003D0ED2"/>
    <w:rsid w:val="003D15B3"/>
    <w:rsid w:val="003D248B"/>
    <w:rsid w:val="003D2C2C"/>
    <w:rsid w:val="003D2F9B"/>
    <w:rsid w:val="003D3C14"/>
    <w:rsid w:val="003D3E03"/>
    <w:rsid w:val="003D4ED4"/>
    <w:rsid w:val="003D5135"/>
    <w:rsid w:val="003D5148"/>
    <w:rsid w:val="003D53B8"/>
    <w:rsid w:val="003D5D7B"/>
    <w:rsid w:val="003D653B"/>
    <w:rsid w:val="003D6D33"/>
    <w:rsid w:val="003D750D"/>
    <w:rsid w:val="003D7E2C"/>
    <w:rsid w:val="003E01A1"/>
    <w:rsid w:val="003E1251"/>
    <w:rsid w:val="003E2170"/>
    <w:rsid w:val="003E21C9"/>
    <w:rsid w:val="003E2B39"/>
    <w:rsid w:val="003E375A"/>
    <w:rsid w:val="003E4294"/>
    <w:rsid w:val="003E4B5E"/>
    <w:rsid w:val="003E4B99"/>
    <w:rsid w:val="003E5006"/>
    <w:rsid w:val="003E6165"/>
    <w:rsid w:val="003E6A8F"/>
    <w:rsid w:val="003E6BDC"/>
    <w:rsid w:val="003E6E17"/>
    <w:rsid w:val="003E6E8B"/>
    <w:rsid w:val="003E788F"/>
    <w:rsid w:val="003E7A6E"/>
    <w:rsid w:val="003E7AEA"/>
    <w:rsid w:val="003E7DA9"/>
    <w:rsid w:val="003F0994"/>
    <w:rsid w:val="003F0FB1"/>
    <w:rsid w:val="003F1C66"/>
    <w:rsid w:val="003F2484"/>
    <w:rsid w:val="003F2C9D"/>
    <w:rsid w:val="003F2E2D"/>
    <w:rsid w:val="003F46FA"/>
    <w:rsid w:val="003F56E6"/>
    <w:rsid w:val="003F57FF"/>
    <w:rsid w:val="003F6C61"/>
    <w:rsid w:val="003F7697"/>
    <w:rsid w:val="003F7844"/>
    <w:rsid w:val="003F78C1"/>
    <w:rsid w:val="003F7A1E"/>
    <w:rsid w:val="003F7DB8"/>
    <w:rsid w:val="004002CB"/>
    <w:rsid w:val="004007AC"/>
    <w:rsid w:val="00401DF0"/>
    <w:rsid w:val="0040227E"/>
    <w:rsid w:val="00402418"/>
    <w:rsid w:val="004032B1"/>
    <w:rsid w:val="004033D8"/>
    <w:rsid w:val="004037E7"/>
    <w:rsid w:val="00403973"/>
    <w:rsid w:val="00403ADC"/>
    <w:rsid w:val="0040424A"/>
    <w:rsid w:val="0040474E"/>
    <w:rsid w:val="0040633D"/>
    <w:rsid w:val="004076E9"/>
    <w:rsid w:val="004103CD"/>
    <w:rsid w:val="00410A18"/>
    <w:rsid w:val="00410CBE"/>
    <w:rsid w:val="004119E8"/>
    <w:rsid w:val="00411E44"/>
    <w:rsid w:val="00413019"/>
    <w:rsid w:val="004134D7"/>
    <w:rsid w:val="004137D9"/>
    <w:rsid w:val="004138A5"/>
    <w:rsid w:val="00414729"/>
    <w:rsid w:val="00414885"/>
    <w:rsid w:val="004148C0"/>
    <w:rsid w:val="00414F98"/>
    <w:rsid w:val="0041560D"/>
    <w:rsid w:val="00416112"/>
    <w:rsid w:val="00416869"/>
    <w:rsid w:val="004212FB"/>
    <w:rsid w:val="00421330"/>
    <w:rsid w:val="00422070"/>
    <w:rsid w:val="0042395F"/>
    <w:rsid w:val="00423C2A"/>
    <w:rsid w:val="0042558E"/>
    <w:rsid w:val="0042568D"/>
    <w:rsid w:val="00425EE1"/>
    <w:rsid w:val="004268AF"/>
    <w:rsid w:val="00426918"/>
    <w:rsid w:val="0042694A"/>
    <w:rsid w:val="0042749D"/>
    <w:rsid w:val="004275AE"/>
    <w:rsid w:val="00430741"/>
    <w:rsid w:val="00431115"/>
    <w:rsid w:val="004312FF"/>
    <w:rsid w:val="00431E3D"/>
    <w:rsid w:val="00431F6C"/>
    <w:rsid w:val="00434C9B"/>
    <w:rsid w:val="00435253"/>
    <w:rsid w:val="0043565B"/>
    <w:rsid w:val="004359BB"/>
    <w:rsid w:val="00436510"/>
    <w:rsid w:val="00437365"/>
    <w:rsid w:val="00440B59"/>
    <w:rsid w:val="00440DF1"/>
    <w:rsid w:val="004419F6"/>
    <w:rsid w:val="00441CA7"/>
    <w:rsid w:val="00442B7E"/>
    <w:rsid w:val="00443054"/>
    <w:rsid w:val="0044352A"/>
    <w:rsid w:val="00443B75"/>
    <w:rsid w:val="00443D46"/>
    <w:rsid w:val="00445DE8"/>
    <w:rsid w:val="0044641A"/>
    <w:rsid w:val="00446455"/>
    <w:rsid w:val="004476F9"/>
    <w:rsid w:val="0045049B"/>
    <w:rsid w:val="0045076B"/>
    <w:rsid w:val="00451471"/>
    <w:rsid w:val="00451ACF"/>
    <w:rsid w:val="00451D3D"/>
    <w:rsid w:val="00451DA6"/>
    <w:rsid w:val="004521B8"/>
    <w:rsid w:val="0045228E"/>
    <w:rsid w:val="00453456"/>
    <w:rsid w:val="00454277"/>
    <w:rsid w:val="004546E1"/>
    <w:rsid w:val="00454FE1"/>
    <w:rsid w:val="00456A58"/>
    <w:rsid w:val="00456AB3"/>
    <w:rsid w:val="00456C45"/>
    <w:rsid w:val="00456F54"/>
    <w:rsid w:val="00457149"/>
    <w:rsid w:val="00457482"/>
    <w:rsid w:val="00457BA7"/>
    <w:rsid w:val="0046047E"/>
    <w:rsid w:val="00460F43"/>
    <w:rsid w:val="00461ED6"/>
    <w:rsid w:val="004624E0"/>
    <w:rsid w:val="00464144"/>
    <w:rsid w:val="00464329"/>
    <w:rsid w:val="00464590"/>
    <w:rsid w:val="004648A6"/>
    <w:rsid w:val="00464C75"/>
    <w:rsid w:val="004658D1"/>
    <w:rsid w:val="00466B8D"/>
    <w:rsid w:val="00466C06"/>
    <w:rsid w:val="004671D3"/>
    <w:rsid w:val="00467373"/>
    <w:rsid w:val="00470794"/>
    <w:rsid w:val="00470D79"/>
    <w:rsid w:val="00470E1A"/>
    <w:rsid w:val="00471584"/>
    <w:rsid w:val="00471A42"/>
    <w:rsid w:val="00471DCC"/>
    <w:rsid w:val="004724F6"/>
    <w:rsid w:val="004729E0"/>
    <w:rsid w:val="00473850"/>
    <w:rsid w:val="0047393C"/>
    <w:rsid w:val="00473A4D"/>
    <w:rsid w:val="00473DD7"/>
    <w:rsid w:val="00473E98"/>
    <w:rsid w:val="004740E8"/>
    <w:rsid w:val="004745DA"/>
    <w:rsid w:val="00474896"/>
    <w:rsid w:val="00475E79"/>
    <w:rsid w:val="00476C08"/>
    <w:rsid w:val="0047789A"/>
    <w:rsid w:val="0048058E"/>
    <w:rsid w:val="00480BEA"/>
    <w:rsid w:val="004811CE"/>
    <w:rsid w:val="004812F0"/>
    <w:rsid w:val="004815A0"/>
    <w:rsid w:val="00481E39"/>
    <w:rsid w:val="00482F60"/>
    <w:rsid w:val="00483334"/>
    <w:rsid w:val="004834B7"/>
    <w:rsid w:val="00483779"/>
    <w:rsid w:val="0048380E"/>
    <w:rsid w:val="00484436"/>
    <w:rsid w:val="00484735"/>
    <w:rsid w:val="00484F51"/>
    <w:rsid w:val="004859F1"/>
    <w:rsid w:val="00485BC0"/>
    <w:rsid w:val="00485F8E"/>
    <w:rsid w:val="00486665"/>
    <w:rsid w:val="0048668C"/>
    <w:rsid w:val="00486875"/>
    <w:rsid w:val="00486971"/>
    <w:rsid w:val="00486BE3"/>
    <w:rsid w:val="00487D91"/>
    <w:rsid w:val="00490395"/>
    <w:rsid w:val="0049137F"/>
    <w:rsid w:val="004917E7"/>
    <w:rsid w:val="00491ECF"/>
    <w:rsid w:val="00492379"/>
    <w:rsid w:val="004923EB"/>
    <w:rsid w:val="0049240B"/>
    <w:rsid w:val="0049342D"/>
    <w:rsid w:val="0049420B"/>
    <w:rsid w:val="004944DB"/>
    <w:rsid w:val="004946A8"/>
    <w:rsid w:val="0049474F"/>
    <w:rsid w:val="00494822"/>
    <w:rsid w:val="00495480"/>
    <w:rsid w:val="004954D4"/>
    <w:rsid w:val="00495983"/>
    <w:rsid w:val="00495CB2"/>
    <w:rsid w:val="00495F22"/>
    <w:rsid w:val="00497316"/>
    <w:rsid w:val="004975B6"/>
    <w:rsid w:val="00497C0D"/>
    <w:rsid w:val="00497CF7"/>
    <w:rsid w:val="004A17E0"/>
    <w:rsid w:val="004A317C"/>
    <w:rsid w:val="004A4915"/>
    <w:rsid w:val="004A49A0"/>
    <w:rsid w:val="004A57F6"/>
    <w:rsid w:val="004A5A2F"/>
    <w:rsid w:val="004A613F"/>
    <w:rsid w:val="004B05FB"/>
    <w:rsid w:val="004B0D97"/>
    <w:rsid w:val="004B106A"/>
    <w:rsid w:val="004B2184"/>
    <w:rsid w:val="004B31ED"/>
    <w:rsid w:val="004B394F"/>
    <w:rsid w:val="004B3D81"/>
    <w:rsid w:val="004B3E75"/>
    <w:rsid w:val="004B481D"/>
    <w:rsid w:val="004B5AF1"/>
    <w:rsid w:val="004C0C4A"/>
    <w:rsid w:val="004C1432"/>
    <w:rsid w:val="004C1D98"/>
    <w:rsid w:val="004C22E3"/>
    <w:rsid w:val="004C2852"/>
    <w:rsid w:val="004C3A28"/>
    <w:rsid w:val="004C3ECD"/>
    <w:rsid w:val="004C4576"/>
    <w:rsid w:val="004C46E7"/>
    <w:rsid w:val="004C5E86"/>
    <w:rsid w:val="004C641B"/>
    <w:rsid w:val="004C7EFC"/>
    <w:rsid w:val="004D0505"/>
    <w:rsid w:val="004D05C8"/>
    <w:rsid w:val="004D0B18"/>
    <w:rsid w:val="004D0DD0"/>
    <w:rsid w:val="004D194A"/>
    <w:rsid w:val="004D1C35"/>
    <w:rsid w:val="004D3F37"/>
    <w:rsid w:val="004D4A2C"/>
    <w:rsid w:val="004D56B4"/>
    <w:rsid w:val="004D7014"/>
    <w:rsid w:val="004D712C"/>
    <w:rsid w:val="004D7611"/>
    <w:rsid w:val="004E11D8"/>
    <w:rsid w:val="004E22AA"/>
    <w:rsid w:val="004E230C"/>
    <w:rsid w:val="004E3056"/>
    <w:rsid w:val="004E3225"/>
    <w:rsid w:val="004E32A4"/>
    <w:rsid w:val="004E40FD"/>
    <w:rsid w:val="004E4C79"/>
    <w:rsid w:val="004E505A"/>
    <w:rsid w:val="004E58BC"/>
    <w:rsid w:val="004E6043"/>
    <w:rsid w:val="004E72DE"/>
    <w:rsid w:val="004E7417"/>
    <w:rsid w:val="004E7689"/>
    <w:rsid w:val="004F2D69"/>
    <w:rsid w:val="004F4043"/>
    <w:rsid w:val="004F4371"/>
    <w:rsid w:val="004F4AB3"/>
    <w:rsid w:val="004F4B9A"/>
    <w:rsid w:val="004F4D6A"/>
    <w:rsid w:val="004F5900"/>
    <w:rsid w:val="004F5FF4"/>
    <w:rsid w:val="004F629B"/>
    <w:rsid w:val="004F706D"/>
    <w:rsid w:val="004F7483"/>
    <w:rsid w:val="004F7758"/>
    <w:rsid w:val="004F7A1B"/>
    <w:rsid w:val="0050077F"/>
    <w:rsid w:val="00500D35"/>
    <w:rsid w:val="00500DEF"/>
    <w:rsid w:val="00501CB0"/>
    <w:rsid w:val="005020D9"/>
    <w:rsid w:val="0050230A"/>
    <w:rsid w:val="00502D50"/>
    <w:rsid w:val="00503E02"/>
    <w:rsid w:val="005051D1"/>
    <w:rsid w:val="005072A6"/>
    <w:rsid w:val="0051107A"/>
    <w:rsid w:val="00511894"/>
    <w:rsid w:val="00511BBB"/>
    <w:rsid w:val="00512339"/>
    <w:rsid w:val="005128CD"/>
    <w:rsid w:val="005129C3"/>
    <w:rsid w:val="005133E4"/>
    <w:rsid w:val="00513906"/>
    <w:rsid w:val="00513BF3"/>
    <w:rsid w:val="00513F4B"/>
    <w:rsid w:val="0051436F"/>
    <w:rsid w:val="005144D0"/>
    <w:rsid w:val="00514579"/>
    <w:rsid w:val="0051489E"/>
    <w:rsid w:val="00514AFF"/>
    <w:rsid w:val="00516517"/>
    <w:rsid w:val="0051668F"/>
    <w:rsid w:val="00516A37"/>
    <w:rsid w:val="005175EF"/>
    <w:rsid w:val="005179A1"/>
    <w:rsid w:val="00520950"/>
    <w:rsid w:val="00520FAC"/>
    <w:rsid w:val="00521191"/>
    <w:rsid w:val="005218C3"/>
    <w:rsid w:val="00521F52"/>
    <w:rsid w:val="00521FFD"/>
    <w:rsid w:val="00522159"/>
    <w:rsid w:val="005234AE"/>
    <w:rsid w:val="0052366E"/>
    <w:rsid w:val="00523AD9"/>
    <w:rsid w:val="005240DF"/>
    <w:rsid w:val="0052436A"/>
    <w:rsid w:val="0052483D"/>
    <w:rsid w:val="00525623"/>
    <w:rsid w:val="0052604A"/>
    <w:rsid w:val="00526050"/>
    <w:rsid w:val="00527B6E"/>
    <w:rsid w:val="00530ED9"/>
    <w:rsid w:val="00531978"/>
    <w:rsid w:val="00532E33"/>
    <w:rsid w:val="005339B0"/>
    <w:rsid w:val="00533E56"/>
    <w:rsid w:val="005353EA"/>
    <w:rsid w:val="005367D5"/>
    <w:rsid w:val="00536FF5"/>
    <w:rsid w:val="00537E35"/>
    <w:rsid w:val="00540A1E"/>
    <w:rsid w:val="00540AAF"/>
    <w:rsid w:val="00540D4C"/>
    <w:rsid w:val="00541BE6"/>
    <w:rsid w:val="005427EE"/>
    <w:rsid w:val="00542FFC"/>
    <w:rsid w:val="00543D20"/>
    <w:rsid w:val="00543E02"/>
    <w:rsid w:val="00543F37"/>
    <w:rsid w:val="005443B1"/>
    <w:rsid w:val="00545AD4"/>
    <w:rsid w:val="005461C0"/>
    <w:rsid w:val="0054656E"/>
    <w:rsid w:val="00546571"/>
    <w:rsid w:val="0054711E"/>
    <w:rsid w:val="00547518"/>
    <w:rsid w:val="00547878"/>
    <w:rsid w:val="00547B1C"/>
    <w:rsid w:val="005504BC"/>
    <w:rsid w:val="0055115A"/>
    <w:rsid w:val="00551791"/>
    <w:rsid w:val="005520F0"/>
    <w:rsid w:val="00552EB3"/>
    <w:rsid w:val="0055331D"/>
    <w:rsid w:val="00553AA5"/>
    <w:rsid w:val="00553D55"/>
    <w:rsid w:val="005543E0"/>
    <w:rsid w:val="005544E8"/>
    <w:rsid w:val="00554D5C"/>
    <w:rsid w:val="00555259"/>
    <w:rsid w:val="005556B2"/>
    <w:rsid w:val="005564F7"/>
    <w:rsid w:val="00556722"/>
    <w:rsid w:val="00560A30"/>
    <w:rsid w:val="00561459"/>
    <w:rsid w:val="00561B12"/>
    <w:rsid w:val="0056204C"/>
    <w:rsid w:val="00562433"/>
    <w:rsid w:val="005629DF"/>
    <w:rsid w:val="00562BD0"/>
    <w:rsid w:val="00562F0E"/>
    <w:rsid w:val="00563064"/>
    <w:rsid w:val="00563B49"/>
    <w:rsid w:val="005647C8"/>
    <w:rsid w:val="00565109"/>
    <w:rsid w:val="00565D72"/>
    <w:rsid w:val="00565F80"/>
    <w:rsid w:val="005660FD"/>
    <w:rsid w:val="00566991"/>
    <w:rsid w:val="00566C1F"/>
    <w:rsid w:val="005672B5"/>
    <w:rsid w:val="005700FC"/>
    <w:rsid w:val="00571660"/>
    <w:rsid w:val="0057283B"/>
    <w:rsid w:val="005755FD"/>
    <w:rsid w:val="00575B51"/>
    <w:rsid w:val="00576178"/>
    <w:rsid w:val="005766DE"/>
    <w:rsid w:val="00576C9A"/>
    <w:rsid w:val="0057789C"/>
    <w:rsid w:val="00577BBE"/>
    <w:rsid w:val="00580241"/>
    <w:rsid w:val="00580F85"/>
    <w:rsid w:val="0058105A"/>
    <w:rsid w:val="00581498"/>
    <w:rsid w:val="005819C5"/>
    <w:rsid w:val="00582008"/>
    <w:rsid w:val="0058224A"/>
    <w:rsid w:val="00582316"/>
    <w:rsid w:val="005824E9"/>
    <w:rsid w:val="005830B4"/>
    <w:rsid w:val="005837BD"/>
    <w:rsid w:val="0058464C"/>
    <w:rsid w:val="00584756"/>
    <w:rsid w:val="00585431"/>
    <w:rsid w:val="00585590"/>
    <w:rsid w:val="00585932"/>
    <w:rsid w:val="005860FD"/>
    <w:rsid w:val="00586AA9"/>
    <w:rsid w:val="0058744A"/>
    <w:rsid w:val="00587EE4"/>
    <w:rsid w:val="00590091"/>
    <w:rsid w:val="0059072C"/>
    <w:rsid w:val="005915D6"/>
    <w:rsid w:val="00591A40"/>
    <w:rsid w:val="00591F96"/>
    <w:rsid w:val="005938E7"/>
    <w:rsid w:val="005948FB"/>
    <w:rsid w:val="00594F37"/>
    <w:rsid w:val="005953D1"/>
    <w:rsid w:val="0059551B"/>
    <w:rsid w:val="00595869"/>
    <w:rsid w:val="0059597F"/>
    <w:rsid w:val="00596918"/>
    <w:rsid w:val="00597441"/>
    <w:rsid w:val="00597513"/>
    <w:rsid w:val="00597765"/>
    <w:rsid w:val="00597900"/>
    <w:rsid w:val="005A0376"/>
    <w:rsid w:val="005A0888"/>
    <w:rsid w:val="005A136A"/>
    <w:rsid w:val="005A1AFE"/>
    <w:rsid w:val="005A2795"/>
    <w:rsid w:val="005A2F63"/>
    <w:rsid w:val="005A2F6F"/>
    <w:rsid w:val="005A3BC0"/>
    <w:rsid w:val="005A4853"/>
    <w:rsid w:val="005A4A67"/>
    <w:rsid w:val="005A4BB8"/>
    <w:rsid w:val="005A573D"/>
    <w:rsid w:val="005A59F4"/>
    <w:rsid w:val="005A5A63"/>
    <w:rsid w:val="005A5B9A"/>
    <w:rsid w:val="005A5C27"/>
    <w:rsid w:val="005A5EEE"/>
    <w:rsid w:val="005A6B9B"/>
    <w:rsid w:val="005A75F2"/>
    <w:rsid w:val="005A7708"/>
    <w:rsid w:val="005A7855"/>
    <w:rsid w:val="005B0F17"/>
    <w:rsid w:val="005B19AC"/>
    <w:rsid w:val="005B368D"/>
    <w:rsid w:val="005B3E85"/>
    <w:rsid w:val="005B50B8"/>
    <w:rsid w:val="005B59A6"/>
    <w:rsid w:val="005B5B2D"/>
    <w:rsid w:val="005B5BFC"/>
    <w:rsid w:val="005B6613"/>
    <w:rsid w:val="005B7C09"/>
    <w:rsid w:val="005C03E5"/>
    <w:rsid w:val="005C07D8"/>
    <w:rsid w:val="005C0DC1"/>
    <w:rsid w:val="005C138B"/>
    <w:rsid w:val="005C1B6B"/>
    <w:rsid w:val="005C1BFC"/>
    <w:rsid w:val="005C2057"/>
    <w:rsid w:val="005C2E2B"/>
    <w:rsid w:val="005C3F96"/>
    <w:rsid w:val="005C3FCE"/>
    <w:rsid w:val="005C400E"/>
    <w:rsid w:val="005C489D"/>
    <w:rsid w:val="005C4F81"/>
    <w:rsid w:val="005C59CE"/>
    <w:rsid w:val="005C5F99"/>
    <w:rsid w:val="005C6529"/>
    <w:rsid w:val="005C701A"/>
    <w:rsid w:val="005C7931"/>
    <w:rsid w:val="005D027D"/>
    <w:rsid w:val="005D0F9E"/>
    <w:rsid w:val="005D1B1B"/>
    <w:rsid w:val="005D1C51"/>
    <w:rsid w:val="005D1F14"/>
    <w:rsid w:val="005D1F76"/>
    <w:rsid w:val="005D1FFE"/>
    <w:rsid w:val="005D25EC"/>
    <w:rsid w:val="005D2ABC"/>
    <w:rsid w:val="005D2D13"/>
    <w:rsid w:val="005D368A"/>
    <w:rsid w:val="005D5383"/>
    <w:rsid w:val="005D54CA"/>
    <w:rsid w:val="005D562B"/>
    <w:rsid w:val="005D5717"/>
    <w:rsid w:val="005D5CD7"/>
    <w:rsid w:val="005D6827"/>
    <w:rsid w:val="005D765B"/>
    <w:rsid w:val="005D7D4E"/>
    <w:rsid w:val="005D7FB3"/>
    <w:rsid w:val="005E038B"/>
    <w:rsid w:val="005E09A1"/>
    <w:rsid w:val="005E1543"/>
    <w:rsid w:val="005E18EB"/>
    <w:rsid w:val="005E1D1F"/>
    <w:rsid w:val="005E20BF"/>
    <w:rsid w:val="005E2179"/>
    <w:rsid w:val="005E22AD"/>
    <w:rsid w:val="005E2647"/>
    <w:rsid w:val="005E28CB"/>
    <w:rsid w:val="005E3EFB"/>
    <w:rsid w:val="005E50EA"/>
    <w:rsid w:val="005E56E6"/>
    <w:rsid w:val="005E5A0D"/>
    <w:rsid w:val="005E5F88"/>
    <w:rsid w:val="005E61ED"/>
    <w:rsid w:val="005E63E9"/>
    <w:rsid w:val="005E69E9"/>
    <w:rsid w:val="005F07CD"/>
    <w:rsid w:val="005F128A"/>
    <w:rsid w:val="005F1373"/>
    <w:rsid w:val="005F3749"/>
    <w:rsid w:val="005F3D10"/>
    <w:rsid w:val="005F4085"/>
    <w:rsid w:val="005F48B4"/>
    <w:rsid w:val="005F6EF3"/>
    <w:rsid w:val="005F70AA"/>
    <w:rsid w:val="00600B02"/>
    <w:rsid w:val="00600D22"/>
    <w:rsid w:val="00601444"/>
    <w:rsid w:val="006025A4"/>
    <w:rsid w:val="00602EF3"/>
    <w:rsid w:val="00603429"/>
    <w:rsid w:val="006036FD"/>
    <w:rsid w:val="00603CA3"/>
    <w:rsid w:val="006049B0"/>
    <w:rsid w:val="006109F6"/>
    <w:rsid w:val="00610A50"/>
    <w:rsid w:val="00611248"/>
    <w:rsid w:val="0061177B"/>
    <w:rsid w:val="00611DB8"/>
    <w:rsid w:val="006124DB"/>
    <w:rsid w:val="0061276B"/>
    <w:rsid w:val="0061362E"/>
    <w:rsid w:val="00613DC7"/>
    <w:rsid w:val="00614FE4"/>
    <w:rsid w:val="00615341"/>
    <w:rsid w:val="00615B10"/>
    <w:rsid w:val="0061616D"/>
    <w:rsid w:val="006163AE"/>
    <w:rsid w:val="00616ADA"/>
    <w:rsid w:val="006175A7"/>
    <w:rsid w:val="00617752"/>
    <w:rsid w:val="006220FA"/>
    <w:rsid w:val="00622182"/>
    <w:rsid w:val="0062228A"/>
    <w:rsid w:val="0062344E"/>
    <w:rsid w:val="006239C7"/>
    <w:rsid w:val="00623BD4"/>
    <w:rsid w:val="00623BE6"/>
    <w:rsid w:val="0062454B"/>
    <w:rsid w:val="006252C6"/>
    <w:rsid w:val="00625487"/>
    <w:rsid w:val="0062576C"/>
    <w:rsid w:val="00625BD2"/>
    <w:rsid w:val="00625ED2"/>
    <w:rsid w:val="00626033"/>
    <w:rsid w:val="00630439"/>
    <w:rsid w:val="00630505"/>
    <w:rsid w:val="00630922"/>
    <w:rsid w:val="00630E11"/>
    <w:rsid w:val="00631017"/>
    <w:rsid w:val="00631143"/>
    <w:rsid w:val="00631459"/>
    <w:rsid w:val="00631C17"/>
    <w:rsid w:val="00632388"/>
    <w:rsid w:val="0063248E"/>
    <w:rsid w:val="006324CB"/>
    <w:rsid w:val="00632CF0"/>
    <w:rsid w:val="00632E7D"/>
    <w:rsid w:val="006331B0"/>
    <w:rsid w:val="00633241"/>
    <w:rsid w:val="0063415D"/>
    <w:rsid w:val="00634539"/>
    <w:rsid w:val="006345B2"/>
    <w:rsid w:val="006360DB"/>
    <w:rsid w:val="00636B85"/>
    <w:rsid w:val="006375CA"/>
    <w:rsid w:val="00637E9C"/>
    <w:rsid w:val="006400C9"/>
    <w:rsid w:val="00642F03"/>
    <w:rsid w:val="00643D8A"/>
    <w:rsid w:val="00643DC9"/>
    <w:rsid w:val="00645760"/>
    <w:rsid w:val="006460B8"/>
    <w:rsid w:val="0064646B"/>
    <w:rsid w:val="00646F4C"/>
    <w:rsid w:val="006479EF"/>
    <w:rsid w:val="00650A03"/>
    <w:rsid w:val="006514A3"/>
    <w:rsid w:val="006529AA"/>
    <w:rsid w:val="00654707"/>
    <w:rsid w:val="006548C9"/>
    <w:rsid w:val="0065616A"/>
    <w:rsid w:val="006564C3"/>
    <w:rsid w:val="0065776A"/>
    <w:rsid w:val="006579AB"/>
    <w:rsid w:val="0066010E"/>
    <w:rsid w:val="006603E7"/>
    <w:rsid w:val="00660D00"/>
    <w:rsid w:val="00661091"/>
    <w:rsid w:val="006623F4"/>
    <w:rsid w:val="00662F2A"/>
    <w:rsid w:val="00663E74"/>
    <w:rsid w:val="00664D23"/>
    <w:rsid w:val="00664DA8"/>
    <w:rsid w:val="0066614F"/>
    <w:rsid w:val="0066658E"/>
    <w:rsid w:val="006668D8"/>
    <w:rsid w:val="00666D5A"/>
    <w:rsid w:val="006672E3"/>
    <w:rsid w:val="00667656"/>
    <w:rsid w:val="00670051"/>
    <w:rsid w:val="00670523"/>
    <w:rsid w:val="0067052B"/>
    <w:rsid w:val="00670587"/>
    <w:rsid w:val="00670C50"/>
    <w:rsid w:val="00671254"/>
    <w:rsid w:val="00672462"/>
    <w:rsid w:val="00672D7A"/>
    <w:rsid w:val="0067419C"/>
    <w:rsid w:val="00675794"/>
    <w:rsid w:val="00675E64"/>
    <w:rsid w:val="0067626E"/>
    <w:rsid w:val="006765F9"/>
    <w:rsid w:val="006767E2"/>
    <w:rsid w:val="00680333"/>
    <w:rsid w:val="00680E08"/>
    <w:rsid w:val="00681DA9"/>
    <w:rsid w:val="006820F5"/>
    <w:rsid w:val="00683AB6"/>
    <w:rsid w:val="00683C7D"/>
    <w:rsid w:val="006856D8"/>
    <w:rsid w:val="00685B97"/>
    <w:rsid w:val="00686D1E"/>
    <w:rsid w:val="00686E4E"/>
    <w:rsid w:val="00687237"/>
    <w:rsid w:val="006874FF"/>
    <w:rsid w:val="00687F36"/>
    <w:rsid w:val="00690C0D"/>
    <w:rsid w:val="006915C5"/>
    <w:rsid w:val="00691AF1"/>
    <w:rsid w:val="00692151"/>
    <w:rsid w:val="00692341"/>
    <w:rsid w:val="00692678"/>
    <w:rsid w:val="00692B5D"/>
    <w:rsid w:val="00693B92"/>
    <w:rsid w:val="00693E90"/>
    <w:rsid w:val="00694365"/>
    <w:rsid w:val="0069437A"/>
    <w:rsid w:val="00695011"/>
    <w:rsid w:val="006952ED"/>
    <w:rsid w:val="00695823"/>
    <w:rsid w:val="00695AE4"/>
    <w:rsid w:val="00696E76"/>
    <w:rsid w:val="00697198"/>
    <w:rsid w:val="00697AE2"/>
    <w:rsid w:val="00697D90"/>
    <w:rsid w:val="006A01D7"/>
    <w:rsid w:val="006A0B01"/>
    <w:rsid w:val="006A2539"/>
    <w:rsid w:val="006A2BF7"/>
    <w:rsid w:val="006A424B"/>
    <w:rsid w:val="006A43FD"/>
    <w:rsid w:val="006A497F"/>
    <w:rsid w:val="006A52CC"/>
    <w:rsid w:val="006A612C"/>
    <w:rsid w:val="006A64B3"/>
    <w:rsid w:val="006A6EF2"/>
    <w:rsid w:val="006A7AD6"/>
    <w:rsid w:val="006A7B6C"/>
    <w:rsid w:val="006B1608"/>
    <w:rsid w:val="006B16CD"/>
    <w:rsid w:val="006B19EC"/>
    <w:rsid w:val="006B22CB"/>
    <w:rsid w:val="006B2647"/>
    <w:rsid w:val="006B2C36"/>
    <w:rsid w:val="006B2F4A"/>
    <w:rsid w:val="006B3B6C"/>
    <w:rsid w:val="006B44BF"/>
    <w:rsid w:val="006B4C20"/>
    <w:rsid w:val="006B54BF"/>
    <w:rsid w:val="006B5F60"/>
    <w:rsid w:val="006B5FC7"/>
    <w:rsid w:val="006B664F"/>
    <w:rsid w:val="006B72DC"/>
    <w:rsid w:val="006B78D3"/>
    <w:rsid w:val="006B795B"/>
    <w:rsid w:val="006C0489"/>
    <w:rsid w:val="006C04A5"/>
    <w:rsid w:val="006C0DF1"/>
    <w:rsid w:val="006C19FF"/>
    <w:rsid w:val="006C4152"/>
    <w:rsid w:val="006C43F5"/>
    <w:rsid w:val="006C4B0D"/>
    <w:rsid w:val="006C5C95"/>
    <w:rsid w:val="006C6027"/>
    <w:rsid w:val="006C6478"/>
    <w:rsid w:val="006C70ED"/>
    <w:rsid w:val="006C7E2D"/>
    <w:rsid w:val="006D045D"/>
    <w:rsid w:val="006D05F8"/>
    <w:rsid w:val="006D0E5E"/>
    <w:rsid w:val="006D19DD"/>
    <w:rsid w:val="006D219A"/>
    <w:rsid w:val="006D2FCF"/>
    <w:rsid w:val="006D3126"/>
    <w:rsid w:val="006D3407"/>
    <w:rsid w:val="006D34ED"/>
    <w:rsid w:val="006D3CED"/>
    <w:rsid w:val="006D4078"/>
    <w:rsid w:val="006D44D3"/>
    <w:rsid w:val="006D49F8"/>
    <w:rsid w:val="006D4FBF"/>
    <w:rsid w:val="006D526E"/>
    <w:rsid w:val="006D52C6"/>
    <w:rsid w:val="006D55C7"/>
    <w:rsid w:val="006D64A8"/>
    <w:rsid w:val="006D68FE"/>
    <w:rsid w:val="006D6B9D"/>
    <w:rsid w:val="006D6F0C"/>
    <w:rsid w:val="006D71B1"/>
    <w:rsid w:val="006D7414"/>
    <w:rsid w:val="006D765E"/>
    <w:rsid w:val="006E02C8"/>
    <w:rsid w:val="006E0832"/>
    <w:rsid w:val="006E1145"/>
    <w:rsid w:val="006E11C5"/>
    <w:rsid w:val="006E11E7"/>
    <w:rsid w:val="006E2139"/>
    <w:rsid w:val="006E2E96"/>
    <w:rsid w:val="006E31DC"/>
    <w:rsid w:val="006E33B5"/>
    <w:rsid w:val="006E4ADC"/>
    <w:rsid w:val="006E5179"/>
    <w:rsid w:val="006E5514"/>
    <w:rsid w:val="006E5B1C"/>
    <w:rsid w:val="006E6CC3"/>
    <w:rsid w:val="006E6F6E"/>
    <w:rsid w:val="006E7DAE"/>
    <w:rsid w:val="006F01DD"/>
    <w:rsid w:val="006F031F"/>
    <w:rsid w:val="006F0D56"/>
    <w:rsid w:val="006F10FB"/>
    <w:rsid w:val="006F1799"/>
    <w:rsid w:val="006F1912"/>
    <w:rsid w:val="006F1F2B"/>
    <w:rsid w:val="006F22ED"/>
    <w:rsid w:val="006F2309"/>
    <w:rsid w:val="006F2B8F"/>
    <w:rsid w:val="006F2E49"/>
    <w:rsid w:val="006F490E"/>
    <w:rsid w:val="006F4D78"/>
    <w:rsid w:val="006F511E"/>
    <w:rsid w:val="006F5CBA"/>
    <w:rsid w:val="006F5D72"/>
    <w:rsid w:val="006F6129"/>
    <w:rsid w:val="006F7D3B"/>
    <w:rsid w:val="006F7F0D"/>
    <w:rsid w:val="007007AD"/>
    <w:rsid w:val="00700807"/>
    <w:rsid w:val="0070153B"/>
    <w:rsid w:val="00702538"/>
    <w:rsid w:val="007025D9"/>
    <w:rsid w:val="007025DA"/>
    <w:rsid w:val="00702F59"/>
    <w:rsid w:val="0070369D"/>
    <w:rsid w:val="00704431"/>
    <w:rsid w:val="007052B7"/>
    <w:rsid w:val="007053F4"/>
    <w:rsid w:val="00705A09"/>
    <w:rsid w:val="00705A96"/>
    <w:rsid w:val="00706438"/>
    <w:rsid w:val="00706792"/>
    <w:rsid w:val="00706A5D"/>
    <w:rsid w:val="00706C14"/>
    <w:rsid w:val="0070793B"/>
    <w:rsid w:val="00707DF3"/>
    <w:rsid w:val="007102F4"/>
    <w:rsid w:val="00710360"/>
    <w:rsid w:val="007108F1"/>
    <w:rsid w:val="00711AD1"/>
    <w:rsid w:val="00714CC3"/>
    <w:rsid w:val="00716505"/>
    <w:rsid w:val="00716A2A"/>
    <w:rsid w:val="0072002A"/>
    <w:rsid w:val="0072015A"/>
    <w:rsid w:val="00720230"/>
    <w:rsid w:val="00720865"/>
    <w:rsid w:val="00722F74"/>
    <w:rsid w:val="00723121"/>
    <w:rsid w:val="007232E0"/>
    <w:rsid w:val="00724656"/>
    <w:rsid w:val="007249B2"/>
    <w:rsid w:val="00724A9A"/>
    <w:rsid w:val="00725880"/>
    <w:rsid w:val="00725A74"/>
    <w:rsid w:val="00725BBB"/>
    <w:rsid w:val="00725BD7"/>
    <w:rsid w:val="0072615C"/>
    <w:rsid w:val="00726C7D"/>
    <w:rsid w:val="007270F4"/>
    <w:rsid w:val="00730325"/>
    <w:rsid w:val="00731276"/>
    <w:rsid w:val="00732C83"/>
    <w:rsid w:val="00733729"/>
    <w:rsid w:val="00733D36"/>
    <w:rsid w:val="00733E59"/>
    <w:rsid w:val="007340FB"/>
    <w:rsid w:val="00735F41"/>
    <w:rsid w:val="00737B21"/>
    <w:rsid w:val="007408CB"/>
    <w:rsid w:val="00740ACF"/>
    <w:rsid w:val="00740F2A"/>
    <w:rsid w:val="00740FA0"/>
    <w:rsid w:val="00741C03"/>
    <w:rsid w:val="00741DD2"/>
    <w:rsid w:val="00742F5D"/>
    <w:rsid w:val="0074312B"/>
    <w:rsid w:val="007443DD"/>
    <w:rsid w:val="007443F6"/>
    <w:rsid w:val="007449C8"/>
    <w:rsid w:val="007453B6"/>
    <w:rsid w:val="007458FA"/>
    <w:rsid w:val="00745E06"/>
    <w:rsid w:val="0074645B"/>
    <w:rsid w:val="007467DE"/>
    <w:rsid w:val="00747710"/>
    <w:rsid w:val="00747E84"/>
    <w:rsid w:val="00750ADF"/>
    <w:rsid w:val="00751C84"/>
    <w:rsid w:val="00753357"/>
    <w:rsid w:val="00755256"/>
    <w:rsid w:val="007552CC"/>
    <w:rsid w:val="00755907"/>
    <w:rsid w:val="007562DA"/>
    <w:rsid w:val="0075756B"/>
    <w:rsid w:val="00757C70"/>
    <w:rsid w:val="007601B4"/>
    <w:rsid w:val="00760281"/>
    <w:rsid w:val="0076059A"/>
    <w:rsid w:val="007627D2"/>
    <w:rsid w:val="00762C7C"/>
    <w:rsid w:val="00762E59"/>
    <w:rsid w:val="00762FBE"/>
    <w:rsid w:val="00763227"/>
    <w:rsid w:val="007634A9"/>
    <w:rsid w:val="0076356B"/>
    <w:rsid w:val="00763C28"/>
    <w:rsid w:val="00764699"/>
    <w:rsid w:val="007651EA"/>
    <w:rsid w:val="007652CE"/>
    <w:rsid w:val="007653EA"/>
    <w:rsid w:val="00765A74"/>
    <w:rsid w:val="007664E4"/>
    <w:rsid w:val="00766A7A"/>
    <w:rsid w:val="00766F78"/>
    <w:rsid w:val="007711A1"/>
    <w:rsid w:val="00771BAB"/>
    <w:rsid w:val="00771C54"/>
    <w:rsid w:val="0077234F"/>
    <w:rsid w:val="00773495"/>
    <w:rsid w:val="00773A6D"/>
    <w:rsid w:val="007740BD"/>
    <w:rsid w:val="007747BE"/>
    <w:rsid w:val="0077557B"/>
    <w:rsid w:val="00775886"/>
    <w:rsid w:val="007768DF"/>
    <w:rsid w:val="007768FB"/>
    <w:rsid w:val="00776F99"/>
    <w:rsid w:val="00777C67"/>
    <w:rsid w:val="007800A2"/>
    <w:rsid w:val="007802AD"/>
    <w:rsid w:val="0078047F"/>
    <w:rsid w:val="00780E29"/>
    <w:rsid w:val="0078108A"/>
    <w:rsid w:val="00781203"/>
    <w:rsid w:val="00781312"/>
    <w:rsid w:val="00781F73"/>
    <w:rsid w:val="00782581"/>
    <w:rsid w:val="00782FF3"/>
    <w:rsid w:val="00783189"/>
    <w:rsid w:val="007844B8"/>
    <w:rsid w:val="007845E1"/>
    <w:rsid w:val="00784ACA"/>
    <w:rsid w:val="00784C55"/>
    <w:rsid w:val="00785927"/>
    <w:rsid w:val="00785982"/>
    <w:rsid w:val="00785B2E"/>
    <w:rsid w:val="00786C20"/>
    <w:rsid w:val="00786E1B"/>
    <w:rsid w:val="00787686"/>
    <w:rsid w:val="00787E50"/>
    <w:rsid w:val="0079063F"/>
    <w:rsid w:val="007921CE"/>
    <w:rsid w:val="00792C61"/>
    <w:rsid w:val="007933E8"/>
    <w:rsid w:val="00793695"/>
    <w:rsid w:val="00793D9F"/>
    <w:rsid w:val="0079429F"/>
    <w:rsid w:val="007947CD"/>
    <w:rsid w:val="00794AA6"/>
    <w:rsid w:val="00795BE1"/>
    <w:rsid w:val="00795EF2"/>
    <w:rsid w:val="007968B8"/>
    <w:rsid w:val="00796B1B"/>
    <w:rsid w:val="00796B79"/>
    <w:rsid w:val="00797370"/>
    <w:rsid w:val="007A0B2C"/>
    <w:rsid w:val="007A0FEC"/>
    <w:rsid w:val="007A12C9"/>
    <w:rsid w:val="007A17BB"/>
    <w:rsid w:val="007A24B8"/>
    <w:rsid w:val="007A272C"/>
    <w:rsid w:val="007A2B3E"/>
    <w:rsid w:val="007A2EE6"/>
    <w:rsid w:val="007A3249"/>
    <w:rsid w:val="007A3576"/>
    <w:rsid w:val="007A37A8"/>
    <w:rsid w:val="007A4C4C"/>
    <w:rsid w:val="007A5390"/>
    <w:rsid w:val="007A584C"/>
    <w:rsid w:val="007A58FC"/>
    <w:rsid w:val="007A5982"/>
    <w:rsid w:val="007A6EEF"/>
    <w:rsid w:val="007A71AC"/>
    <w:rsid w:val="007A7AF1"/>
    <w:rsid w:val="007B0B84"/>
    <w:rsid w:val="007B18D0"/>
    <w:rsid w:val="007B1F3E"/>
    <w:rsid w:val="007B21AB"/>
    <w:rsid w:val="007B23F8"/>
    <w:rsid w:val="007B2E9D"/>
    <w:rsid w:val="007B4EE7"/>
    <w:rsid w:val="007B4FEB"/>
    <w:rsid w:val="007B53E4"/>
    <w:rsid w:val="007B5E8E"/>
    <w:rsid w:val="007B6843"/>
    <w:rsid w:val="007B7A17"/>
    <w:rsid w:val="007C0A36"/>
    <w:rsid w:val="007C0B6B"/>
    <w:rsid w:val="007C0D75"/>
    <w:rsid w:val="007C126B"/>
    <w:rsid w:val="007C1355"/>
    <w:rsid w:val="007C13B8"/>
    <w:rsid w:val="007C1E3B"/>
    <w:rsid w:val="007C2617"/>
    <w:rsid w:val="007C2FE3"/>
    <w:rsid w:val="007C3072"/>
    <w:rsid w:val="007C38C6"/>
    <w:rsid w:val="007C426C"/>
    <w:rsid w:val="007C436A"/>
    <w:rsid w:val="007C4D6B"/>
    <w:rsid w:val="007C4FEE"/>
    <w:rsid w:val="007C63CC"/>
    <w:rsid w:val="007C68B5"/>
    <w:rsid w:val="007C79A2"/>
    <w:rsid w:val="007D1457"/>
    <w:rsid w:val="007D1D5D"/>
    <w:rsid w:val="007D2511"/>
    <w:rsid w:val="007D354A"/>
    <w:rsid w:val="007D41D8"/>
    <w:rsid w:val="007D49D8"/>
    <w:rsid w:val="007D4FDA"/>
    <w:rsid w:val="007D5333"/>
    <w:rsid w:val="007D5AD8"/>
    <w:rsid w:val="007D6269"/>
    <w:rsid w:val="007D62F3"/>
    <w:rsid w:val="007D6425"/>
    <w:rsid w:val="007D7696"/>
    <w:rsid w:val="007E01D5"/>
    <w:rsid w:val="007E070C"/>
    <w:rsid w:val="007E120E"/>
    <w:rsid w:val="007E1A4C"/>
    <w:rsid w:val="007E2787"/>
    <w:rsid w:val="007E32BE"/>
    <w:rsid w:val="007E3E6B"/>
    <w:rsid w:val="007E48CF"/>
    <w:rsid w:val="007E5375"/>
    <w:rsid w:val="007E5FDC"/>
    <w:rsid w:val="007E73BE"/>
    <w:rsid w:val="007F00FF"/>
    <w:rsid w:val="007F02C2"/>
    <w:rsid w:val="007F035B"/>
    <w:rsid w:val="007F0A9F"/>
    <w:rsid w:val="007F0B46"/>
    <w:rsid w:val="007F0B4F"/>
    <w:rsid w:val="007F1946"/>
    <w:rsid w:val="007F1F59"/>
    <w:rsid w:val="007F2D88"/>
    <w:rsid w:val="007F31B2"/>
    <w:rsid w:val="007F34B6"/>
    <w:rsid w:val="007F352D"/>
    <w:rsid w:val="007F36FA"/>
    <w:rsid w:val="007F412D"/>
    <w:rsid w:val="007F446E"/>
    <w:rsid w:val="007F497E"/>
    <w:rsid w:val="007F549E"/>
    <w:rsid w:val="007F55BB"/>
    <w:rsid w:val="007F607A"/>
    <w:rsid w:val="007F6A59"/>
    <w:rsid w:val="007F6FB1"/>
    <w:rsid w:val="007F70A7"/>
    <w:rsid w:val="007F71DF"/>
    <w:rsid w:val="007F79E7"/>
    <w:rsid w:val="007F7C3E"/>
    <w:rsid w:val="0080076A"/>
    <w:rsid w:val="00800C4B"/>
    <w:rsid w:val="008011AB"/>
    <w:rsid w:val="00801EB3"/>
    <w:rsid w:val="00801F89"/>
    <w:rsid w:val="00802254"/>
    <w:rsid w:val="00803052"/>
    <w:rsid w:val="008033C2"/>
    <w:rsid w:val="0080342B"/>
    <w:rsid w:val="00803564"/>
    <w:rsid w:val="00803AF3"/>
    <w:rsid w:val="00803DB8"/>
    <w:rsid w:val="008040C7"/>
    <w:rsid w:val="0080490D"/>
    <w:rsid w:val="00804AA4"/>
    <w:rsid w:val="00805FBE"/>
    <w:rsid w:val="008065C5"/>
    <w:rsid w:val="00806A19"/>
    <w:rsid w:val="00806A3A"/>
    <w:rsid w:val="008075C2"/>
    <w:rsid w:val="00807C36"/>
    <w:rsid w:val="00810570"/>
    <w:rsid w:val="008120F8"/>
    <w:rsid w:val="00812232"/>
    <w:rsid w:val="00812242"/>
    <w:rsid w:val="00812AA1"/>
    <w:rsid w:val="008131FA"/>
    <w:rsid w:val="008133C0"/>
    <w:rsid w:val="00813723"/>
    <w:rsid w:val="00814A3A"/>
    <w:rsid w:val="00815A3E"/>
    <w:rsid w:val="008164E8"/>
    <w:rsid w:val="0081753C"/>
    <w:rsid w:val="008177EE"/>
    <w:rsid w:val="008201DE"/>
    <w:rsid w:val="008202FD"/>
    <w:rsid w:val="008204E3"/>
    <w:rsid w:val="00820BED"/>
    <w:rsid w:val="00821692"/>
    <w:rsid w:val="00821B54"/>
    <w:rsid w:val="00821D3E"/>
    <w:rsid w:val="00822091"/>
    <w:rsid w:val="00822324"/>
    <w:rsid w:val="00822725"/>
    <w:rsid w:val="00822A6D"/>
    <w:rsid w:val="00822ADF"/>
    <w:rsid w:val="00823295"/>
    <w:rsid w:val="00823311"/>
    <w:rsid w:val="00823C69"/>
    <w:rsid w:val="00824008"/>
    <w:rsid w:val="008246E3"/>
    <w:rsid w:val="008259CF"/>
    <w:rsid w:val="00825CDA"/>
    <w:rsid w:val="00825E35"/>
    <w:rsid w:val="00826235"/>
    <w:rsid w:val="00826A70"/>
    <w:rsid w:val="00826FE9"/>
    <w:rsid w:val="00827450"/>
    <w:rsid w:val="00827686"/>
    <w:rsid w:val="00827EC4"/>
    <w:rsid w:val="00827EF1"/>
    <w:rsid w:val="00830CC4"/>
    <w:rsid w:val="0083168B"/>
    <w:rsid w:val="008316B5"/>
    <w:rsid w:val="00831D33"/>
    <w:rsid w:val="008320D6"/>
    <w:rsid w:val="00832D88"/>
    <w:rsid w:val="00832F6E"/>
    <w:rsid w:val="0083338D"/>
    <w:rsid w:val="00833722"/>
    <w:rsid w:val="00833FB6"/>
    <w:rsid w:val="00834BC3"/>
    <w:rsid w:val="0083612E"/>
    <w:rsid w:val="00840A4F"/>
    <w:rsid w:val="008427FF"/>
    <w:rsid w:val="00842E35"/>
    <w:rsid w:val="00842FE7"/>
    <w:rsid w:val="00844277"/>
    <w:rsid w:val="00844434"/>
    <w:rsid w:val="00844440"/>
    <w:rsid w:val="00844781"/>
    <w:rsid w:val="00844F3B"/>
    <w:rsid w:val="0084541C"/>
    <w:rsid w:val="008455EF"/>
    <w:rsid w:val="00845891"/>
    <w:rsid w:val="00845B33"/>
    <w:rsid w:val="0084695A"/>
    <w:rsid w:val="00846CBF"/>
    <w:rsid w:val="00846F7E"/>
    <w:rsid w:val="00850E08"/>
    <w:rsid w:val="00850E16"/>
    <w:rsid w:val="00852018"/>
    <w:rsid w:val="008543E8"/>
    <w:rsid w:val="00855F5C"/>
    <w:rsid w:val="00856121"/>
    <w:rsid w:val="0085633C"/>
    <w:rsid w:val="0085687B"/>
    <w:rsid w:val="008571BE"/>
    <w:rsid w:val="00860AF0"/>
    <w:rsid w:val="00860CD4"/>
    <w:rsid w:val="008610C4"/>
    <w:rsid w:val="008618B2"/>
    <w:rsid w:val="00861AAE"/>
    <w:rsid w:val="0086237B"/>
    <w:rsid w:val="008626CE"/>
    <w:rsid w:val="00862760"/>
    <w:rsid w:val="00862E0B"/>
    <w:rsid w:val="00863783"/>
    <w:rsid w:val="008665BE"/>
    <w:rsid w:val="00867A25"/>
    <w:rsid w:val="008700BA"/>
    <w:rsid w:val="00873666"/>
    <w:rsid w:val="00873CE0"/>
    <w:rsid w:val="0087426E"/>
    <w:rsid w:val="008742F0"/>
    <w:rsid w:val="00874736"/>
    <w:rsid w:val="008748B4"/>
    <w:rsid w:val="00874AE1"/>
    <w:rsid w:val="00874FD4"/>
    <w:rsid w:val="008751F6"/>
    <w:rsid w:val="00875CD5"/>
    <w:rsid w:val="008765CE"/>
    <w:rsid w:val="008765FD"/>
    <w:rsid w:val="00876854"/>
    <w:rsid w:val="00876986"/>
    <w:rsid w:val="008769F5"/>
    <w:rsid w:val="008804BC"/>
    <w:rsid w:val="00880D1A"/>
    <w:rsid w:val="00880D91"/>
    <w:rsid w:val="00881644"/>
    <w:rsid w:val="00881A89"/>
    <w:rsid w:val="00881D81"/>
    <w:rsid w:val="00881E2C"/>
    <w:rsid w:val="00881EBE"/>
    <w:rsid w:val="00882F2B"/>
    <w:rsid w:val="00883566"/>
    <w:rsid w:val="008849FF"/>
    <w:rsid w:val="00884ED9"/>
    <w:rsid w:val="008859AC"/>
    <w:rsid w:val="00885FDE"/>
    <w:rsid w:val="008869C8"/>
    <w:rsid w:val="00886AC3"/>
    <w:rsid w:val="0088742F"/>
    <w:rsid w:val="00891277"/>
    <w:rsid w:val="008913E4"/>
    <w:rsid w:val="00891510"/>
    <w:rsid w:val="00894760"/>
    <w:rsid w:val="00895445"/>
    <w:rsid w:val="00895EB0"/>
    <w:rsid w:val="00896181"/>
    <w:rsid w:val="00896553"/>
    <w:rsid w:val="00896574"/>
    <w:rsid w:val="008974FE"/>
    <w:rsid w:val="008979C1"/>
    <w:rsid w:val="00897EA8"/>
    <w:rsid w:val="008A0025"/>
    <w:rsid w:val="008A1437"/>
    <w:rsid w:val="008A1E3E"/>
    <w:rsid w:val="008A2094"/>
    <w:rsid w:val="008A2249"/>
    <w:rsid w:val="008A2D55"/>
    <w:rsid w:val="008A337D"/>
    <w:rsid w:val="008A338C"/>
    <w:rsid w:val="008A37BA"/>
    <w:rsid w:val="008A4178"/>
    <w:rsid w:val="008A4E18"/>
    <w:rsid w:val="008A571F"/>
    <w:rsid w:val="008A5D2A"/>
    <w:rsid w:val="008A64F4"/>
    <w:rsid w:val="008A674D"/>
    <w:rsid w:val="008A6954"/>
    <w:rsid w:val="008A78EC"/>
    <w:rsid w:val="008A7991"/>
    <w:rsid w:val="008A7C07"/>
    <w:rsid w:val="008B0DAE"/>
    <w:rsid w:val="008B0E67"/>
    <w:rsid w:val="008B1181"/>
    <w:rsid w:val="008B11C9"/>
    <w:rsid w:val="008B155F"/>
    <w:rsid w:val="008B1863"/>
    <w:rsid w:val="008B1BC6"/>
    <w:rsid w:val="008B4E63"/>
    <w:rsid w:val="008B5355"/>
    <w:rsid w:val="008B57A0"/>
    <w:rsid w:val="008B6B71"/>
    <w:rsid w:val="008B778A"/>
    <w:rsid w:val="008C0158"/>
    <w:rsid w:val="008C1690"/>
    <w:rsid w:val="008C174F"/>
    <w:rsid w:val="008C1E3A"/>
    <w:rsid w:val="008C2D37"/>
    <w:rsid w:val="008C2EEB"/>
    <w:rsid w:val="008C3F3A"/>
    <w:rsid w:val="008C44E7"/>
    <w:rsid w:val="008C4902"/>
    <w:rsid w:val="008C5042"/>
    <w:rsid w:val="008C544B"/>
    <w:rsid w:val="008C7B5F"/>
    <w:rsid w:val="008D0610"/>
    <w:rsid w:val="008D1243"/>
    <w:rsid w:val="008D1581"/>
    <w:rsid w:val="008D1BAD"/>
    <w:rsid w:val="008D1C55"/>
    <w:rsid w:val="008D2875"/>
    <w:rsid w:val="008D33E2"/>
    <w:rsid w:val="008D4019"/>
    <w:rsid w:val="008D401D"/>
    <w:rsid w:val="008D47D2"/>
    <w:rsid w:val="008D51F3"/>
    <w:rsid w:val="008D634A"/>
    <w:rsid w:val="008D677C"/>
    <w:rsid w:val="008D7D61"/>
    <w:rsid w:val="008E051D"/>
    <w:rsid w:val="008E0F34"/>
    <w:rsid w:val="008E10AE"/>
    <w:rsid w:val="008E1E03"/>
    <w:rsid w:val="008E2B3B"/>
    <w:rsid w:val="008E322B"/>
    <w:rsid w:val="008E4A0D"/>
    <w:rsid w:val="008E4C5F"/>
    <w:rsid w:val="008E4EA8"/>
    <w:rsid w:val="008E6591"/>
    <w:rsid w:val="008E7142"/>
    <w:rsid w:val="008E7805"/>
    <w:rsid w:val="008E7D7F"/>
    <w:rsid w:val="008F093F"/>
    <w:rsid w:val="008F1B64"/>
    <w:rsid w:val="008F2A12"/>
    <w:rsid w:val="008F431C"/>
    <w:rsid w:val="008F43B7"/>
    <w:rsid w:val="008F4901"/>
    <w:rsid w:val="008F5289"/>
    <w:rsid w:val="008F5430"/>
    <w:rsid w:val="008F56DB"/>
    <w:rsid w:val="008F6AD8"/>
    <w:rsid w:val="008F79E8"/>
    <w:rsid w:val="008F7F13"/>
    <w:rsid w:val="0090039A"/>
    <w:rsid w:val="0090108A"/>
    <w:rsid w:val="00901219"/>
    <w:rsid w:val="00901BA6"/>
    <w:rsid w:val="009022C2"/>
    <w:rsid w:val="009042CC"/>
    <w:rsid w:val="00904571"/>
    <w:rsid w:val="00904C14"/>
    <w:rsid w:val="00906134"/>
    <w:rsid w:val="00907160"/>
    <w:rsid w:val="009076A8"/>
    <w:rsid w:val="00907EF2"/>
    <w:rsid w:val="009109D0"/>
    <w:rsid w:val="00910D95"/>
    <w:rsid w:val="009127A4"/>
    <w:rsid w:val="00912AE9"/>
    <w:rsid w:val="00913D5F"/>
    <w:rsid w:val="00914A3B"/>
    <w:rsid w:val="00914FAE"/>
    <w:rsid w:val="009159B2"/>
    <w:rsid w:val="00916028"/>
    <w:rsid w:val="0091695C"/>
    <w:rsid w:val="00916A3B"/>
    <w:rsid w:val="009177FB"/>
    <w:rsid w:val="009179D3"/>
    <w:rsid w:val="00917B96"/>
    <w:rsid w:val="00920866"/>
    <w:rsid w:val="00920B25"/>
    <w:rsid w:val="00920BBD"/>
    <w:rsid w:val="00921142"/>
    <w:rsid w:val="00921D13"/>
    <w:rsid w:val="00922190"/>
    <w:rsid w:val="00922DDF"/>
    <w:rsid w:val="00922E34"/>
    <w:rsid w:val="00924AE3"/>
    <w:rsid w:val="00925876"/>
    <w:rsid w:val="009259EF"/>
    <w:rsid w:val="0092646E"/>
    <w:rsid w:val="009310B5"/>
    <w:rsid w:val="00931611"/>
    <w:rsid w:val="00931C72"/>
    <w:rsid w:val="009329AE"/>
    <w:rsid w:val="00933C53"/>
    <w:rsid w:val="00934C83"/>
    <w:rsid w:val="00936387"/>
    <w:rsid w:val="009369AE"/>
    <w:rsid w:val="00940631"/>
    <w:rsid w:val="0094084C"/>
    <w:rsid w:val="00940A96"/>
    <w:rsid w:val="00942615"/>
    <w:rsid w:val="00943AC1"/>
    <w:rsid w:val="0094439D"/>
    <w:rsid w:val="0094478C"/>
    <w:rsid w:val="00944AFA"/>
    <w:rsid w:val="009454B0"/>
    <w:rsid w:val="00945650"/>
    <w:rsid w:val="00945FE2"/>
    <w:rsid w:val="0094621D"/>
    <w:rsid w:val="0094FA04"/>
    <w:rsid w:val="0095025E"/>
    <w:rsid w:val="00950727"/>
    <w:rsid w:val="009508E4"/>
    <w:rsid w:val="00951FDB"/>
    <w:rsid w:val="009520FA"/>
    <w:rsid w:val="009522DA"/>
    <w:rsid w:val="00953E02"/>
    <w:rsid w:val="00954323"/>
    <w:rsid w:val="00954BC2"/>
    <w:rsid w:val="009567B8"/>
    <w:rsid w:val="00957C0D"/>
    <w:rsid w:val="00957E7E"/>
    <w:rsid w:val="00960D34"/>
    <w:rsid w:val="009611D2"/>
    <w:rsid w:val="009621A0"/>
    <w:rsid w:val="00962BC2"/>
    <w:rsid w:val="00963879"/>
    <w:rsid w:val="00964224"/>
    <w:rsid w:val="00964C08"/>
    <w:rsid w:val="00965913"/>
    <w:rsid w:val="00965A34"/>
    <w:rsid w:val="00965BA8"/>
    <w:rsid w:val="009661D7"/>
    <w:rsid w:val="0096696A"/>
    <w:rsid w:val="00966A16"/>
    <w:rsid w:val="00967201"/>
    <w:rsid w:val="00967C74"/>
    <w:rsid w:val="00971D04"/>
    <w:rsid w:val="00971FDA"/>
    <w:rsid w:val="009722A8"/>
    <w:rsid w:val="009724BE"/>
    <w:rsid w:val="00972548"/>
    <w:rsid w:val="009728FF"/>
    <w:rsid w:val="0097383A"/>
    <w:rsid w:val="009744DC"/>
    <w:rsid w:val="00974888"/>
    <w:rsid w:val="00974B47"/>
    <w:rsid w:val="00974D53"/>
    <w:rsid w:val="00974D5D"/>
    <w:rsid w:val="009751CB"/>
    <w:rsid w:val="009760C4"/>
    <w:rsid w:val="00976E27"/>
    <w:rsid w:val="009772A5"/>
    <w:rsid w:val="00977550"/>
    <w:rsid w:val="00980B5D"/>
    <w:rsid w:val="00981173"/>
    <w:rsid w:val="00981A75"/>
    <w:rsid w:val="00981F83"/>
    <w:rsid w:val="00982633"/>
    <w:rsid w:val="00982EF4"/>
    <w:rsid w:val="009841A8"/>
    <w:rsid w:val="009842F5"/>
    <w:rsid w:val="009868BE"/>
    <w:rsid w:val="00986B64"/>
    <w:rsid w:val="00986EFA"/>
    <w:rsid w:val="009873CF"/>
    <w:rsid w:val="009876A4"/>
    <w:rsid w:val="00987B3F"/>
    <w:rsid w:val="00987D9D"/>
    <w:rsid w:val="009901C9"/>
    <w:rsid w:val="00990F4E"/>
    <w:rsid w:val="009917E9"/>
    <w:rsid w:val="00991DF7"/>
    <w:rsid w:val="00992416"/>
    <w:rsid w:val="0099300A"/>
    <w:rsid w:val="00993789"/>
    <w:rsid w:val="00993B73"/>
    <w:rsid w:val="009948F8"/>
    <w:rsid w:val="00994B4C"/>
    <w:rsid w:val="00994F61"/>
    <w:rsid w:val="009951DD"/>
    <w:rsid w:val="0099574C"/>
    <w:rsid w:val="00995868"/>
    <w:rsid w:val="00996057"/>
    <w:rsid w:val="00996394"/>
    <w:rsid w:val="00996C89"/>
    <w:rsid w:val="009974D8"/>
    <w:rsid w:val="009979B9"/>
    <w:rsid w:val="009A0226"/>
    <w:rsid w:val="009A03C7"/>
    <w:rsid w:val="009A0703"/>
    <w:rsid w:val="009A1399"/>
    <w:rsid w:val="009A17BE"/>
    <w:rsid w:val="009A1974"/>
    <w:rsid w:val="009A1EE3"/>
    <w:rsid w:val="009A22FD"/>
    <w:rsid w:val="009A2ED6"/>
    <w:rsid w:val="009A31E7"/>
    <w:rsid w:val="009A4807"/>
    <w:rsid w:val="009A49C4"/>
    <w:rsid w:val="009A51BA"/>
    <w:rsid w:val="009A546A"/>
    <w:rsid w:val="009A621C"/>
    <w:rsid w:val="009A6677"/>
    <w:rsid w:val="009A6A3D"/>
    <w:rsid w:val="009A6C66"/>
    <w:rsid w:val="009A6EF9"/>
    <w:rsid w:val="009A7B5B"/>
    <w:rsid w:val="009A7BBC"/>
    <w:rsid w:val="009B206E"/>
    <w:rsid w:val="009B26B8"/>
    <w:rsid w:val="009B2A11"/>
    <w:rsid w:val="009B3144"/>
    <w:rsid w:val="009B367D"/>
    <w:rsid w:val="009B5581"/>
    <w:rsid w:val="009B5940"/>
    <w:rsid w:val="009B5DC8"/>
    <w:rsid w:val="009B63ED"/>
    <w:rsid w:val="009B6A99"/>
    <w:rsid w:val="009B70DF"/>
    <w:rsid w:val="009B710D"/>
    <w:rsid w:val="009B7E47"/>
    <w:rsid w:val="009C01E4"/>
    <w:rsid w:val="009C298E"/>
    <w:rsid w:val="009C2F75"/>
    <w:rsid w:val="009C3862"/>
    <w:rsid w:val="009C4171"/>
    <w:rsid w:val="009C475C"/>
    <w:rsid w:val="009C48C0"/>
    <w:rsid w:val="009C5015"/>
    <w:rsid w:val="009C5878"/>
    <w:rsid w:val="009C5AE3"/>
    <w:rsid w:val="009C60A5"/>
    <w:rsid w:val="009C75C9"/>
    <w:rsid w:val="009D044A"/>
    <w:rsid w:val="009D0E51"/>
    <w:rsid w:val="009D1492"/>
    <w:rsid w:val="009D169E"/>
    <w:rsid w:val="009D17E7"/>
    <w:rsid w:val="009D23FF"/>
    <w:rsid w:val="009D2602"/>
    <w:rsid w:val="009D27B1"/>
    <w:rsid w:val="009D320A"/>
    <w:rsid w:val="009D3234"/>
    <w:rsid w:val="009D41B7"/>
    <w:rsid w:val="009D47BF"/>
    <w:rsid w:val="009D5CA7"/>
    <w:rsid w:val="009D65CD"/>
    <w:rsid w:val="009D6E2E"/>
    <w:rsid w:val="009D7298"/>
    <w:rsid w:val="009E03C7"/>
    <w:rsid w:val="009E12B5"/>
    <w:rsid w:val="009E35CE"/>
    <w:rsid w:val="009E3C1C"/>
    <w:rsid w:val="009E3DEF"/>
    <w:rsid w:val="009E3F6F"/>
    <w:rsid w:val="009E6ACB"/>
    <w:rsid w:val="009E7443"/>
    <w:rsid w:val="009F1043"/>
    <w:rsid w:val="009F29B0"/>
    <w:rsid w:val="009F2D78"/>
    <w:rsid w:val="009F36CA"/>
    <w:rsid w:val="009F4BD6"/>
    <w:rsid w:val="009F4FE2"/>
    <w:rsid w:val="009F5854"/>
    <w:rsid w:val="009F58F9"/>
    <w:rsid w:val="009F6167"/>
    <w:rsid w:val="009F706B"/>
    <w:rsid w:val="009F752A"/>
    <w:rsid w:val="00A00110"/>
    <w:rsid w:val="00A003BE"/>
    <w:rsid w:val="00A00424"/>
    <w:rsid w:val="00A00EE1"/>
    <w:rsid w:val="00A022AB"/>
    <w:rsid w:val="00A02B33"/>
    <w:rsid w:val="00A030A7"/>
    <w:rsid w:val="00A03435"/>
    <w:rsid w:val="00A03567"/>
    <w:rsid w:val="00A0385F"/>
    <w:rsid w:val="00A04EBB"/>
    <w:rsid w:val="00A06C2D"/>
    <w:rsid w:val="00A07626"/>
    <w:rsid w:val="00A079D0"/>
    <w:rsid w:val="00A10618"/>
    <w:rsid w:val="00A10A5A"/>
    <w:rsid w:val="00A10B87"/>
    <w:rsid w:val="00A10CAB"/>
    <w:rsid w:val="00A11132"/>
    <w:rsid w:val="00A11756"/>
    <w:rsid w:val="00A11969"/>
    <w:rsid w:val="00A11E92"/>
    <w:rsid w:val="00A12497"/>
    <w:rsid w:val="00A127E1"/>
    <w:rsid w:val="00A12A19"/>
    <w:rsid w:val="00A14FEA"/>
    <w:rsid w:val="00A157B9"/>
    <w:rsid w:val="00A158FB"/>
    <w:rsid w:val="00A1712E"/>
    <w:rsid w:val="00A17930"/>
    <w:rsid w:val="00A17EC3"/>
    <w:rsid w:val="00A17F2D"/>
    <w:rsid w:val="00A20667"/>
    <w:rsid w:val="00A21221"/>
    <w:rsid w:val="00A218FB"/>
    <w:rsid w:val="00A21CDD"/>
    <w:rsid w:val="00A22348"/>
    <w:rsid w:val="00A23A48"/>
    <w:rsid w:val="00A243D6"/>
    <w:rsid w:val="00A24C62"/>
    <w:rsid w:val="00A254EC"/>
    <w:rsid w:val="00A25860"/>
    <w:rsid w:val="00A25F51"/>
    <w:rsid w:val="00A26182"/>
    <w:rsid w:val="00A26575"/>
    <w:rsid w:val="00A265A2"/>
    <w:rsid w:val="00A2768F"/>
    <w:rsid w:val="00A30382"/>
    <w:rsid w:val="00A30CEC"/>
    <w:rsid w:val="00A32604"/>
    <w:rsid w:val="00A326F6"/>
    <w:rsid w:val="00A32EF3"/>
    <w:rsid w:val="00A33959"/>
    <w:rsid w:val="00A35312"/>
    <w:rsid w:val="00A354C8"/>
    <w:rsid w:val="00A407E6"/>
    <w:rsid w:val="00A417AE"/>
    <w:rsid w:val="00A41FF2"/>
    <w:rsid w:val="00A420A7"/>
    <w:rsid w:val="00A4249A"/>
    <w:rsid w:val="00A42592"/>
    <w:rsid w:val="00A4260A"/>
    <w:rsid w:val="00A42F4E"/>
    <w:rsid w:val="00A43345"/>
    <w:rsid w:val="00A440A8"/>
    <w:rsid w:val="00A447E6"/>
    <w:rsid w:val="00A44D15"/>
    <w:rsid w:val="00A45F34"/>
    <w:rsid w:val="00A461F3"/>
    <w:rsid w:val="00A463E3"/>
    <w:rsid w:val="00A4762A"/>
    <w:rsid w:val="00A479B9"/>
    <w:rsid w:val="00A500A6"/>
    <w:rsid w:val="00A50A88"/>
    <w:rsid w:val="00A50AD6"/>
    <w:rsid w:val="00A50D0F"/>
    <w:rsid w:val="00A50E2B"/>
    <w:rsid w:val="00A51495"/>
    <w:rsid w:val="00A54097"/>
    <w:rsid w:val="00A541FB"/>
    <w:rsid w:val="00A54694"/>
    <w:rsid w:val="00A5700F"/>
    <w:rsid w:val="00A57661"/>
    <w:rsid w:val="00A57EC0"/>
    <w:rsid w:val="00A60E34"/>
    <w:rsid w:val="00A61AD9"/>
    <w:rsid w:val="00A61E91"/>
    <w:rsid w:val="00A61F14"/>
    <w:rsid w:val="00A62074"/>
    <w:rsid w:val="00A62419"/>
    <w:rsid w:val="00A625A8"/>
    <w:rsid w:val="00A62606"/>
    <w:rsid w:val="00A62AC0"/>
    <w:rsid w:val="00A62EA7"/>
    <w:rsid w:val="00A6459E"/>
    <w:rsid w:val="00A64686"/>
    <w:rsid w:val="00A64CAE"/>
    <w:rsid w:val="00A64D50"/>
    <w:rsid w:val="00A6578C"/>
    <w:rsid w:val="00A71A0A"/>
    <w:rsid w:val="00A72227"/>
    <w:rsid w:val="00A72CC1"/>
    <w:rsid w:val="00A73E12"/>
    <w:rsid w:val="00A748F2"/>
    <w:rsid w:val="00A74939"/>
    <w:rsid w:val="00A75B57"/>
    <w:rsid w:val="00A76AED"/>
    <w:rsid w:val="00A77559"/>
    <w:rsid w:val="00A77B52"/>
    <w:rsid w:val="00A77BE7"/>
    <w:rsid w:val="00A80044"/>
    <w:rsid w:val="00A8118D"/>
    <w:rsid w:val="00A81845"/>
    <w:rsid w:val="00A8271D"/>
    <w:rsid w:val="00A82B34"/>
    <w:rsid w:val="00A83611"/>
    <w:rsid w:val="00A84B0A"/>
    <w:rsid w:val="00A84B21"/>
    <w:rsid w:val="00A8580C"/>
    <w:rsid w:val="00A85A45"/>
    <w:rsid w:val="00A85F3E"/>
    <w:rsid w:val="00A86486"/>
    <w:rsid w:val="00A86A92"/>
    <w:rsid w:val="00A86CEB"/>
    <w:rsid w:val="00A87A4D"/>
    <w:rsid w:val="00A90AA5"/>
    <w:rsid w:val="00A90CC9"/>
    <w:rsid w:val="00A912BA"/>
    <w:rsid w:val="00A916BF"/>
    <w:rsid w:val="00A9173B"/>
    <w:rsid w:val="00A924F3"/>
    <w:rsid w:val="00A92AF0"/>
    <w:rsid w:val="00A94369"/>
    <w:rsid w:val="00A94956"/>
    <w:rsid w:val="00A94980"/>
    <w:rsid w:val="00A95D77"/>
    <w:rsid w:val="00A95FC4"/>
    <w:rsid w:val="00A97923"/>
    <w:rsid w:val="00AA0036"/>
    <w:rsid w:val="00AA0650"/>
    <w:rsid w:val="00AA0D72"/>
    <w:rsid w:val="00AA0E31"/>
    <w:rsid w:val="00AA1279"/>
    <w:rsid w:val="00AA1803"/>
    <w:rsid w:val="00AA1D47"/>
    <w:rsid w:val="00AA20EA"/>
    <w:rsid w:val="00AA2347"/>
    <w:rsid w:val="00AA3297"/>
    <w:rsid w:val="00AA3392"/>
    <w:rsid w:val="00AA3C7C"/>
    <w:rsid w:val="00AA402F"/>
    <w:rsid w:val="00AA4412"/>
    <w:rsid w:val="00AA446F"/>
    <w:rsid w:val="00AA56E9"/>
    <w:rsid w:val="00AA59A6"/>
    <w:rsid w:val="00AA739B"/>
    <w:rsid w:val="00AB0D80"/>
    <w:rsid w:val="00AB16D9"/>
    <w:rsid w:val="00AB1C49"/>
    <w:rsid w:val="00AB1FC8"/>
    <w:rsid w:val="00AB23F3"/>
    <w:rsid w:val="00AB284D"/>
    <w:rsid w:val="00AB2BC5"/>
    <w:rsid w:val="00AB2C64"/>
    <w:rsid w:val="00AB2F02"/>
    <w:rsid w:val="00AB304E"/>
    <w:rsid w:val="00AB3E37"/>
    <w:rsid w:val="00AB5892"/>
    <w:rsid w:val="00AB5E37"/>
    <w:rsid w:val="00AB684C"/>
    <w:rsid w:val="00AB6C17"/>
    <w:rsid w:val="00AB6DEC"/>
    <w:rsid w:val="00AB7843"/>
    <w:rsid w:val="00AC0A9D"/>
    <w:rsid w:val="00AC0C9E"/>
    <w:rsid w:val="00AC13DA"/>
    <w:rsid w:val="00AC188E"/>
    <w:rsid w:val="00AC20C0"/>
    <w:rsid w:val="00AC2876"/>
    <w:rsid w:val="00AC3349"/>
    <w:rsid w:val="00AC33C8"/>
    <w:rsid w:val="00AC449A"/>
    <w:rsid w:val="00AC4C13"/>
    <w:rsid w:val="00AC4C74"/>
    <w:rsid w:val="00AC4CD2"/>
    <w:rsid w:val="00AC5D5B"/>
    <w:rsid w:val="00AC6007"/>
    <w:rsid w:val="00AC6800"/>
    <w:rsid w:val="00AC7BE1"/>
    <w:rsid w:val="00AD059B"/>
    <w:rsid w:val="00AD08A0"/>
    <w:rsid w:val="00AD102A"/>
    <w:rsid w:val="00AD1502"/>
    <w:rsid w:val="00AD1796"/>
    <w:rsid w:val="00AD1974"/>
    <w:rsid w:val="00AD1AF8"/>
    <w:rsid w:val="00AD1E8B"/>
    <w:rsid w:val="00AD215C"/>
    <w:rsid w:val="00AD2353"/>
    <w:rsid w:val="00AD239A"/>
    <w:rsid w:val="00AD26D4"/>
    <w:rsid w:val="00AD2928"/>
    <w:rsid w:val="00AD3102"/>
    <w:rsid w:val="00AD3EDC"/>
    <w:rsid w:val="00AD40D2"/>
    <w:rsid w:val="00AD4BF1"/>
    <w:rsid w:val="00AD4CE8"/>
    <w:rsid w:val="00AD505E"/>
    <w:rsid w:val="00AD5CCC"/>
    <w:rsid w:val="00AD6968"/>
    <w:rsid w:val="00AD6CC5"/>
    <w:rsid w:val="00AD713A"/>
    <w:rsid w:val="00AD7E0B"/>
    <w:rsid w:val="00AE0E58"/>
    <w:rsid w:val="00AE1976"/>
    <w:rsid w:val="00AE1AA6"/>
    <w:rsid w:val="00AE1BBC"/>
    <w:rsid w:val="00AE441E"/>
    <w:rsid w:val="00AE4628"/>
    <w:rsid w:val="00AE4C58"/>
    <w:rsid w:val="00AE57EE"/>
    <w:rsid w:val="00AE594A"/>
    <w:rsid w:val="00AE69B6"/>
    <w:rsid w:val="00AE7C04"/>
    <w:rsid w:val="00AF0189"/>
    <w:rsid w:val="00AF061D"/>
    <w:rsid w:val="00AF12CE"/>
    <w:rsid w:val="00AF2E07"/>
    <w:rsid w:val="00AF3FE0"/>
    <w:rsid w:val="00AF45EB"/>
    <w:rsid w:val="00AF4794"/>
    <w:rsid w:val="00AF695E"/>
    <w:rsid w:val="00AF6D8A"/>
    <w:rsid w:val="00AF7191"/>
    <w:rsid w:val="00AF729B"/>
    <w:rsid w:val="00AF7C74"/>
    <w:rsid w:val="00B001EB"/>
    <w:rsid w:val="00B004D7"/>
    <w:rsid w:val="00B004F9"/>
    <w:rsid w:val="00B00586"/>
    <w:rsid w:val="00B00972"/>
    <w:rsid w:val="00B0098B"/>
    <w:rsid w:val="00B01608"/>
    <w:rsid w:val="00B02117"/>
    <w:rsid w:val="00B0271B"/>
    <w:rsid w:val="00B035BE"/>
    <w:rsid w:val="00B03B2B"/>
    <w:rsid w:val="00B041BF"/>
    <w:rsid w:val="00B0531C"/>
    <w:rsid w:val="00B06B70"/>
    <w:rsid w:val="00B12D75"/>
    <w:rsid w:val="00B16106"/>
    <w:rsid w:val="00B16A33"/>
    <w:rsid w:val="00B17AC0"/>
    <w:rsid w:val="00B17B7B"/>
    <w:rsid w:val="00B17D41"/>
    <w:rsid w:val="00B20C96"/>
    <w:rsid w:val="00B21333"/>
    <w:rsid w:val="00B217BC"/>
    <w:rsid w:val="00B22137"/>
    <w:rsid w:val="00B24AD9"/>
    <w:rsid w:val="00B250B3"/>
    <w:rsid w:val="00B254C7"/>
    <w:rsid w:val="00B25959"/>
    <w:rsid w:val="00B267CA"/>
    <w:rsid w:val="00B26FD0"/>
    <w:rsid w:val="00B2728D"/>
    <w:rsid w:val="00B27488"/>
    <w:rsid w:val="00B314FA"/>
    <w:rsid w:val="00B32A7C"/>
    <w:rsid w:val="00B345DC"/>
    <w:rsid w:val="00B348F4"/>
    <w:rsid w:val="00B3572E"/>
    <w:rsid w:val="00B3661F"/>
    <w:rsid w:val="00B37222"/>
    <w:rsid w:val="00B40734"/>
    <w:rsid w:val="00B40BD4"/>
    <w:rsid w:val="00B40C90"/>
    <w:rsid w:val="00B41FAA"/>
    <w:rsid w:val="00B42C37"/>
    <w:rsid w:val="00B44BE0"/>
    <w:rsid w:val="00B44C4F"/>
    <w:rsid w:val="00B44EFF"/>
    <w:rsid w:val="00B46829"/>
    <w:rsid w:val="00B46967"/>
    <w:rsid w:val="00B46F12"/>
    <w:rsid w:val="00B4722D"/>
    <w:rsid w:val="00B5083B"/>
    <w:rsid w:val="00B5134D"/>
    <w:rsid w:val="00B516F5"/>
    <w:rsid w:val="00B527F0"/>
    <w:rsid w:val="00B5413B"/>
    <w:rsid w:val="00B54341"/>
    <w:rsid w:val="00B559F2"/>
    <w:rsid w:val="00B56C94"/>
    <w:rsid w:val="00B56F99"/>
    <w:rsid w:val="00B57130"/>
    <w:rsid w:val="00B57220"/>
    <w:rsid w:val="00B57242"/>
    <w:rsid w:val="00B57816"/>
    <w:rsid w:val="00B57B0D"/>
    <w:rsid w:val="00B57D82"/>
    <w:rsid w:val="00B57FF4"/>
    <w:rsid w:val="00B6087C"/>
    <w:rsid w:val="00B60E4E"/>
    <w:rsid w:val="00B61973"/>
    <w:rsid w:val="00B61ED6"/>
    <w:rsid w:val="00B61F6A"/>
    <w:rsid w:val="00B62E41"/>
    <w:rsid w:val="00B6403E"/>
    <w:rsid w:val="00B642E4"/>
    <w:rsid w:val="00B649C8"/>
    <w:rsid w:val="00B65E5A"/>
    <w:rsid w:val="00B66C2A"/>
    <w:rsid w:val="00B672D5"/>
    <w:rsid w:val="00B6741C"/>
    <w:rsid w:val="00B6764C"/>
    <w:rsid w:val="00B70AD6"/>
    <w:rsid w:val="00B710C6"/>
    <w:rsid w:val="00B71940"/>
    <w:rsid w:val="00B72D36"/>
    <w:rsid w:val="00B735E5"/>
    <w:rsid w:val="00B73FB9"/>
    <w:rsid w:val="00B743E8"/>
    <w:rsid w:val="00B75FEC"/>
    <w:rsid w:val="00B76239"/>
    <w:rsid w:val="00B775F5"/>
    <w:rsid w:val="00B808E4"/>
    <w:rsid w:val="00B80BD3"/>
    <w:rsid w:val="00B810C9"/>
    <w:rsid w:val="00B81A7D"/>
    <w:rsid w:val="00B81B5F"/>
    <w:rsid w:val="00B81E52"/>
    <w:rsid w:val="00B823A3"/>
    <w:rsid w:val="00B8276F"/>
    <w:rsid w:val="00B83729"/>
    <w:rsid w:val="00B839FB"/>
    <w:rsid w:val="00B83DFF"/>
    <w:rsid w:val="00B84A9F"/>
    <w:rsid w:val="00B85C12"/>
    <w:rsid w:val="00B85C64"/>
    <w:rsid w:val="00B860A3"/>
    <w:rsid w:val="00B8620B"/>
    <w:rsid w:val="00B87949"/>
    <w:rsid w:val="00B909F2"/>
    <w:rsid w:val="00B90ACD"/>
    <w:rsid w:val="00B915F2"/>
    <w:rsid w:val="00B91998"/>
    <w:rsid w:val="00B91CCE"/>
    <w:rsid w:val="00B928DE"/>
    <w:rsid w:val="00B92912"/>
    <w:rsid w:val="00B92BEA"/>
    <w:rsid w:val="00B93B6E"/>
    <w:rsid w:val="00B95605"/>
    <w:rsid w:val="00B95B3D"/>
    <w:rsid w:val="00B968AA"/>
    <w:rsid w:val="00B96B6A"/>
    <w:rsid w:val="00BA0135"/>
    <w:rsid w:val="00BA0943"/>
    <w:rsid w:val="00BA0C81"/>
    <w:rsid w:val="00BA1475"/>
    <w:rsid w:val="00BA1F04"/>
    <w:rsid w:val="00BA21E1"/>
    <w:rsid w:val="00BA23ED"/>
    <w:rsid w:val="00BA256C"/>
    <w:rsid w:val="00BA3D09"/>
    <w:rsid w:val="00BA423F"/>
    <w:rsid w:val="00BA491C"/>
    <w:rsid w:val="00BA5596"/>
    <w:rsid w:val="00BA600F"/>
    <w:rsid w:val="00BA60A8"/>
    <w:rsid w:val="00BA64E8"/>
    <w:rsid w:val="00BA6512"/>
    <w:rsid w:val="00BA7472"/>
    <w:rsid w:val="00BA7513"/>
    <w:rsid w:val="00BA75BB"/>
    <w:rsid w:val="00BA7CD8"/>
    <w:rsid w:val="00BB0343"/>
    <w:rsid w:val="00BB096E"/>
    <w:rsid w:val="00BB09F8"/>
    <w:rsid w:val="00BB0DDB"/>
    <w:rsid w:val="00BB19E2"/>
    <w:rsid w:val="00BB1E34"/>
    <w:rsid w:val="00BB235B"/>
    <w:rsid w:val="00BB27EB"/>
    <w:rsid w:val="00BB344E"/>
    <w:rsid w:val="00BB391B"/>
    <w:rsid w:val="00BB3CBD"/>
    <w:rsid w:val="00BB458D"/>
    <w:rsid w:val="00BB5CDE"/>
    <w:rsid w:val="00BB6000"/>
    <w:rsid w:val="00BB600D"/>
    <w:rsid w:val="00BB637B"/>
    <w:rsid w:val="00BB72F4"/>
    <w:rsid w:val="00BB7849"/>
    <w:rsid w:val="00BB7A3F"/>
    <w:rsid w:val="00BB7D5B"/>
    <w:rsid w:val="00BC0825"/>
    <w:rsid w:val="00BC0BB3"/>
    <w:rsid w:val="00BC0E8D"/>
    <w:rsid w:val="00BC10BC"/>
    <w:rsid w:val="00BC1490"/>
    <w:rsid w:val="00BC17C3"/>
    <w:rsid w:val="00BC1A27"/>
    <w:rsid w:val="00BC23FB"/>
    <w:rsid w:val="00BC2458"/>
    <w:rsid w:val="00BC3DF4"/>
    <w:rsid w:val="00BC557F"/>
    <w:rsid w:val="00BC562D"/>
    <w:rsid w:val="00BC608D"/>
    <w:rsid w:val="00BC6254"/>
    <w:rsid w:val="00BC772D"/>
    <w:rsid w:val="00BD05FC"/>
    <w:rsid w:val="00BD07B0"/>
    <w:rsid w:val="00BD1A74"/>
    <w:rsid w:val="00BD1F5D"/>
    <w:rsid w:val="00BD2181"/>
    <w:rsid w:val="00BD2B8D"/>
    <w:rsid w:val="00BD3834"/>
    <w:rsid w:val="00BD5923"/>
    <w:rsid w:val="00BD6750"/>
    <w:rsid w:val="00BD7018"/>
    <w:rsid w:val="00BD7A6B"/>
    <w:rsid w:val="00BD7D58"/>
    <w:rsid w:val="00BD7DD0"/>
    <w:rsid w:val="00BE0493"/>
    <w:rsid w:val="00BE05E1"/>
    <w:rsid w:val="00BE0689"/>
    <w:rsid w:val="00BE0BFF"/>
    <w:rsid w:val="00BE6CF7"/>
    <w:rsid w:val="00BE7A28"/>
    <w:rsid w:val="00BF018D"/>
    <w:rsid w:val="00BF2F03"/>
    <w:rsid w:val="00BF3707"/>
    <w:rsid w:val="00BF4442"/>
    <w:rsid w:val="00BF487A"/>
    <w:rsid w:val="00BF5642"/>
    <w:rsid w:val="00BF640F"/>
    <w:rsid w:val="00BF7129"/>
    <w:rsid w:val="00C01B8A"/>
    <w:rsid w:val="00C02C7B"/>
    <w:rsid w:val="00C033E7"/>
    <w:rsid w:val="00C03C74"/>
    <w:rsid w:val="00C04166"/>
    <w:rsid w:val="00C0457D"/>
    <w:rsid w:val="00C04E81"/>
    <w:rsid w:val="00C0732D"/>
    <w:rsid w:val="00C07DF4"/>
    <w:rsid w:val="00C10836"/>
    <w:rsid w:val="00C111E0"/>
    <w:rsid w:val="00C11FD0"/>
    <w:rsid w:val="00C12019"/>
    <w:rsid w:val="00C122BA"/>
    <w:rsid w:val="00C12D78"/>
    <w:rsid w:val="00C13261"/>
    <w:rsid w:val="00C13F44"/>
    <w:rsid w:val="00C14885"/>
    <w:rsid w:val="00C14984"/>
    <w:rsid w:val="00C15234"/>
    <w:rsid w:val="00C15A52"/>
    <w:rsid w:val="00C15B22"/>
    <w:rsid w:val="00C15E83"/>
    <w:rsid w:val="00C1632D"/>
    <w:rsid w:val="00C16B93"/>
    <w:rsid w:val="00C170C0"/>
    <w:rsid w:val="00C17501"/>
    <w:rsid w:val="00C17DE9"/>
    <w:rsid w:val="00C204A6"/>
    <w:rsid w:val="00C20698"/>
    <w:rsid w:val="00C215A3"/>
    <w:rsid w:val="00C2197D"/>
    <w:rsid w:val="00C22DAC"/>
    <w:rsid w:val="00C2348D"/>
    <w:rsid w:val="00C2352A"/>
    <w:rsid w:val="00C23BD1"/>
    <w:rsid w:val="00C252DC"/>
    <w:rsid w:val="00C25810"/>
    <w:rsid w:val="00C27994"/>
    <w:rsid w:val="00C27DA6"/>
    <w:rsid w:val="00C300E4"/>
    <w:rsid w:val="00C303A9"/>
    <w:rsid w:val="00C303F0"/>
    <w:rsid w:val="00C306A7"/>
    <w:rsid w:val="00C30CD3"/>
    <w:rsid w:val="00C310C0"/>
    <w:rsid w:val="00C31569"/>
    <w:rsid w:val="00C31905"/>
    <w:rsid w:val="00C31AF7"/>
    <w:rsid w:val="00C33CFA"/>
    <w:rsid w:val="00C34269"/>
    <w:rsid w:val="00C344E9"/>
    <w:rsid w:val="00C35F90"/>
    <w:rsid w:val="00C36BFD"/>
    <w:rsid w:val="00C37C60"/>
    <w:rsid w:val="00C37D32"/>
    <w:rsid w:val="00C37DD3"/>
    <w:rsid w:val="00C4089E"/>
    <w:rsid w:val="00C42588"/>
    <w:rsid w:val="00C429E7"/>
    <w:rsid w:val="00C42DD2"/>
    <w:rsid w:val="00C4303A"/>
    <w:rsid w:val="00C443EA"/>
    <w:rsid w:val="00C449C8"/>
    <w:rsid w:val="00C451D8"/>
    <w:rsid w:val="00C457DA"/>
    <w:rsid w:val="00C4636A"/>
    <w:rsid w:val="00C4663F"/>
    <w:rsid w:val="00C515AF"/>
    <w:rsid w:val="00C51EEC"/>
    <w:rsid w:val="00C523E2"/>
    <w:rsid w:val="00C526DA"/>
    <w:rsid w:val="00C5303D"/>
    <w:rsid w:val="00C53328"/>
    <w:rsid w:val="00C53346"/>
    <w:rsid w:val="00C53790"/>
    <w:rsid w:val="00C53BC4"/>
    <w:rsid w:val="00C53DD6"/>
    <w:rsid w:val="00C53F1A"/>
    <w:rsid w:val="00C54EA4"/>
    <w:rsid w:val="00C5572F"/>
    <w:rsid w:val="00C55A51"/>
    <w:rsid w:val="00C55A71"/>
    <w:rsid w:val="00C55DDF"/>
    <w:rsid w:val="00C608B8"/>
    <w:rsid w:val="00C610FD"/>
    <w:rsid w:val="00C61AB5"/>
    <w:rsid w:val="00C63176"/>
    <w:rsid w:val="00C632AD"/>
    <w:rsid w:val="00C6348B"/>
    <w:rsid w:val="00C63620"/>
    <w:rsid w:val="00C6421C"/>
    <w:rsid w:val="00C65BC5"/>
    <w:rsid w:val="00C66BC5"/>
    <w:rsid w:val="00C66BDE"/>
    <w:rsid w:val="00C67434"/>
    <w:rsid w:val="00C67F27"/>
    <w:rsid w:val="00C70077"/>
    <w:rsid w:val="00C7042A"/>
    <w:rsid w:val="00C704AA"/>
    <w:rsid w:val="00C705A6"/>
    <w:rsid w:val="00C70815"/>
    <w:rsid w:val="00C70A3A"/>
    <w:rsid w:val="00C70FE1"/>
    <w:rsid w:val="00C71489"/>
    <w:rsid w:val="00C71652"/>
    <w:rsid w:val="00C7184D"/>
    <w:rsid w:val="00C72DC0"/>
    <w:rsid w:val="00C75AA9"/>
    <w:rsid w:val="00C76AC4"/>
    <w:rsid w:val="00C779B2"/>
    <w:rsid w:val="00C77F54"/>
    <w:rsid w:val="00C77FE9"/>
    <w:rsid w:val="00C80798"/>
    <w:rsid w:val="00C818BD"/>
    <w:rsid w:val="00C81B55"/>
    <w:rsid w:val="00C81D9F"/>
    <w:rsid w:val="00C8227C"/>
    <w:rsid w:val="00C822E1"/>
    <w:rsid w:val="00C82687"/>
    <w:rsid w:val="00C82A5B"/>
    <w:rsid w:val="00C82EA7"/>
    <w:rsid w:val="00C830A5"/>
    <w:rsid w:val="00C84DE1"/>
    <w:rsid w:val="00C84EC5"/>
    <w:rsid w:val="00C8517B"/>
    <w:rsid w:val="00C85CAB"/>
    <w:rsid w:val="00C85F05"/>
    <w:rsid w:val="00C8611C"/>
    <w:rsid w:val="00C865A9"/>
    <w:rsid w:val="00C872A0"/>
    <w:rsid w:val="00C87DAA"/>
    <w:rsid w:val="00C90EE5"/>
    <w:rsid w:val="00C9228F"/>
    <w:rsid w:val="00C93677"/>
    <w:rsid w:val="00C94BBE"/>
    <w:rsid w:val="00C94FA3"/>
    <w:rsid w:val="00C9589E"/>
    <w:rsid w:val="00C95E54"/>
    <w:rsid w:val="00C95F1F"/>
    <w:rsid w:val="00C95FC8"/>
    <w:rsid w:val="00C97809"/>
    <w:rsid w:val="00C97DDC"/>
    <w:rsid w:val="00CA1905"/>
    <w:rsid w:val="00CA2E36"/>
    <w:rsid w:val="00CA36D3"/>
    <w:rsid w:val="00CA396C"/>
    <w:rsid w:val="00CA3D17"/>
    <w:rsid w:val="00CA483C"/>
    <w:rsid w:val="00CA5380"/>
    <w:rsid w:val="00CA6D86"/>
    <w:rsid w:val="00CA74AC"/>
    <w:rsid w:val="00CB04A3"/>
    <w:rsid w:val="00CB0708"/>
    <w:rsid w:val="00CB0B25"/>
    <w:rsid w:val="00CB1B3B"/>
    <w:rsid w:val="00CB1B85"/>
    <w:rsid w:val="00CB28CD"/>
    <w:rsid w:val="00CB389D"/>
    <w:rsid w:val="00CB5257"/>
    <w:rsid w:val="00CB52E3"/>
    <w:rsid w:val="00CB540B"/>
    <w:rsid w:val="00CB6BBC"/>
    <w:rsid w:val="00CB71D9"/>
    <w:rsid w:val="00CC014E"/>
    <w:rsid w:val="00CC08FA"/>
    <w:rsid w:val="00CC1054"/>
    <w:rsid w:val="00CC120B"/>
    <w:rsid w:val="00CC22A8"/>
    <w:rsid w:val="00CC3AB3"/>
    <w:rsid w:val="00CC3E40"/>
    <w:rsid w:val="00CC4104"/>
    <w:rsid w:val="00CC665E"/>
    <w:rsid w:val="00CC67E0"/>
    <w:rsid w:val="00CC6E87"/>
    <w:rsid w:val="00CC723B"/>
    <w:rsid w:val="00CC79E0"/>
    <w:rsid w:val="00CD059B"/>
    <w:rsid w:val="00CD1748"/>
    <w:rsid w:val="00CD251B"/>
    <w:rsid w:val="00CD25B8"/>
    <w:rsid w:val="00CD3773"/>
    <w:rsid w:val="00CD4BD6"/>
    <w:rsid w:val="00CD50EA"/>
    <w:rsid w:val="00CD5E06"/>
    <w:rsid w:val="00CD670F"/>
    <w:rsid w:val="00CD71F9"/>
    <w:rsid w:val="00CE0290"/>
    <w:rsid w:val="00CE0BF0"/>
    <w:rsid w:val="00CE0EF4"/>
    <w:rsid w:val="00CE0FA9"/>
    <w:rsid w:val="00CE1258"/>
    <w:rsid w:val="00CE1333"/>
    <w:rsid w:val="00CE2BEB"/>
    <w:rsid w:val="00CE2E24"/>
    <w:rsid w:val="00CE3842"/>
    <w:rsid w:val="00CE3897"/>
    <w:rsid w:val="00CE4800"/>
    <w:rsid w:val="00CE51EE"/>
    <w:rsid w:val="00CE565A"/>
    <w:rsid w:val="00CE57AA"/>
    <w:rsid w:val="00CE5F14"/>
    <w:rsid w:val="00CE67EC"/>
    <w:rsid w:val="00CE68A2"/>
    <w:rsid w:val="00CE7522"/>
    <w:rsid w:val="00CE7D85"/>
    <w:rsid w:val="00CE7F54"/>
    <w:rsid w:val="00CF0BB6"/>
    <w:rsid w:val="00CF11C5"/>
    <w:rsid w:val="00CF167A"/>
    <w:rsid w:val="00CF2602"/>
    <w:rsid w:val="00CF2BA3"/>
    <w:rsid w:val="00CF3423"/>
    <w:rsid w:val="00CF48E3"/>
    <w:rsid w:val="00CF4C38"/>
    <w:rsid w:val="00CF5958"/>
    <w:rsid w:val="00CF5DF0"/>
    <w:rsid w:val="00CF70CA"/>
    <w:rsid w:val="00CF7A0B"/>
    <w:rsid w:val="00D00330"/>
    <w:rsid w:val="00D0089D"/>
    <w:rsid w:val="00D00E7D"/>
    <w:rsid w:val="00D00FD6"/>
    <w:rsid w:val="00D012B0"/>
    <w:rsid w:val="00D027E6"/>
    <w:rsid w:val="00D02A5E"/>
    <w:rsid w:val="00D02E83"/>
    <w:rsid w:val="00D03079"/>
    <w:rsid w:val="00D03616"/>
    <w:rsid w:val="00D03F7E"/>
    <w:rsid w:val="00D0511F"/>
    <w:rsid w:val="00D051C1"/>
    <w:rsid w:val="00D05841"/>
    <w:rsid w:val="00D05850"/>
    <w:rsid w:val="00D05C27"/>
    <w:rsid w:val="00D05D30"/>
    <w:rsid w:val="00D05F8E"/>
    <w:rsid w:val="00D06A96"/>
    <w:rsid w:val="00D07BB7"/>
    <w:rsid w:val="00D10BDF"/>
    <w:rsid w:val="00D10D21"/>
    <w:rsid w:val="00D110CF"/>
    <w:rsid w:val="00D11687"/>
    <w:rsid w:val="00D1186B"/>
    <w:rsid w:val="00D11C10"/>
    <w:rsid w:val="00D12DCB"/>
    <w:rsid w:val="00D132FA"/>
    <w:rsid w:val="00D13875"/>
    <w:rsid w:val="00D144D9"/>
    <w:rsid w:val="00D147C7"/>
    <w:rsid w:val="00D15721"/>
    <w:rsid w:val="00D1582D"/>
    <w:rsid w:val="00D15D33"/>
    <w:rsid w:val="00D1624B"/>
    <w:rsid w:val="00D164A4"/>
    <w:rsid w:val="00D1749C"/>
    <w:rsid w:val="00D17FAD"/>
    <w:rsid w:val="00D202A1"/>
    <w:rsid w:val="00D204BA"/>
    <w:rsid w:val="00D20CE3"/>
    <w:rsid w:val="00D214C1"/>
    <w:rsid w:val="00D2178B"/>
    <w:rsid w:val="00D227F2"/>
    <w:rsid w:val="00D228CE"/>
    <w:rsid w:val="00D23477"/>
    <w:rsid w:val="00D235F1"/>
    <w:rsid w:val="00D23754"/>
    <w:rsid w:val="00D24728"/>
    <w:rsid w:val="00D25027"/>
    <w:rsid w:val="00D254BA"/>
    <w:rsid w:val="00D256CC"/>
    <w:rsid w:val="00D2585B"/>
    <w:rsid w:val="00D2630A"/>
    <w:rsid w:val="00D26AD9"/>
    <w:rsid w:val="00D26F94"/>
    <w:rsid w:val="00D26FA0"/>
    <w:rsid w:val="00D305E7"/>
    <w:rsid w:val="00D31519"/>
    <w:rsid w:val="00D318A6"/>
    <w:rsid w:val="00D31E7C"/>
    <w:rsid w:val="00D32C28"/>
    <w:rsid w:val="00D33272"/>
    <w:rsid w:val="00D3428F"/>
    <w:rsid w:val="00D3493F"/>
    <w:rsid w:val="00D34D18"/>
    <w:rsid w:val="00D35071"/>
    <w:rsid w:val="00D3627D"/>
    <w:rsid w:val="00D36A02"/>
    <w:rsid w:val="00D37B8F"/>
    <w:rsid w:val="00D37D8A"/>
    <w:rsid w:val="00D40574"/>
    <w:rsid w:val="00D40ACC"/>
    <w:rsid w:val="00D41A52"/>
    <w:rsid w:val="00D42745"/>
    <w:rsid w:val="00D442EB"/>
    <w:rsid w:val="00D44789"/>
    <w:rsid w:val="00D46800"/>
    <w:rsid w:val="00D46C7E"/>
    <w:rsid w:val="00D46D6E"/>
    <w:rsid w:val="00D47358"/>
    <w:rsid w:val="00D47476"/>
    <w:rsid w:val="00D4786B"/>
    <w:rsid w:val="00D47DA0"/>
    <w:rsid w:val="00D50B41"/>
    <w:rsid w:val="00D50E0E"/>
    <w:rsid w:val="00D5113F"/>
    <w:rsid w:val="00D51662"/>
    <w:rsid w:val="00D519B7"/>
    <w:rsid w:val="00D51D7E"/>
    <w:rsid w:val="00D522C4"/>
    <w:rsid w:val="00D527EF"/>
    <w:rsid w:val="00D546ED"/>
    <w:rsid w:val="00D54C49"/>
    <w:rsid w:val="00D55598"/>
    <w:rsid w:val="00D557BF"/>
    <w:rsid w:val="00D56517"/>
    <w:rsid w:val="00D571B4"/>
    <w:rsid w:val="00D60C9C"/>
    <w:rsid w:val="00D6289E"/>
    <w:rsid w:val="00D6337A"/>
    <w:rsid w:val="00D63C8B"/>
    <w:rsid w:val="00D63CFD"/>
    <w:rsid w:val="00D641D6"/>
    <w:rsid w:val="00D64AAC"/>
    <w:rsid w:val="00D64E24"/>
    <w:rsid w:val="00D65542"/>
    <w:rsid w:val="00D65888"/>
    <w:rsid w:val="00D65E0F"/>
    <w:rsid w:val="00D66301"/>
    <w:rsid w:val="00D701DD"/>
    <w:rsid w:val="00D70A08"/>
    <w:rsid w:val="00D70B1F"/>
    <w:rsid w:val="00D717AD"/>
    <w:rsid w:val="00D71F8F"/>
    <w:rsid w:val="00D72659"/>
    <w:rsid w:val="00D72C6E"/>
    <w:rsid w:val="00D72DDD"/>
    <w:rsid w:val="00D7419B"/>
    <w:rsid w:val="00D742B5"/>
    <w:rsid w:val="00D75063"/>
    <w:rsid w:val="00D759A0"/>
    <w:rsid w:val="00D7654E"/>
    <w:rsid w:val="00D7BC69"/>
    <w:rsid w:val="00D80209"/>
    <w:rsid w:val="00D8047B"/>
    <w:rsid w:val="00D805F5"/>
    <w:rsid w:val="00D81445"/>
    <w:rsid w:val="00D82509"/>
    <w:rsid w:val="00D825EA"/>
    <w:rsid w:val="00D82A17"/>
    <w:rsid w:val="00D82DD6"/>
    <w:rsid w:val="00D83995"/>
    <w:rsid w:val="00D83CC0"/>
    <w:rsid w:val="00D83D8F"/>
    <w:rsid w:val="00D8404E"/>
    <w:rsid w:val="00D84607"/>
    <w:rsid w:val="00D84901"/>
    <w:rsid w:val="00D85527"/>
    <w:rsid w:val="00D86250"/>
    <w:rsid w:val="00D8651C"/>
    <w:rsid w:val="00D86879"/>
    <w:rsid w:val="00D8776A"/>
    <w:rsid w:val="00D87EFC"/>
    <w:rsid w:val="00D91654"/>
    <w:rsid w:val="00D9184F"/>
    <w:rsid w:val="00D92637"/>
    <w:rsid w:val="00D927DB"/>
    <w:rsid w:val="00D93CB3"/>
    <w:rsid w:val="00D941DA"/>
    <w:rsid w:val="00D94A08"/>
    <w:rsid w:val="00D94FEF"/>
    <w:rsid w:val="00D95511"/>
    <w:rsid w:val="00D95665"/>
    <w:rsid w:val="00D96B68"/>
    <w:rsid w:val="00D96D6A"/>
    <w:rsid w:val="00D96F97"/>
    <w:rsid w:val="00D97421"/>
    <w:rsid w:val="00D97481"/>
    <w:rsid w:val="00D97C66"/>
    <w:rsid w:val="00DA10A4"/>
    <w:rsid w:val="00DA1B90"/>
    <w:rsid w:val="00DA42B5"/>
    <w:rsid w:val="00DA55DA"/>
    <w:rsid w:val="00DA5953"/>
    <w:rsid w:val="00DA5B20"/>
    <w:rsid w:val="00DA690B"/>
    <w:rsid w:val="00DA70B4"/>
    <w:rsid w:val="00DA76E9"/>
    <w:rsid w:val="00DA78F5"/>
    <w:rsid w:val="00DB03F0"/>
    <w:rsid w:val="00DB0CC6"/>
    <w:rsid w:val="00DB0DC9"/>
    <w:rsid w:val="00DB0E42"/>
    <w:rsid w:val="00DB32BF"/>
    <w:rsid w:val="00DB3ABE"/>
    <w:rsid w:val="00DB4495"/>
    <w:rsid w:val="00DB5063"/>
    <w:rsid w:val="00DB570D"/>
    <w:rsid w:val="00DB5B03"/>
    <w:rsid w:val="00DB5D14"/>
    <w:rsid w:val="00DB6078"/>
    <w:rsid w:val="00DB63A4"/>
    <w:rsid w:val="00DB70E2"/>
    <w:rsid w:val="00DB76D9"/>
    <w:rsid w:val="00DB7A60"/>
    <w:rsid w:val="00DC0E99"/>
    <w:rsid w:val="00DC107C"/>
    <w:rsid w:val="00DC162F"/>
    <w:rsid w:val="00DC24C5"/>
    <w:rsid w:val="00DC2E09"/>
    <w:rsid w:val="00DC330A"/>
    <w:rsid w:val="00DC3BE0"/>
    <w:rsid w:val="00DC4A62"/>
    <w:rsid w:val="00DC4E2E"/>
    <w:rsid w:val="00DC6559"/>
    <w:rsid w:val="00DC6563"/>
    <w:rsid w:val="00DC6A5E"/>
    <w:rsid w:val="00DC7221"/>
    <w:rsid w:val="00DD0F62"/>
    <w:rsid w:val="00DD15B1"/>
    <w:rsid w:val="00DD174A"/>
    <w:rsid w:val="00DD20B7"/>
    <w:rsid w:val="00DD233A"/>
    <w:rsid w:val="00DD254F"/>
    <w:rsid w:val="00DD2820"/>
    <w:rsid w:val="00DD3D3A"/>
    <w:rsid w:val="00DD54CA"/>
    <w:rsid w:val="00DD57EB"/>
    <w:rsid w:val="00DD5DE3"/>
    <w:rsid w:val="00DD5F50"/>
    <w:rsid w:val="00DD7206"/>
    <w:rsid w:val="00DD78DA"/>
    <w:rsid w:val="00DD7D54"/>
    <w:rsid w:val="00DE04F8"/>
    <w:rsid w:val="00DE069B"/>
    <w:rsid w:val="00DE096C"/>
    <w:rsid w:val="00DE1FFC"/>
    <w:rsid w:val="00DE2D03"/>
    <w:rsid w:val="00DE368D"/>
    <w:rsid w:val="00DE38DF"/>
    <w:rsid w:val="00DE3B47"/>
    <w:rsid w:val="00DE3D20"/>
    <w:rsid w:val="00DE4028"/>
    <w:rsid w:val="00DE416B"/>
    <w:rsid w:val="00DE43D9"/>
    <w:rsid w:val="00DE5508"/>
    <w:rsid w:val="00DE6CFB"/>
    <w:rsid w:val="00DE6D33"/>
    <w:rsid w:val="00DE7017"/>
    <w:rsid w:val="00DE753C"/>
    <w:rsid w:val="00DE76B9"/>
    <w:rsid w:val="00DE7D7E"/>
    <w:rsid w:val="00DF0540"/>
    <w:rsid w:val="00DF10C9"/>
    <w:rsid w:val="00DF1356"/>
    <w:rsid w:val="00DF34D3"/>
    <w:rsid w:val="00DF4A84"/>
    <w:rsid w:val="00DF505B"/>
    <w:rsid w:val="00DF596E"/>
    <w:rsid w:val="00DF631B"/>
    <w:rsid w:val="00DF78FB"/>
    <w:rsid w:val="00E005BB"/>
    <w:rsid w:val="00E006CC"/>
    <w:rsid w:val="00E00849"/>
    <w:rsid w:val="00E019D5"/>
    <w:rsid w:val="00E02095"/>
    <w:rsid w:val="00E03799"/>
    <w:rsid w:val="00E03FFC"/>
    <w:rsid w:val="00E04222"/>
    <w:rsid w:val="00E042B3"/>
    <w:rsid w:val="00E04653"/>
    <w:rsid w:val="00E04C88"/>
    <w:rsid w:val="00E05350"/>
    <w:rsid w:val="00E05851"/>
    <w:rsid w:val="00E05AD0"/>
    <w:rsid w:val="00E05AFD"/>
    <w:rsid w:val="00E0672F"/>
    <w:rsid w:val="00E06E0E"/>
    <w:rsid w:val="00E11D5A"/>
    <w:rsid w:val="00E11F9C"/>
    <w:rsid w:val="00E125C6"/>
    <w:rsid w:val="00E14335"/>
    <w:rsid w:val="00E14F90"/>
    <w:rsid w:val="00E162B6"/>
    <w:rsid w:val="00E16381"/>
    <w:rsid w:val="00E1727B"/>
    <w:rsid w:val="00E1739F"/>
    <w:rsid w:val="00E173B4"/>
    <w:rsid w:val="00E1762B"/>
    <w:rsid w:val="00E179DC"/>
    <w:rsid w:val="00E20610"/>
    <w:rsid w:val="00E234A2"/>
    <w:rsid w:val="00E24AAC"/>
    <w:rsid w:val="00E258BC"/>
    <w:rsid w:val="00E25C20"/>
    <w:rsid w:val="00E25C28"/>
    <w:rsid w:val="00E25EE0"/>
    <w:rsid w:val="00E25FA3"/>
    <w:rsid w:val="00E26C5E"/>
    <w:rsid w:val="00E26D55"/>
    <w:rsid w:val="00E30AA2"/>
    <w:rsid w:val="00E30C19"/>
    <w:rsid w:val="00E3116D"/>
    <w:rsid w:val="00E32AEA"/>
    <w:rsid w:val="00E335A5"/>
    <w:rsid w:val="00E34E6C"/>
    <w:rsid w:val="00E36510"/>
    <w:rsid w:val="00E371F4"/>
    <w:rsid w:val="00E37663"/>
    <w:rsid w:val="00E3787C"/>
    <w:rsid w:val="00E37E61"/>
    <w:rsid w:val="00E41906"/>
    <w:rsid w:val="00E43499"/>
    <w:rsid w:val="00E43E68"/>
    <w:rsid w:val="00E44556"/>
    <w:rsid w:val="00E44D46"/>
    <w:rsid w:val="00E452C0"/>
    <w:rsid w:val="00E454E2"/>
    <w:rsid w:val="00E458FF"/>
    <w:rsid w:val="00E462BE"/>
    <w:rsid w:val="00E46472"/>
    <w:rsid w:val="00E464D7"/>
    <w:rsid w:val="00E46890"/>
    <w:rsid w:val="00E46E66"/>
    <w:rsid w:val="00E4777C"/>
    <w:rsid w:val="00E4787F"/>
    <w:rsid w:val="00E50592"/>
    <w:rsid w:val="00E50A96"/>
    <w:rsid w:val="00E50ECC"/>
    <w:rsid w:val="00E51BF6"/>
    <w:rsid w:val="00E51DF1"/>
    <w:rsid w:val="00E523AE"/>
    <w:rsid w:val="00E52A75"/>
    <w:rsid w:val="00E52B7B"/>
    <w:rsid w:val="00E52E82"/>
    <w:rsid w:val="00E52F76"/>
    <w:rsid w:val="00E5321E"/>
    <w:rsid w:val="00E537FF"/>
    <w:rsid w:val="00E54E04"/>
    <w:rsid w:val="00E556FA"/>
    <w:rsid w:val="00E557C1"/>
    <w:rsid w:val="00E559AB"/>
    <w:rsid w:val="00E565FB"/>
    <w:rsid w:val="00E56885"/>
    <w:rsid w:val="00E56AC9"/>
    <w:rsid w:val="00E577BF"/>
    <w:rsid w:val="00E577C5"/>
    <w:rsid w:val="00E601FD"/>
    <w:rsid w:val="00E602C4"/>
    <w:rsid w:val="00E60DC6"/>
    <w:rsid w:val="00E611B4"/>
    <w:rsid w:val="00E612DD"/>
    <w:rsid w:val="00E61319"/>
    <w:rsid w:val="00E623AB"/>
    <w:rsid w:val="00E62413"/>
    <w:rsid w:val="00E627D6"/>
    <w:rsid w:val="00E62D90"/>
    <w:rsid w:val="00E639FD"/>
    <w:rsid w:val="00E65860"/>
    <w:rsid w:val="00E65DDE"/>
    <w:rsid w:val="00E660F0"/>
    <w:rsid w:val="00E669C4"/>
    <w:rsid w:val="00E66EAD"/>
    <w:rsid w:val="00E6740C"/>
    <w:rsid w:val="00E679E1"/>
    <w:rsid w:val="00E7030A"/>
    <w:rsid w:val="00E70DF0"/>
    <w:rsid w:val="00E70E21"/>
    <w:rsid w:val="00E70FCB"/>
    <w:rsid w:val="00E71027"/>
    <w:rsid w:val="00E71691"/>
    <w:rsid w:val="00E71C2B"/>
    <w:rsid w:val="00E71D99"/>
    <w:rsid w:val="00E71FB7"/>
    <w:rsid w:val="00E72466"/>
    <w:rsid w:val="00E725B6"/>
    <w:rsid w:val="00E72ED0"/>
    <w:rsid w:val="00E7425E"/>
    <w:rsid w:val="00E75077"/>
    <w:rsid w:val="00E758B7"/>
    <w:rsid w:val="00E759AB"/>
    <w:rsid w:val="00E75ACD"/>
    <w:rsid w:val="00E75CFA"/>
    <w:rsid w:val="00E76ADF"/>
    <w:rsid w:val="00E8005A"/>
    <w:rsid w:val="00E81AA1"/>
    <w:rsid w:val="00E821BF"/>
    <w:rsid w:val="00E827A0"/>
    <w:rsid w:val="00E82ACA"/>
    <w:rsid w:val="00E835E9"/>
    <w:rsid w:val="00E83D01"/>
    <w:rsid w:val="00E840AA"/>
    <w:rsid w:val="00E84B07"/>
    <w:rsid w:val="00E85252"/>
    <w:rsid w:val="00E85665"/>
    <w:rsid w:val="00E858C0"/>
    <w:rsid w:val="00E85DC0"/>
    <w:rsid w:val="00E86873"/>
    <w:rsid w:val="00E8692D"/>
    <w:rsid w:val="00E86A5C"/>
    <w:rsid w:val="00E87299"/>
    <w:rsid w:val="00E875B9"/>
    <w:rsid w:val="00E87919"/>
    <w:rsid w:val="00E909DF"/>
    <w:rsid w:val="00E90EE0"/>
    <w:rsid w:val="00E92647"/>
    <w:rsid w:val="00E928D3"/>
    <w:rsid w:val="00E92E44"/>
    <w:rsid w:val="00E940B0"/>
    <w:rsid w:val="00E950A3"/>
    <w:rsid w:val="00E950BC"/>
    <w:rsid w:val="00E95167"/>
    <w:rsid w:val="00E95510"/>
    <w:rsid w:val="00E959F2"/>
    <w:rsid w:val="00E95FC7"/>
    <w:rsid w:val="00E96D84"/>
    <w:rsid w:val="00EA035C"/>
    <w:rsid w:val="00EA120A"/>
    <w:rsid w:val="00EA1480"/>
    <w:rsid w:val="00EA2ABA"/>
    <w:rsid w:val="00EA2E7A"/>
    <w:rsid w:val="00EA3BAC"/>
    <w:rsid w:val="00EA4B05"/>
    <w:rsid w:val="00EA5046"/>
    <w:rsid w:val="00EA546C"/>
    <w:rsid w:val="00EA5653"/>
    <w:rsid w:val="00EA5B26"/>
    <w:rsid w:val="00EA5B42"/>
    <w:rsid w:val="00EA5F63"/>
    <w:rsid w:val="00EA70FF"/>
    <w:rsid w:val="00EA73E2"/>
    <w:rsid w:val="00EA7911"/>
    <w:rsid w:val="00EA7C36"/>
    <w:rsid w:val="00EB0095"/>
    <w:rsid w:val="00EB0464"/>
    <w:rsid w:val="00EB1EB7"/>
    <w:rsid w:val="00EB264B"/>
    <w:rsid w:val="00EB30C9"/>
    <w:rsid w:val="00EB31F4"/>
    <w:rsid w:val="00EB37BB"/>
    <w:rsid w:val="00EB3C9B"/>
    <w:rsid w:val="00EB3EFD"/>
    <w:rsid w:val="00EB4370"/>
    <w:rsid w:val="00EB4DCF"/>
    <w:rsid w:val="00EB5580"/>
    <w:rsid w:val="00EB5A71"/>
    <w:rsid w:val="00EB6A0E"/>
    <w:rsid w:val="00EB6D36"/>
    <w:rsid w:val="00EC0D11"/>
    <w:rsid w:val="00EC18D8"/>
    <w:rsid w:val="00EC26B0"/>
    <w:rsid w:val="00EC3897"/>
    <w:rsid w:val="00EC3E42"/>
    <w:rsid w:val="00EC3E4C"/>
    <w:rsid w:val="00EC44DD"/>
    <w:rsid w:val="00EC4745"/>
    <w:rsid w:val="00EC4EAF"/>
    <w:rsid w:val="00EC4FED"/>
    <w:rsid w:val="00EC5A36"/>
    <w:rsid w:val="00EC6750"/>
    <w:rsid w:val="00EC6B24"/>
    <w:rsid w:val="00EC7073"/>
    <w:rsid w:val="00EC7600"/>
    <w:rsid w:val="00ED194B"/>
    <w:rsid w:val="00ED3333"/>
    <w:rsid w:val="00ED3388"/>
    <w:rsid w:val="00ED3BD5"/>
    <w:rsid w:val="00ED440C"/>
    <w:rsid w:val="00ED507B"/>
    <w:rsid w:val="00ED5A90"/>
    <w:rsid w:val="00ED7B9E"/>
    <w:rsid w:val="00ED7D43"/>
    <w:rsid w:val="00EE0377"/>
    <w:rsid w:val="00EE14CB"/>
    <w:rsid w:val="00EE15CE"/>
    <w:rsid w:val="00EE1C69"/>
    <w:rsid w:val="00EE2BC4"/>
    <w:rsid w:val="00EE3379"/>
    <w:rsid w:val="00EE4104"/>
    <w:rsid w:val="00EE4255"/>
    <w:rsid w:val="00EE48C7"/>
    <w:rsid w:val="00EE50E9"/>
    <w:rsid w:val="00EE52D6"/>
    <w:rsid w:val="00EE6482"/>
    <w:rsid w:val="00EE6C9E"/>
    <w:rsid w:val="00EE77F7"/>
    <w:rsid w:val="00EE7DA1"/>
    <w:rsid w:val="00EE7DB4"/>
    <w:rsid w:val="00EF00BE"/>
    <w:rsid w:val="00EF0435"/>
    <w:rsid w:val="00EF11AE"/>
    <w:rsid w:val="00EF1969"/>
    <w:rsid w:val="00EF2589"/>
    <w:rsid w:val="00EF25EC"/>
    <w:rsid w:val="00EF2D38"/>
    <w:rsid w:val="00EF34B9"/>
    <w:rsid w:val="00EF383F"/>
    <w:rsid w:val="00EF5378"/>
    <w:rsid w:val="00EF573C"/>
    <w:rsid w:val="00EF6541"/>
    <w:rsid w:val="00EF6550"/>
    <w:rsid w:val="00EF7CF3"/>
    <w:rsid w:val="00F026F4"/>
    <w:rsid w:val="00F02B7B"/>
    <w:rsid w:val="00F02B7E"/>
    <w:rsid w:val="00F03FE0"/>
    <w:rsid w:val="00F05B1A"/>
    <w:rsid w:val="00F0678A"/>
    <w:rsid w:val="00F07200"/>
    <w:rsid w:val="00F0730F"/>
    <w:rsid w:val="00F074BF"/>
    <w:rsid w:val="00F07608"/>
    <w:rsid w:val="00F077A8"/>
    <w:rsid w:val="00F07B5E"/>
    <w:rsid w:val="00F102CD"/>
    <w:rsid w:val="00F1048B"/>
    <w:rsid w:val="00F10951"/>
    <w:rsid w:val="00F10B61"/>
    <w:rsid w:val="00F132A8"/>
    <w:rsid w:val="00F1394D"/>
    <w:rsid w:val="00F142FD"/>
    <w:rsid w:val="00F14C2D"/>
    <w:rsid w:val="00F152AF"/>
    <w:rsid w:val="00F15947"/>
    <w:rsid w:val="00F15B5A"/>
    <w:rsid w:val="00F166C8"/>
    <w:rsid w:val="00F17164"/>
    <w:rsid w:val="00F1753B"/>
    <w:rsid w:val="00F177C2"/>
    <w:rsid w:val="00F17DDF"/>
    <w:rsid w:val="00F1A1C5"/>
    <w:rsid w:val="00F201B9"/>
    <w:rsid w:val="00F202BC"/>
    <w:rsid w:val="00F202E3"/>
    <w:rsid w:val="00F2042C"/>
    <w:rsid w:val="00F2078B"/>
    <w:rsid w:val="00F20A1A"/>
    <w:rsid w:val="00F218B7"/>
    <w:rsid w:val="00F21A48"/>
    <w:rsid w:val="00F21DB4"/>
    <w:rsid w:val="00F24587"/>
    <w:rsid w:val="00F24E6F"/>
    <w:rsid w:val="00F250EF"/>
    <w:rsid w:val="00F2535D"/>
    <w:rsid w:val="00F25BBC"/>
    <w:rsid w:val="00F25DC8"/>
    <w:rsid w:val="00F26294"/>
    <w:rsid w:val="00F26C4E"/>
    <w:rsid w:val="00F2725E"/>
    <w:rsid w:val="00F30D4C"/>
    <w:rsid w:val="00F31BDD"/>
    <w:rsid w:val="00F328A5"/>
    <w:rsid w:val="00F32964"/>
    <w:rsid w:val="00F329B9"/>
    <w:rsid w:val="00F33550"/>
    <w:rsid w:val="00F338E7"/>
    <w:rsid w:val="00F33973"/>
    <w:rsid w:val="00F35F68"/>
    <w:rsid w:val="00F368D7"/>
    <w:rsid w:val="00F3765A"/>
    <w:rsid w:val="00F37F69"/>
    <w:rsid w:val="00F40413"/>
    <w:rsid w:val="00F40E31"/>
    <w:rsid w:val="00F416E6"/>
    <w:rsid w:val="00F42D51"/>
    <w:rsid w:val="00F42E3D"/>
    <w:rsid w:val="00F43B23"/>
    <w:rsid w:val="00F43DBD"/>
    <w:rsid w:val="00F44D26"/>
    <w:rsid w:val="00F457A7"/>
    <w:rsid w:val="00F47A59"/>
    <w:rsid w:val="00F500FF"/>
    <w:rsid w:val="00F50221"/>
    <w:rsid w:val="00F5030C"/>
    <w:rsid w:val="00F50F8B"/>
    <w:rsid w:val="00F51258"/>
    <w:rsid w:val="00F512DB"/>
    <w:rsid w:val="00F51CC0"/>
    <w:rsid w:val="00F52278"/>
    <w:rsid w:val="00F52C95"/>
    <w:rsid w:val="00F5367B"/>
    <w:rsid w:val="00F5387B"/>
    <w:rsid w:val="00F542AD"/>
    <w:rsid w:val="00F5467E"/>
    <w:rsid w:val="00F54BA5"/>
    <w:rsid w:val="00F54BE0"/>
    <w:rsid w:val="00F54FF0"/>
    <w:rsid w:val="00F55B0B"/>
    <w:rsid w:val="00F57CFE"/>
    <w:rsid w:val="00F57FF7"/>
    <w:rsid w:val="00F60A49"/>
    <w:rsid w:val="00F60F45"/>
    <w:rsid w:val="00F619B9"/>
    <w:rsid w:val="00F62BD9"/>
    <w:rsid w:val="00F63864"/>
    <w:rsid w:val="00F6407E"/>
    <w:rsid w:val="00F64342"/>
    <w:rsid w:val="00F66111"/>
    <w:rsid w:val="00F6699C"/>
    <w:rsid w:val="00F66B51"/>
    <w:rsid w:val="00F66D2D"/>
    <w:rsid w:val="00F672FC"/>
    <w:rsid w:val="00F67786"/>
    <w:rsid w:val="00F67E4E"/>
    <w:rsid w:val="00F71189"/>
    <w:rsid w:val="00F71596"/>
    <w:rsid w:val="00F72315"/>
    <w:rsid w:val="00F72BDA"/>
    <w:rsid w:val="00F7364F"/>
    <w:rsid w:val="00F7399D"/>
    <w:rsid w:val="00F73E5C"/>
    <w:rsid w:val="00F73E5E"/>
    <w:rsid w:val="00F745B1"/>
    <w:rsid w:val="00F74C40"/>
    <w:rsid w:val="00F74F83"/>
    <w:rsid w:val="00F754CF"/>
    <w:rsid w:val="00F76033"/>
    <w:rsid w:val="00F7618B"/>
    <w:rsid w:val="00F7699A"/>
    <w:rsid w:val="00F77C87"/>
    <w:rsid w:val="00F81F78"/>
    <w:rsid w:val="00F8252F"/>
    <w:rsid w:val="00F8391F"/>
    <w:rsid w:val="00F83B13"/>
    <w:rsid w:val="00F84339"/>
    <w:rsid w:val="00F846A9"/>
    <w:rsid w:val="00F846E4"/>
    <w:rsid w:val="00F8514C"/>
    <w:rsid w:val="00F8554C"/>
    <w:rsid w:val="00F856E9"/>
    <w:rsid w:val="00F85F2D"/>
    <w:rsid w:val="00F862D0"/>
    <w:rsid w:val="00F86355"/>
    <w:rsid w:val="00F869A4"/>
    <w:rsid w:val="00F86B8B"/>
    <w:rsid w:val="00F86D4B"/>
    <w:rsid w:val="00F90909"/>
    <w:rsid w:val="00F93B5C"/>
    <w:rsid w:val="00F93B75"/>
    <w:rsid w:val="00F94116"/>
    <w:rsid w:val="00F942D1"/>
    <w:rsid w:val="00F95126"/>
    <w:rsid w:val="00F95B7B"/>
    <w:rsid w:val="00F95D6A"/>
    <w:rsid w:val="00F962F3"/>
    <w:rsid w:val="00F96371"/>
    <w:rsid w:val="00F96718"/>
    <w:rsid w:val="00F971BC"/>
    <w:rsid w:val="00FA04AD"/>
    <w:rsid w:val="00FA077E"/>
    <w:rsid w:val="00FA12CE"/>
    <w:rsid w:val="00FA19CC"/>
    <w:rsid w:val="00FA1B72"/>
    <w:rsid w:val="00FA1DC6"/>
    <w:rsid w:val="00FA2035"/>
    <w:rsid w:val="00FA25D9"/>
    <w:rsid w:val="00FA296B"/>
    <w:rsid w:val="00FA2C37"/>
    <w:rsid w:val="00FA41CF"/>
    <w:rsid w:val="00FA467D"/>
    <w:rsid w:val="00FA5090"/>
    <w:rsid w:val="00FA5525"/>
    <w:rsid w:val="00FA69A5"/>
    <w:rsid w:val="00FA6B86"/>
    <w:rsid w:val="00FA759D"/>
    <w:rsid w:val="00FB07BA"/>
    <w:rsid w:val="00FB15A8"/>
    <w:rsid w:val="00FB250E"/>
    <w:rsid w:val="00FB29C4"/>
    <w:rsid w:val="00FB2B7A"/>
    <w:rsid w:val="00FB2C32"/>
    <w:rsid w:val="00FB37FF"/>
    <w:rsid w:val="00FB5436"/>
    <w:rsid w:val="00FB5796"/>
    <w:rsid w:val="00FB57A6"/>
    <w:rsid w:val="00FB5905"/>
    <w:rsid w:val="00FB6468"/>
    <w:rsid w:val="00FB6584"/>
    <w:rsid w:val="00FB7839"/>
    <w:rsid w:val="00FB786D"/>
    <w:rsid w:val="00FB7D77"/>
    <w:rsid w:val="00FB7F6C"/>
    <w:rsid w:val="00FC0D09"/>
    <w:rsid w:val="00FC0D89"/>
    <w:rsid w:val="00FC0FA3"/>
    <w:rsid w:val="00FC14D3"/>
    <w:rsid w:val="00FC1E77"/>
    <w:rsid w:val="00FC41C1"/>
    <w:rsid w:val="00FC4360"/>
    <w:rsid w:val="00FC4550"/>
    <w:rsid w:val="00FC4BCA"/>
    <w:rsid w:val="00FC6328"/>
    <w:rsid w:val="00FC6FB3"/>
    <w:rsid w:val="00FC7BAE"/>
    <w:rsid w:val="00FD0917"/>
    <w:rsid w:val="00FD09E7"/>
    <w:rsid w:val="00FD0B7B"/>
    <w:rsid w:val="00FD1787"/>
    <w:rsid w:val="00FD20F9"/>
    <w:rsid w:val="00FD21BE"/>
    <w:rsid w:val="00FD2772"/>
    <w:rsid w:val="00FD3178"/>
    <w:rsid w:val="00FD31FF"/>
    <w:rsid w:val="00FD3301"/>
    <w:rsid w:val="00FD35F8"/>
    <w:rsid w:val="00FD3D53"/>
    <w:rsid w:val="00FD44CB"/>
    <w:rsid w:val="00FD4722"/>
    <w:rsid w:val="00FD47C6"/>
    <w:rsid w:val="00FD49A1"/>
    <w:rsid w:val="00FD4C22"/>
    <w:rsid w:val="00FD51F1"/>
    <w:rsid w:val="00FD5D27"/>
    <w:rsid w:val="00FD6E74"/>
    <w:rsid w:val="00FD6E8F"/>
    <w:rsid w:val="00FD7359"/>
    <w:rsid w:val="00FD77A1"/>
    <w:rsid w:val="00FE00B5"/>
    <w:rsid w:val="00FE027F"/>
    <w:rsid w:val="00FE0536"/>
    <w:rsid w:val="00FE1927"/>
    <w:rsid w:val="00FE2EE5"/>
    <w:rsid w:val="00FE32C0"/>
    <w:rsid w:val="00FE3635"/>
    <w:rsid w:val="00FE6971"/>
    <w:rsid w:val="00FE6F63"/>
    <w:rsid w:val="00FE71B9"/>
    <w:rsid w:val="00FE75ED"/>
    <w:rsid w:val="00FE76F1"/>
    <w:rsid w:val="00FF01BC"/>
    <w:rsid w:val="00FF1514"/>
    <w:rsid w:val="00FF15AD"/>
    <w:rsid w:val="00FF18E6"/>
    <w:rsid w:val="00FF1BB7"/>
    <w:rsid w:val="00FF1C85"/>
    <w:rsid w:val="00FF2778"/>
    <w:rsid w:val="00FF2BC5"/>
    <w:rsid w:val="00FF3188"/>
    <w:rsid w:val="00FF3322"/>
    <w:rsid w:val="00FF4AE2"/>
    <w:rsid w:val="00FF50FC"/>
    <w:rsid w:val="00FF6828"/>
    <w:rsid w:val="00FF7058"/>
    <w:rsid w:val="00FF738C"/>
    <w:rsid w:val="00FF74FB"/>
    <w:rsid w:val="00FF7B28"/>
    <w:rsid w:val="00FF7DC0"/>
    <w:rsid w:val="00FF7DEE"/>
    <w:rsid w:val="01072626"/>
    <w:rsid w:val="01656BE6"/>
    <w:rsid w:val="018CA1DA"/>
    <w:rsid w:val="01B66138"/>
    <w:rsid w:val="01BDB3EB"/>
    <w:rsid w:val="01FCEFF1"/>
    <w:rsid w:val="020D02AF"/>
    <w:rsid w:val="021D2036"/>
    <w:rsid w:val="02207658"/>
    <w:rsid w:val="0278EB3E"/>
    <w:rsid w:val="028112D4"/>
    <w:rsid w:val="029CAA66"/>
    <w:rsid w:val="02A78DAC"/>
    <w:rsid w:val="02D0B102"/>
    <w:rsid w:val="02E10226"/>
    <w:rsid w:val="030476EF"/>
    <w:rsid w:val="031B57A3"/>
    <w:rsid w:val="0328C315"/>
    <w:rsid w:val="0356BB9D"/>
    <w:rsid w:val="035A5BA4"/>
    <w:rsid w:val="036C5B75"/>
    <w:rsid w:val="0372E009"/>
    <w:rsid w:val="037759A4"/>
    <w:rsid w:val="037E0B11"/>
    <w:rsid w:val="03E65D5A"/>
    <w:rsid w:val="042FA8F8"/>
    <w:rsid w:val="04470DDF"/>
    <w:rsid w:val="045BFC10"/>
    <w:rsid w:val="045C7D99"/>
    <w:rsid w:val="04675406"/>
    <w:rsid w:val="04DD5808"/>
    <w:rsid w:val="0540DF7F"/>
    <w:rsid w:val="055F2D26"/>
    <w:rsid w:val="05814EB0"/>
    <w:rsid w:val="0583979A"/>
    <w:rsid w:val="05A1C317"/>
    <w:rsid w:val="05DE30E5"/>
    <w:rsid w:val="05E0F85B"/>
    <w:rsid w:val="05E31A9B"/>
    <w:rsid w:val="05E7EFE1"/>
    <w:rsid w:val="05EF4761"/>
    <w:rsid w:val="061C99AD"/>
    <w:rsid w:val="06420D51"/>
    <w:rsid w:val="067CB9A3"/>
    <w:rsid w:val="0681AAD1"/>
    <w:rsid w:val="0755B7A8"/>
    <w:rsid w:val="075CC442"/>
    <w:rsid w:val="0782DE59"/>
    <w:rsid w:val="078D0C2C"/>
    <w:rsid w:val="07CA97C4"/>
    <w:rsid w:val="07E32EF8"/>
    <w:rsid w:val="07F22EE0"/>
    <w:rsid w:val="08411CCE"/>
    <w:rsid w:val="085A90C9"/>
    <w:rsid w:val="08A6AD37"/>
    <w:rsid w:val="08B14908"/>
    <w:rsid w:val="08BA77E9"/>
    <w:rsid w:val="08C4AC6C"/>
    <w:rsid w:val="08DCD8FE"/>
    <w:rsid w:val="08F00170"/>
    <w:rsid w:val="08F9EBC7"/>
    <w:rsid w:val="09227B3D"/>
    <w:rsid w:val="092B64A9"/>
    <w:rsid w:val="092EB70D"/>
    <w:rsid w:val="094F57B5"/>
    <w:rsid w:val="0953C5DD"/>
    <w:rsid w:val="099301BB"/>
    <w:rsid w:val="09A6E0AF"/>
    <w:rsid w:val="09B3A949"/>
    <w:rsid w:val="09B975EE"/>
    <w:rsid w:val="09D64D71"/>
    <w:rsid w:val="09DCE33C"/>
    <w:rsid w:val="09E79BDD"/>
    <w:rsid w:val="09FC6943"/>
    <w:rsid w:val="0A342AC5"/>
    <w:rsid w:val="0A5322AC"/>
    <w:rsid w:val="0A63B290"/>
    <w:rsid w:val="0A81709E"/>
    <w:rsid w:val="0AF9DFE8"/>
    <w:rsid w:val="0B05B530"/>
    <w:rsid w:val="0B0A5F3D"/>
    <w:rsid w:val="0B1ACFBA"/>
    <w:rsid w:val="0B2FCD12"/>
    <w:rsid w:val="0B31DCA7"/>
    <w:rsid w:val="0B924551"/>
    <w:rsid w:val="0B9E2E9C"/>
    <w:rsid w:val="0BD6EB73"/>
    <w:rsid w:val="0C047E58"/>
    <w:rsid w:val="0C090BA0"/>
    <w:rsid w:val="0C420B8A"/>
    <w:rsid w:val="0C4E86FB"/>
    <w:rsid w:val="0C5706E3"/>
    <w:rsid w:val="0C809C67"/>
    <w:rsid w:val="0C8A27E1"/>
    <w:rsid w:val="0CC38ABA"/>
    <w:rsid w:val="0CDCCE48"/>
    <w:rsid w:val="0D4D800C"/>
    <w:rsid w:val="0D5D3782"/>
    <w:rsid w:val="0D6F61EF"/>
    <w:rsid w:val="0D98B8BE"/>
    <w:rsid w:val="0DE48C4E"/>
    <w:rsid w:val="0E069038"/>
    <w:rsid w:val="0E180F53"/>
    <w:rsid w:val="0E5BA4C7"/>
    <w:rsid w:val="0E6424E7"/>
    <w:rsid w:val="0E81740E"/>
    <w:rsid w:val="0EB75949"/>
    <w:rsid w:val="0F0459DD"/>
    <w:rsid w:val="0F73B541"/>
    <w:rsid w:val="0F97CA9D"/>
    <w:rsid w:val="0FA9081F"/>
    <w:rsid w:val="0FF25E34"/>
    <w:rsid w:val="1082775D"/>
    <w:rsid w:val="1092A96B"/>
    <w:rsid w:val="109CEE08"/>
    <w:rsid w:val="10BA9E23"/>
    <w:rsid w:val="10BEFD7F"/>
    <w:rsid w:val="110D6AB4"/>
    <w:rsid w:val="11107AFC"/>
    <w:rsid w:val="11B414C7"/>
    <w:rsid w:val="11B55C32"/>
    <w:rsid w:val="11C199C0"/>
    <w:rsid w:val="11C8BCE8"/>
    <w:rsid w:val="11FC856D"/>
    <w:rsid w:val="120D08F2"/>
    <w:rsid w:val="1236A75E"/>
    <w:rsid w:val="129FB970"/>
    <w:rsid w:val="12A5659F"/>
    <w:rsid w:val="12A966BB"/>
    <w:rsid w:val="12AC623E"/>
    <w:rsid w:val="12B14879"/>
    <w:rsid w:val="12BC4795"/>
    <w:rsid w:val="12D298D8"/>
    <w:rsid w:val="12D75483"/>
    <w:rsid w:val="12E6ED9E"/>
    <w:rsid w:val="12F7E3DC"/>
    <w:rsid w:val="12FFA141"/>
    <w:rsid w:val="1303ABCB"/>
    <w:rsid w:val="1324EEC2"/>
    <w:rsid w:val="1346D450"/>
    <w:rsid w:val="13502622"/>
    <w:rsid w:val="135B5965"/>
    <w:rsid w:val="13993596"/>
    <w:rsid w:val="13998642"/>
    <w:rsid w:val="1399D501"/>
    <w:rsid w:val="13AC563B"/>
    <w:rsid w:val="13B634D5"/>
    <w:rsid w:val="13C9AD70"/>
    <w:rsid w:val="1428FCAF"/>
    <w:rsid w:val="142ADF69"/>
    <w:rsid w:val="142E9D8F"/>
    <w:rsid w:val="1445FFC8"/>
    <w:rsid w:val="144635F2"/>
    <w:rsid w:val="14AB51C1"/>
    <w:rsid w:val="14EB1138"/>
    <w:rsid w:val="14ECCA66"/>
    <w:rsid w:val="14F116C9"/>
    <w:rsid w:val="14F89E56"/>
    <w:rsid w:val="14F92632"/>
    <w:rsid w:val="15105782"/>
    <w:rsid w:val="15264E33"/>
    <w:rsid w:val="15386D7E"/>
    <w:rsid w:val="154EE021"/>
    <w:rsid w:val="1561311C"/>
    <w:rsid w:val="15A18E2B"/>
    <w:rsid w:val="15A8330D"/>
    <w:rsid w:val="1600BC9C"/>
    <w:rsid w:val="160DBB7F"/>
    <w:rsid w:val="1638ED74"/>
    <w:rsid w:val="165FD32A"/>
    <w:rsid w:val="1667E9E5"/>
    <w:rsid w:val="1678C402"/>
    <w:rsid w:val="16A66B2B"/>
    <w:rsid w:val="16C6622C"/>
    <w:rsid w:val="16E4A9C9"/>
    <w:rsid w:val="16F9CEF6"/>
    <w:rsid w:val="1701A2CE"/>
    <w:rsid w:val="17144ED2"/>
    <w:rsid w:val="17424CE3"/>
    <w:rsid w:val="175305C7"/>
    <w:rsid w:val="179E89D4"/>
    <w:rsid w:val="17A1B470"/>
    <w:rsid w:val="17FC8BDB"/>
    <w:rsid w:val="181FAC43"/>
    <w:rsid w:val="182E1035"/>
    <w:rsid w:val="185E20F5"/>
    <w:rsid w:val="18BE3C67"/>
    <w:rsid w:val="18D45A80"/>
    <w:rsid w:val="191914CB"/>
    <w:rsid w:val="1944FFA7"/>
    <w:rsid w:val="196DFF88"/>
    <w:rsid w:val="1981B227"/>
    <w:rsid w:val="1985D2E1"/>
    <w:rsid w:val="198FE23E"/>
    <w:rsid w:val="19952323"/>
    <w:rsid w:val="199D10A9"/>
    <w:rsid w:val="19D6E41B"/>
    <w:rsid w:val="19FCD88A"/>
    <w:rsid w:val="1A5BAE10"/>
    <w:rsid w:val="1A6D2994"/>
    <w:rsid w:val="1A816B76"/>
    <w:rsid w:val="1A93C399"/>
    <w:rsid w:val="1A9FA01B"/>
    <w:rsid w:val="1AADB416"/>
    <w:rsid w:val="1ABADAEA"/>
    <w:rsid w:val="1ABC14B8"/>
    <w:rsid w:val="1AFD2D05"/>
    <w:rsid w:val="1B09158A"/>
    <w:rsid w:val="1B0A4E9B"/>
    <w:rsid w:val="1B218E67"/>
    <w:rsid w:val="1B585A03"/>
    <w:rsid w:val="1B84EDD3"/>
    <w:rsid w:val="1B99C3D8"/>
    <w:rsid w:val="1BDB7BDE"/>
    <w:rsid w:val="1BE0A70A"/>
    <w:rsid w:val="1C44B6F6"/>
    <w:rsid w:val="1C5FBEDA"/>
    <w:rsid w:val="1C610283"/>
    <w:rsid w:val="1C8FF7B4"/>
    <w:rsid w:val="1CC35190"/>
    <w:rsid w:val="1CE2E218"/>
    <w:rsid w:val="1D10B13E"/>
    <w:rsid w:val="1D23D959"/>
    <w:rsid w:val="1D296ACC"/>
    <w:rsid w:val="1D33C094"/>
    <w:rsid w:val="1D45B2F4"/>
    <w:rsid w:val="1D6D03CB"/>
    <w:rsid w:val="1D799DDE"/>
    <w:rsid w:val="1D8F6F62"/>
    <w:rsid w:val="1D93D34F"/>
    <w:rsid w:val="1D9AA8FB"/>
    <w:rsid w:val="1D9ABB34"/>
    <w:rsid w:val="1DA0480B"/>
    <w:rsid w:val="1DB3C81E"/>
    <w:rsid w:val="1DB42FCE"/>
    <w:rsid w:val="1DD29BB8"/>
    <w:rsid w:val="1DE17D01"/>
    <w:rsid w:val="1DE25923"/>
    <w:rsid w:val="1E0F1C80"/>
    <w:rsid w:val="1E261904"/>
    <w:rsid w:val="1E6185D6"/>
    <w:rsid w:val="1E81BCA3"/>
    <w:rsid w:val="1EAB270B"/>
    <w:rsid w:val="1ED46895"/>
    <w:rsid w:val="1ED774FF"/>
    <w:rsid w:val="1EF02B5F"/>
    <w:rsid w:val="1F25DB63"/>
    <w:rsid w:val="1F31B797"/>
    <w:rsid w:val="1F3D0F00"/>
    <w:rsid w:val="1F823526"/>
    <w:rsid w:val="1F83A261"/>
    <w:rsid w:val="1FF9033E"/>
    <w:rsid w:val="2018B904"/>
    <w:rsid w:val="206D26D0"/>
    <w:rsid w:val="2070524F"/>
    <w:rsid w:val="20A08D6B"/>
    <w:rsid w:val="20C99083"/>
    <w:rsid w:val="20DA2861"/>
    <w:rsid w:val="210F9572"/>
    <w:rsid w:val="2115A7DC"/>
    <w:rsid w:val="2156F4ED"/>
    <w:rsid w:val="215FB342"/>
    <w:rsid w:val="2165AC24"/>
    <w:rsid w:val="219F162D"/>
    <w:rsid w:val="21D27F81"/>
    <w:rsid w:val="21D50FD9"/>
    <w:rsid w:val="21F380FA"/>
    <w:rsid w:val="22405142"/>
    <w:rsid w:val="224DA8E4"/>
    <w:rsid w:val="225F77F6"/>
    <w:rsid w:val="2271EE62"/>
    <w:rsid w:val="2273CE40"/>
    <w:rsid w:val="22AADDBE"/>
    <w:rsid w:val="22F7F398"/>
    <w:rsid w:val="2315BB12"/>
    <w:rsid w:val="233FC773"/>
    <w:rsid w:val="236BBD0A"/>
    <w:rsid w:val="2395371F"/>
    <w:rsid w:val="23B5716E"/>
    <w:rsid w:val="23F0CDA8"/>
    <w:rsid w:val="24200997"/>
    <w:rsid w:val="2432C23F"/>
    <w:rsid w:val="2444357B"/>
    <w:rsid w:val="24532CA8"/>
    <w:rsid w:val="24556E8C"/>
    <w:rsid w:val="24624BF9"/>
    <w:rsid w:val="246A3985"/>
    <w:rsid w:val="2477D365"/>
    <w:rsid w:val="24A523A3"/>
    <w:rsid w:val="24C924B5"/>
    <w:rsid w:val="24D5EEF9"/>
    <w:rsid w:val="24DFC350"/>
    <w:rsid w:val="24FBD1E6"/>
    <w:rsid w:val="25099D15"/>
    <w:rsid w:val="252547D5"/>
    <w:rsid w:val="2544B31D"/>
    <w:rsid w:val="2564AB7E"/>
    <w:rsid w:val="25721390"/>
    <w:rsid w:val="25E408F7"/>
    <w:rsid w:val="2628CB2D"/>
    <w:rsid w:val="262B1A1A"/>
    <w:rsid w:val="265C48ED"/>
    <w:rsid w:val="26605F5A"/>
    <w:rsid w:val="26626B54"/>
    <w:rsid w:val="266C07CD"/>
    <w:rsid w:val="26B7A858"/>
    <w:rsid w:val="26E248EC"/>
    <w:rsid w:val="26F940FA"/>
    <w:rsid w:val="2708FFE6"/>
    <w:rsid w:val="270FCCD7"/>
    <w:rsid w:val="271493FF"/>
    <w:rsid w:val="27178C99"/>
    <w:rsid w:val="271923B3"/>
    <w:rsid w:val="273CB335"/>
    <w:rsid w:val="279CEC35"/>
    <w:rsid w:val="279DCFF0"/>
    <w:rsid w:val="27B61672"/>
    <w:rsid w:val="27CDA072"/>
    <w:rsid w:val="289F3F4A"/>
    <w:rsid w:val="28CA39A5"/>
    <w:rsid w:val="28DBFA62"/>
    <w:rsid w:val="28DDE274"/>
    <w:rsid w:val="29137C65"/>
    <w:rsid w:val="291E0D53"/>
    <w:rsid w:val="29537ACC"/>
    <w:rsid w:val="29667FBA"/>
    <w:rsid w:val="297094D4"/>
    <w:rsid w:val="298811CD"/>
    <w:rsid w:val="298CE851"/>
    <w:rsid w:val="299824BD"/>
    <w:rsid w:val="29AB82AE"/>
    <w:rsid w:val="29C88844"/>
    <w:rsid w:val="29E2D544"/>
    <w:rsid w:val="2A06CDF7"/>
    <w:rsid w:val="2A3F184D"/>
    <w:rsid w:val="2A5F3391"/>
    <w:rsid w:val="2A7C4360"/>
    <w:rsid w:val="2AA58974"/>
    <w:rsid w:val="2AD6FA0C"/>
    <w:rsid w:val="2B08FFA5"/>
    <w:rsid w:val="2B0FF122"/>
    <w:rsid w:val="2B62684A"/>
    <w:rsid w:val="2B80DAB3"/>
    <w:rsid w:val="2B978C17"/>
    <w:rsid w:val="2BD0E3A6"/>
    <w:rsid w:val="2C086279"/>
    <w:rsid w:val="2C11D422"/>
    <w:rsid w:val="2C59004D"/>
    <w:rsid w:val="2C73B259"/>
    <w:rsid w:val="2C86BFC5"/>
    <w:rsid w:val="2C9DA5BE"/>
    <w:rsid w:val="2CD28C7C"/>
    <w:rsid w:val="2CE57A04"/>
    <w:rsid w:val="2D48F155"/>
    <w:rsid w:val="2D72EDB7"/>
    <w:rsid w:val="2D76A7A2"/>
    <w:rsid w:val="2D881968"/>
    <w:rsid w:val="2DB7EE75"/>
    <w:rsid w:val="2DB83320"/>
    <w:rsid w:val="2DCCE91B"/>
    <w:rsid w:val="2E24DD52"/>
    <w:rsid w:val="2E771655"/>
    <w:rsid w:val="2E9E115B"/>
    <w:rsid w:val="2EA2837A"/>
    <w:rsid w:val="2EB2DC41"/>
    <w:rsid w:val="2EDB6B39"/>
    <w:rsid w:val="2EEA8B23"/>
    <w:rsid w:val="2F10CBDD"/>
    <w:rsid w:val="2F43128E"/>
    <w:rsid w:val="2F49E3EE"/>
    <w:rsid w:val="2F7B431A"/>
    <w:rsid w:val="2F8B8F1C"/>
    <w:rsid w:val="2FE3D2CA"/>
    <w:rsid w:val="301F48C4"/>
    <w:rsid w:val="304D1599"/>
    <w:rsid w:val="3079C9F8"/>
    <w:rsid w:val="30B1D5E0"/>
    <w:rsid w:val="31079A8A"/>
    <w:rsid w:val="3120E499"/>
    <w:rsid w:val="3130F54F"/>
    <w:rsid w:val="3138FA51"/>
    <w:rsid w:val="3145E762"/>
    <w:rsid w:val="31A550B9"/>
    <w:rsid w:val="3220E4EE"/>
    <w:rsid w:val="32393C61"/>
    <w:rsid w:val="32508035"/>
    <w:rsid w:val="32743C4E"/>
    <w:rsid w:val="32982CDE"/>
    <w:rsid w:val="32B932AC"/>
    <w:rsid w:val="330AE219"/>
    <w:rsid w:val="331B4E39"/>
    <w:rsid w:val="332D5233"/>
    <w:rsid w:val="335EEAB7"/>
    <w:rsid w:val="336D9538"/>
    <w:rsid w:val="3391D731"/>
    <w:rsid w:val="33A0E492"/>
    <w:rsid w:val="33CB9E04"/>
    <w:rsid w:val="33EC0F3B"/>
    <w:rsid w:val="34107FCE"/>
    <w:rsid w:val="345AB7EC"/>
    <w:rsid w:val="34753DB3"/>
    <w:rsid w:val="34AC7966"/>
    <w:rsid w:val="34F5E71A"/>
    <w:rsid w:val="3511F8C2"/>
    <w:rsid w:val="35121845"/>
    <w:rsid w:val="3584B9EA"/>
    <w:rsid w:val="35917CC8"/>
    <w:rsid w:val="35A14015"/>
    <w:rsid w:val="35FDDEE4"/>
    <w:rsid w:val="360C946B"/>
    <w:rsid w:val="3621C27B"/>
    <w:rsid w:val="363DD613"/>
    <w:rsid w:val="36482772"/>
    <w:rsid w:val="369289F1"/>
    <w:rsid w:val="36B1108F"/>
    <w:rsid w:val="36D4B128"/>
    <w:rsid w:val="36DEA08C"/>
    <w:rsid w:val="36E7C784"/>
    <w:rsid w:val="36EBC18F"/>
    <w:rsid w:val="37710815"/>
    <w:rsid w:val="37A56D0E"/>
    <w:rsid w:val="37D589F4"/>
    <w:rsid w:val="3816CD8C"/>
    <w:rsid w:val="381837F4"/>
    <w:rsid w:val="383E4E28"/>
    <w:rsid w:val="384FAD5A"/>
    <w:rsid w:val="388499BC"/>
    <w:rsid w:val="38947EA8"/>
    <w:rsid w:val="38A19814"/>
    <w:rsid w:val="38A26F5F"/>
    <w:rsid w:val="38B8A0E0"/>
    <w:rsid w:val="38BFCF62"/>
    <w:rsid w:val="38CAC38E"/>
    <w:rsid w:val="38E02316"/>
    <w:rsid w:val="390200AA"/>
    <w:rsid w:val="3937BBE1"/>
    <w:rsid w:val="3978BC9E"/>
    <w:rsid w:val="3986FB41"/>
    <w:rsid w:val="3996E51F"/>
    <w:rsid w:val="3999F3AC"/>
    <w:rsid w:val="39F85AF2"/>
    <w:rsid w:val="39F87886"/>
    <w:rsid w:val="39FF650E"/>
    <w:rsid w:val="3A16AB28"/>
    <w:rsid w:val="3A250C0C"/>
    <w:rsid w:val="3A2D1D9B"/>
    <w:rsid w:val="3A42BB03"/>
    <w:rsid w:val="3A608D77"/>
    <w:rsid w:val="3A67B6F2"/>
    <w:rsid w:val="3A68D02E"/>
    <w:rsid w:val="3A6F08D1"/>
    <w:rsid w:val="3A7F590D"/>
    <w:rsid w:val="3A9CA8D6"/>
    <w:rsid w:val="3B020568"/>
    <w:rsid w:val="3B2D1DFB"/>
    <w:rsid w:val="3B5BB456"/>
    <w:rsid w:val="3B6C913D"/>
    <w:rsid w:val="3B7C87EF"/>
    <w:rsid w:val="3B8C47BF"/>
    <w:rsid w:val="3BD62A76"/>
    <w:rsid w:val="3BD77901"/>
    <w:rsid w:val="3BDF67E0"/>
    <w:rsid w:val="3BE1FD10"/>
    <w:rsid w:val="3BE6530D"/>
    <w:rsid w:val="3BFB44A5"/>
    <w:rsid w:val="3C19D2DA"/>
    <w:rsid w:val="3C1DBDA2"/>
    <w:rsid w:val="3C3FC334"/>
    <w:rsid w:val="3C4D1A6C"/>
    <w:rsid w:val="3C686D5C"/>
    <w:rsid w:val="3CABA458"/>
    <w:rsid w:val="3CBDE117"/>
    <w:rsid w:val="3CEEE2BC"/>
    <w:rsid w:val="3D1D78F5"/>
    <w:rsid w:val="3D257606"/>
    <w:rsid w:val="3D260FAE"/>
    <w:rsid w:val="3D4122BC"/>
    <w:rsid w:val="3D86BE76"/>
    <w:rsid w:val="3D8FD661"/>
    <w:rsid w:val="3D96E3FD"/>
    <w:rsid w:val="3D9C1673"/>
    <w:rsid w:val="3DAC7860"/>
    <w:rsid w:val="3DC52CDB"/>
    <w:rsid w:val="3DCFEE8A"/>
    <w:rsid w:val="3E2C801A"/>
    <w:rsid w:val="3E31FFA8"/>
    <w:rsid w:val="3E445FC4"/>
    <w:rsid w:val="3E5EAB92"/>
    <w:rsid w:val="3E70B56E"/>
    <w:rsid w:val="3E80BC2C"/>
    <w:rsid w:val="3E811FE0"/>
    <w:rsid w:val="3EA1A3AA"/>
    <w:rsid w:val="3EA5762C"/>
    <w:rsid w:val="3EA7BBE8"/>
    <w:rsid w:val="3EC87113"/>
    <w:rsid w:val="3ED4F472"/>
    <w:rsid w:val="3ED9E1B9"/>
    <w:rsid w:val="3F3FEF48"/>
    <w:rsid w:val="3F4D5DE2"/>
    <w:rsid w:val="3F661B42"/>
    <w:rsid w:val="3FB05A8A"/>
    <w:rsid w:val="400C748C"/>
    <w:rsid w:val="4091A324"/>
    <w:rsid w:val="40A34A15"/>
    <w:rsid w:val="40AD7361"/>
    <w:rsid w:val="40F56FE1"/>
    <w:rsid w:val="41069FA3"/>
    <w:rsid w:val="41133457"/>
    <w:rsid w:val="41187C98"/>
    <w:rsid w:val="41298DF1"/>
    <w:rsid w:val="41630807"/>
    <w:rsid w:val="417092C1"/>
    <w:rsid w:val="41D554F8"/>
    <w:rsid w:val="41FA84B1"/>
    <w:rsid w:val="4216F23A"/>
    <w:rsid w:val="422CD3FA"/>
    <w:rsid w:val="4269556F"/>
    <w:rsid w:val="427F914A"/>
    <w:rsid w:val="42B0DD54"/>
    <w:rsid w:val="42B4E40C"/>
    <w:rsid w:val="42BC51F7"/>
    <w:rsid w:val="42C2A282"/>
    <w:rsid w:val="43016F40"/>
    <w:rsid w:val="431DECE6"/>
    <w:rsid w:val="436AF957"/>
    <w:rsid w:val="436E4E01"/>
    <w:rsid w:val="438D6F0E"/>
    <w:rsid w:val="43A39B28"/>
    <w:rsid w:val="43E56E1C"/>
    <w:rsid w:val="43EDF9D3"/>
    <w:rsid w:val="43EE5D06"/>
    <w:rsid w:val="440188E7"/>
    <w:rsid w:val="4409EF0B"/>
    <w:rsid w:val="4426D119"/>
    <w:rsid w:val="444AD519"/>
    <w:rsid w:val="4483EFDC"/>
    <w:rsid w:val="44ACDD84"/>
    <w:rsid w:val="44C59D6E"/>
    <w:rsid w:val="453392E2"/>
    <w:rsid w:val="45436459"/>
    <w:rsid w:val="45562C77"/>
    <w:rsid w:val="45591397"/>
    <w:rsid w:val="45613C25"/>
    <w:rsid w:val="4563EA5C"/>
    <w:rsid w:val="4570CD48"/>
    <w:rsid w:val="459748CA"/>
    <w:rsid w:val="45C8C77C"/>
    <w:rsid w:val="45E6A57A"/>
    <w:rsid w:val="46365402"/>
    <w:rsid w:val="46385906"/>
    <w:rsid w:val="466B3B1F"/>
    <w:rsid w:val="467F7A35"/>
    <w:rsid w:val="469E630F"/>
    <w:rsid w:val="46C248C7"/>
    <w:rsid w:val="46CC0BBA"/>
    <w:rsid w:val="46E2AD0F"/>
    <w:rsid w:val="46E3D5F9"/>
    <w:rsid w:val="4767C028"/>
    <w:rsid w:val="47A52C0D"/>
    <w:rsid w:val="47C180B8"/>
    <w:rsid w:val="47F28E4C"/>
    <w:rsid w:val="48260B9A"/>
    <w:rsid w:val="4826F83C"/>
    <w:rsid w:val="484935A7"/>
    <w:rsid w:val="486B61DE"/>
    <w:rsid w:val="48819C80"/>
    <w:rsid w:val="4890206A"/>
    <w:rsid w:val="48A3E9AE"/>
    <w:rsid w:val="48BA2B60"/>
    <w:rsid w:val="48EF13C1"/>
    <w:rsid w:val="48F2E70C"/>
    <w:rsid w:val="48FD903E"/>
    <w:rsid w:val="4959C014"/>
    <w:rsid w:val="49929D7F"/>
    <w:rsid w:val="49ACD0E3"/>
    <w:rsid w:val="4A0C2348"/>
    <w:rsid w:val="4A12ED07"/>
    <w:rsid w:val="4A44CFFC"/>
    <w:rsid w:val="4A564EF6"/>
    <w:rsid w:val="4A62775C"/>
    <w:rsid w:val="4A953D28"/>
    <w:rsid w:val="4AB9CFCA"/>
    <w:rsid w:val="4AD2646D"/>
    <w:rsid w:val="4AF4E932"/>
    <w:rsid w:val="4B11DEDC"/>
    <w:rsid w:val="4B43C685"/>
    <w:rsid w:val="4B92C50F"/>
    <w:rsid w:val="4B9A9465"/>
    <w:rsid w:val="4BA31DCF"/>
    <w:rsid w:val="4BA5EC0A"/>
    <w:rsid w:val="4BB43FF1"/>
    <w:rsid w:val="4BC8E577"/>
    <w:rsid w:val="4BCBC820"/>
    <w:rsid w:val="4BE0456A"/>
    <w:rsid w:val="4BF73F79"/>
    <w:rsid w:val="4BFB5C12"/>
    <w:rsid w:val="4C180F54"/>
    <w:rsid w:val="4C9ABCBB"/>
    <w:rsid w:val="4CD635C6"/>
    <w:rsid w:val="4CE0E475"/>
    <w:rsid w:val="4CF54CAF"/>
    <w:rsid w:val="4CF71071"/>
    <w:rsid w:val="4D0ADFCC"/>
    <w:rsid w:val="4D560BB3"/>
    <w:rsid w:val="4D6582A9"/>
    <w:rsid w:val="4D86E61A"/>
    <w:rsid w:val="4D8726AF"/>
    <w:rsid w:val="4DC4BFD6"/>
    <w:rsid w:val="4E0E337D"/>
    <w:rsid w:val="4E23B61F"/>
    <w:rsid w:val="4E2B6B84"/>
    <w:rsid w:val="4E3A7F73"/>
    <w:rsid w:val="4E49828A"/>
    <w:rsid w:val="4E542EFA"/>
    <w:rsid w:val="4E64ADE5"/>
    <w:rsid w:val="4E760EE2"/>
    <w:rsid w:val="4E815A7A"/>
    <w:rsid w:val="4E85B034"/>
    <w:rsid w:val="4E868AF3"/>
    <w:rsid w:val="4E8E139D"/>
    <w:rsid w:val="4ECA6806"/>
    <w:rsid w:val="4EE7A04D"/>
    <w:rsid w:val="4F614FBE"/>
    <w:rsid w:val="4F698EDF"/>
    <w:rsid w:val="4F6BD599"/>
    <w:rsid w:val="4F8D87C0"/>
    <w:rsid w:val="4FB6F517"/>
    <w:rsid w:val="4FBA40A2"/>
    <w:rsid w:val="4FBF4CAC"/>
    <w:rsid w:val="4FCC536E"/>
    <w:rsid w:val="4FE8B63C"/>
    <w:rsid w:val="4FFC73D3"/>
    <w:rsid w:val="50783F77"/>
    <w:rsid w:val="509E31E9"/>
    <w:rsid w:val="50AD1616"/>
    <w:rsid w:val="50B5EA7C"/>
    <w:rsid w:val="5102146D"/>
    <w:rsid w:val="512E2C1F"/>
    <w:rsid w:val="513F2BEF"/>
    <w:rsid w:val="515FA4D9"/>
    <w:rsid w:val="519928FB"/>
    <w:rsid w:val="51BB92CB"/>
    <w:rsid w:val="51D9992A"/>
    <w:rsid w:val="5269A034"/>
    <w:rsid w:val="52FC81FC"/>
    <w:rsid w:val="533FC2C6"/>
    <w:rsid w:val="5360B480"/>
    <w:rsid w:val="53E12130"/>
    <w:rsid w:val="53FAE031"/>
    <w:rsid w:val="541B159F"/>
    <w:rsid w:val="544D665B"/>
    <w:rsid w:val="54A5E1FD"/>
    <w:rsid w:val="54D73078"/>
    <w:rsid w:val="54D84612"/>
    <w:rsid w:val="54DB6C03"/>
    <w:rsid w:val="54DBABF6"/>
    <w:rsid w:val="54DC255A"/>
    <w:rsid w:val="552F79CA"/>
    <w:rsid w:val="5545E1DA"/>
    <w:rsid w:val="5547C62E"/>
    <w:rsid w:val="5556236C"/>
    <w:rsid w:val="55AEFBFC"/>
    <w:rsid w:val="55C3E990"/>
    <w:rsid w:val="55CD6395"/>
    <w:rsid w:val="55D53850"/>
    <w:rsid w:val="55EE51B7"/>
    <w:rsid w:val="55F4E590"/>
    <w:rsid w:val="55FE3F69"/>
    <w:rsid w:val="56063741"/>
    <w:rsid w:val="561A80A8"/>
    <w:rsid w:val="561DF5B8"/>
    <w:rsid w:val="5656EB10"/>
    <w:rsid w:val="566AA15F"/>
    <w:rsid w:val="56A6304F"/>
    <w:rsid w:val="56C5D669"/>
    <w:rsid w:val="56E2B1BB"/>
    <w:rsid w:val="5774E4D6"/>
    <w:rsid w:val="5778755A"/>
    <w:rsid w:val="577A7093"/>
    <w:rsid w:val="577F5F07"/>
    <w:rsid w:val="57D4873A"/>
    <w:rsid w:val="57DEB7DC"/>
    <w:rsid w:val="57F3E2A1"/>
    <w:rsid w:val="580FB668"/>
    <w:rsid w:val="584040CE"/>
    <w:rsid w:val="5873343B"/>
    <w:rsid w:val="588481A7"/>
    <w:rsid w:val="58C580B2"/>
    <w:rsid w:val="58CAE9C3"/>
    <w:rsid w:val="58DA7973"/>
    <w:rsid w:val="590D0A84"/>
    <w:rsid w:val="590E5A81"/>
    <w:rsid w:val="59244F95"/>
    <w:rsid w:val="592517ED"/>
    <w:rsid w:val="59704475"/>
    <w:rsid w:val="5982B396"/>
    <w:rsid w:val="5982E17F"/>
    <w:rsid w:val="5991425A"/>
    <w:rsid w:val="59C63FE1"/>
    <w:rsid w:val="59DE204D"/>
    <w:rsid w:val="5A15FA85"/>
    <w:rsid w:val="5A22861C"/>
    <w:rsid w:val="5A5117DB"/>
    <w:rsid w:val="5A56E195"/>
    <w:rsid w:val="5AB2AB7B"/>
    <w:rsid w:val="5B07791D"/>
    <w:rsid w:val="5B07A1F8"/>
    <w:rsid w:val="5B2D7EBA"/>
    <w:rsid w:val="5B330740"/>
    <w:rsid w:val="5B661051"/>
    <w:rsid w:val="5B787AB5"/>
    <w:rsid w:val="5B85BEA3"/>
    <w:rsid w:val="5B8F3AAA"/>
    <w:rsid w:val="5B948E10"/>
    <w:rsid w:val="5BBB3C31"/>
    <w:rsid w:val="5BDA18AA"/>
    <w:rsid w:val="5C062DC5"/>
    <w:rsid w:val="5C0B550E"/>
    <w:rsid w:val="5C5D9FC2"/>
    <w:rsid w:val="5C84350E"/>
    <w:rsid w:val="5C98C653"/>
    <w:rsid w:val="5CA5DCCF"/>
    <w:rsid w:val="5CD2815E"/>
    <w:rsid w:val="5CD8CA39"/>
    <w:rsid w:val="5D2BA009"/>
    <w:rsid w:val="5D3D1223"/>
    <w:rsid w:val="5D88F4D1"/>
    <w:rsid w:val="5D954AE0"/>
    <w:rsid w:val="5D9A2FF5"/>
    <w:rsid w:val="5DB0CFA9"/>
    <w:rsid w:val="5DF0B377"/>
    <w:rsid w:val="5DF6AB5E"/>
    <w:rsid w:val="5DFD6E93"/>
    <w:rsid w:val="5E0E64BC"/>
    <w:rsid w:val="5E0EE97E"/>
    <w:rsid w:val="5E229DB3"/>
    <w:rsid w:val="5E2C2A8E"/>
    <w:rsid w:val="5E2C4AF3"/>
    <w:rsid w:val="5E6EEAF9"/>
    <w:rsid w:val="5EE01B7A"/>
    <w:rsid w:val="5EE5CFBE"/>
    <w:rsid w:val="5F01F60A"/>
    <w:rsid w:val="5F18513B"/>
    <w:rsid w:val="5F44443C"/>
    <w:rsid w:val="5F5D5CC7"/>
    <w:rsid w:val="5F7FE62A"/>
    <w:rsid w:val="5FAB78CB"/>
    <w:rsid w:val="5FB6A1AF"/>
    <w:rsid w:val="5FD11C93"/>
    <w:rsid w:val="5FD5610F"/>
    <w:rsid w:val="60007180"/>
    <w:rsid w:val="6027852A"/>
    <w:rsid w:val="60408736"/>
    <w:rsid w:val="606209D1"/>
    <w:rsid w:val="6075DAA1"/>
    <w:rsid w:val="608D93CA"/>
    <w:rsid w:val="609ECC50"/>
    <w:rsid w:val="60B3638A"/>
    <w:rsid w:val="60D73381"/>
    <w:rsid w:val="60E7B3CD"/>
    <w:rsid w:val="61151B50"/>
    <w:rsid w:val="6134F4DC"/>
    <w:rsid w:val="6141DEDE"/>
    <w:rsid w:val="617B4901"/>
    <w:rsid w:val="61871FE4"/>
    <w:rsid w:val="619CD084"/>
    <w:rsid w:val="61B06D3D"/>
    <w:rsid w:val="61D11DD2"/>
    <w:rsid w:val="622723AD"/>
    <w:rsid w:val="6238869E"/>
    <w:rsid w:val="627D5DA2"/>
    <w:rsid w:val="62C0145E"/>
    <w:rsid w:val="62D600D3"/>
    <w:rsid w:val="62E80DD0"/>
    <w:rsid w:val="62FC43CD"/>
    <w:rsid w:val="632ABE0F"/>
    <w:rsid w:val="633188F3"/>
    <w:rsid w:val="6361D403"/>
    <w:rsid w:val="637565FA"/>
    <w:rsid w:val="637D1B44"/>
    <w:rsid w:val="639947CE"/>
    <w:rsid w:val="63A336DA"/>
    <w:rsid w:val="63B5E6E2"/>
    <w:rsid w:val="63B7D4D3"/>
    <w:rsid w:val="63BABAE0"/>
    <w:rsid w:val="63CB855B"/>
    <w:rsid w:val="63E5486E"/>
    <w:rsid w:val="63F2B518"/>
    <w:rsid w:val="63F482D9"/>
    <w:rsid w:val="642505FC"/>
    <w:rsid w:val="64268489"/>
    <w:rsid w:val="642B62D2"/>
    <w:rsid w:val="64581731"/>
    <w:rsid w:val="646CA7B3"/>
    <w:rsid w:val="64720C97"/>
    <w:rsid w:val="647AE2D8"/>
    <w:rsid w:val="6490649D"/>
    <w:rsid w:val="649E66BF"/>
    <w:rsid w:val="64E7DEF7"/>
    <w:rsid w:val="64F8246E"/>
    <w:rsid w:val="6510DB49"/>
    <w:rsid w:val="6522D8D2"/>
    <w:rsid w:val="652BE891"/>
    <w:rsid w:val="653BE8E5"/>
    <w:rsid w:val="6549DB03"/>
    <w:rsid w:val="6553EC00"/>
    <w:rsid w:val="655E2A30"/>
    <w:rsid w:val="658677E6"/>
    <w:rsid w:val="65AD8947"/>
    <w:rsid w:val="65CA1C74"/>
    <w:rsid w:val="65E9E9DF"/>
    <w:rsid w:val="665D601F"/>
    <w:rsid w:val="667A7224"/>
    <w:rsid w:val="6706B001"/>
    <w:rsid w:val="6706F3AB"/>
    <w:rsid w:val="67172036"/>
    <w:rsid w:val="673EC5C7"/>
    <w:rsid w:val="674FF59B"/>
    <w:rsid w:val="675BD6AC"/>
    <w:rsid w:val="67606021"/>
    <w:rsid w:val="67BCCE45"/>
    <w:rsid w:val="681546D3"/>
    <w:rsid w:val="68599793"/>
    <w:rsid w:val="6891458B"/>
    <w:rsid w:val="68A2D90D"/>
    <w:rsid w:val="68C53B47"/>
    <w:rsid w:val="68D5F274"/>
    <w:rsid w:val="692EE684"/>
    <w:rsid w:val="693E26F7"/>
    <w:rsid w:val="69465FE1"/>
    <w:rsid w:val="6963EFF1"/>
    <w:rsid w:val="6978C2B5"/>
    <w:rsid w:val="698261BA"/>
    <w:rsid w:val="69B23DCC"/>
    <w:rsid w:val="69C3513B"/>
    <w:rsid w:val="69C6CD98"/>
    <w:rsid w:val="69E419D5"/>
    <w:rsid w:val="6A0044BF"/>
    <w:rsid w:val="6A228C32"/>
    <w:rsid w:val="6A68D3F9"/>
    <w:rsid w:val="6AA1FB56"/>
    <w:rsid w:val="6AB1BB9A"/>
    <w:rsid w:val="6AB26C48"/>
    <w:rsid w:val="6ABBA595"/>
    <w:rsid w:val="6AFD1DFE"/>
    <w:rsid w:val="6B1C4558"/>
    <w:rsid w:val="6B1EE44B"/>
    <w:rsid w:val="6B458305"/>
    <w:rsid w:val="6B579FE9"/>
    <w:rsid w:val="6B70392A"/>
    <w:rsid w:val="6BBC042A"/>
    <w:rsid w:val="6BE1C75A"/>
    <w:rsid w:val="6C111466"/>
    <w:rsid w:val="6C208F17"/>
    <w:rsid w:val="6C296874"/>
    <w:rsid w:val="6C68FA91"/>
    <w:rsid w:val="6C9E1C24"/>
    <w:rsid w:val="6CDD77CB"/>
    <w:rsid w:val="6CDFC1F4"/>
    <w:rsid w:val="6D086310"/>
    <w:rsid w:val="6D0F7974"/>
    <w:rsid w:val="6D2D2B08"/>
    <w:rsid w:val="6D2F3661"/>
    <w:rsid w:val="6D93DDBB"/>
    <w:rsid w:val="6DB7AE42"/>
    <w:rsid w:val="6DCBFCC9"/>
    <w:rsid w:val="6DFC4194"/>
    <w:rsid w:val="6DFD768E"/>
    <w:rsid w:val="6E03CF18"/>
    <w:rsid w:val="6E11FF84"/>
    <w:rsid w:val="6E2B41D1"/>
    <w:rsid w:val="6E358AB9"/>
    <w:rsid w:val="6E6A266F"/>
    <w:rsid w:val="6E9243BF"/>
    <w:rsid w:val="6EA4BCB2"/>
    <w:rsid w:val="6EC76F0A"/>
    <w:rsid w:val="6EDA64E2"/>
    <w:rsid w:val="6EE4F619"/>
    <w:rsid w:val="6EEF5F5C"/>
    <w:rsid w:val="6EF89989"/>
    <w:rsid w:val="6F325B89"/>
    <w:rsid w:val="6F36B4C0"/>
    <w:rsid w:val="6F917EF6"/>
    <w:rsid w:val="6F9CF0EC"/>
    <w:rsid w:val="6FA192DE"/>
    <w:rsid w:val="6FBEE669"/>
    <w:rsid w:val="6FD68E1E"/>
    <w:rsid w:val="6FEC5C7C"/>
    <w:rsid w:val="6FF64450"/>
    <w:rsid w:val="7012E6D0"/>
    <w:rsid w:val="702B3B53"/>
    <w:rsid w:val="704C22CC"/>
    <w:rsid w:val="705FBDF9"/>
    <w:rsid w:val="707D3D63"/>
    <w:rsid w:val="708119E2"/>
    <w:rsid w:val="70CCFC37"/>
    <w:rsid w:val="70EC8FE5"/>
    <w:rsid w:val="710D7CD4"/>
    <w:rsid w:val="71339E49"/>
    <w:rsid w:val="7136BF26"/>
    <w:rsid w:val="71595A0D"/>
    <w:rsid w:val="715BFB19"/>
    <w:rsid w:val="71732226"/>
    <w:rsid w:val="71843BF3"/>
    <w:rsid w:val="71C4E0FB"/>
    <w:rsid w:val="71D5AC57"/>
    <w:rsid w:val="71F67625"/>
    <w:rsid w:val="7201285A"/>
    <w:rsid w:val="72708955"/>
    <w:rsid w:val="7288129D"/>
    <w:rsid w:val="7290D48E"/>
    <w:rsid w:val="72A25C45"/>
    <w:rsid w:val="72AC0BED"/>
    <w:rsid w:val="72D26CFA"/>
    <w:rsid w:val="72D99799"/>
    <w:rsid w:val="72E12939"/>
    <w:rsid w:val="731E179E"/>
    <w:rsid w:val="732F8C35"/>
    <w:rsid w:val="73887818"/>
    <w:rsid w:val="739A43AD"/>
    <w:rsid w:val="739F6C01"/>
    <w:rsid w:val="73B6EB1B"/>
    <w:rsid w:val="73C02CBF"/>
    <w:rsid w:val="73F1B62C"/>
    <w:rsid w:val="74352D43"/>
    <w:rsid w:val="7487F3CB"/>
    <w:rsid w:val="7489FE72"/>
    <w:rsid w:val="74A9FF41"/>
    <w:rsid w:val="74C7A27D"/>
    <w:rsid w:val="74C90B21"/>
    <w:rsid w:val="74D52B99"/>
    <w:rsid w:val="74E17F12"/>
    <w:rsid w:val="74F39CE9"/>
    <w:rsid w:val="751DDE60"/>
    <w:rsid w:val="7525498C"/>
    <w:rsid w:val="753C9EE9"/>
    <w:rsid w:val="7541C5BC"/>
    <w:rsid w:val="757F1546"/>
    <w:rsid w:val="758A97E1"/>
    <w:rsid w:val="75AE56C6"/>
    <w:rsid w:val="75E3A943"/>
    <w:rsid w:val="760F175E"/>
    <w:rsid w:val="7625A4A3"/>
    <w:rsid w:val="76268A21"/>
    <w:rsid w:val="762EB0A3"/>
    <w:rsid w:val="76357108"/>
    <w:rsid w:val="764B78EF"/>
    <w:rsid w:val="767703AA"/>
    <w:rsid w:val="769DB996"/>
    <w:rsid w:val="76A60E0F"/>
    <w:rsid w:val="76B80E46"/>
    <w:rsid w:val="76C87A5E"/>
    <w:rsid w:val="76E5E2C8"/>
    <w:rsid w:val="76F8EDC2"/>
    <w:rsid w:val="772A01C5"/>
    <w:rsid w:val="7740C5DC"/>
    <w:rsid w:val="7754C863"/>
    <w:rsid w:val="77726217"/>
    <w:rsid w:val="7774E7FE"/>
    <w:rsid w:val="77DDC6BE"/>
    <w:rsid w:val="7815B7B5"/>
    <w:rsid w:val="7867A60B"/>
    <w:rsid w:val="7887454B"/>
    <w:rsid w:val="78919AF7"/>
    <w:rsid w:val="789E2C92"/>
    <w:rsid w:val="78CF58B7"/>
    <w:rsid w:val="78D10C54"/>
    <w:rsid w:val="78F85D0F"/>
    <w:rsid w:val="78FA1EB0"/>
    <w:rsid w:val="793F117D"/>
    <w:rsid w:val="799C41B5"/>
    <w:rsid w:val="79D66931"/>
    <w:rsid w:val="7A083114"/>
    <w:rsid w:val="7A114F6F"/>
    <w:rsid w:val="7A4339B6"/>
    <w:rsid w:val="7A662B7C"/>
    <w:rsid w:val="7A9B6C28"/>
    <w:rsid w:val="7A9ED60A"/>
    <w:rsid w:val="7AB4CD51"/>
    <w:rsid w:val="7ABA0045"/>
    <w:rsid w:val="7AE8A9A6"/>
    <w:rsid w:val="7AED8BC9"/>
    <w:rsid w:val="7B01BC6B"/>
    <w:rsid w:val="7B25DBB0"/>
    <w:rsid w:val="7B360704"/>
    <w:rsid w:val="7B716277"/>
    <w:rsid w:val="7B8F5FBC"/>
    <w:rsid w:val="7B95C3AC"/>
    <w:rsid w:val="7BB01BE9"/>
    <w:rsid w:val="7BD638A3"/>
    <w:rsid w:val="7C0A1CD8"/>
    <w:rsid w:val="7C5EB330"/>
    <w:rsid w:val="7C6643BB"/>
    <w:rsid w:val="7C80E46B"/>
    <w:rsid w:val="7CA93807"/>
    <w:rsid w:val="7CC15588"/>
    <w:rsid w:val="7CC9C429"/>
    <w:rsid w:val="7CF9783C"/>
    <w:rsid w:val="7D0AE98D"/>
    <w:rsid w:val="7D2C83BF"/>
    <w:rsid w:val="7D52A971"/>
    <w:rsid w:val="7D6690E6"/>
    <w:rsid w:val="7D7121D5"/>
    <w:rsid w:val="7D8D4A72"/>
    <w:rsid w:val="7DB7AE1B"/>
    <w:rsid w:val="7DC6C247"/>
    <w:rsid w:val="7DD36E07"/>
    <w:rsid w:val="7DE6712D"/>
    <w:rsid w:val="7E0CF2BB"/>
    <w:rsid w:val="7E137BE0"/>
    <w:rsid w:val="7E24DB55"/>
    <w:rsid w:val="7E262AA6"/>
    <w:rsid w:val="7E33115D"/>
    <w:rsid w:val="7E36DA2A"/>
    <w:rsid w:val="7E3A7E26"/>
    <w:rsid w:val="7E45506B"/>
    <w:rsid w:val="7E6BE03C"/>
    <w:rsid w:val="7E8171E0"/>
    <w:rsid w:val="7F1C1AEC"/>
    <w:rsid w:val="7F1D0ED2"/>
    <w:rsid w:val="7F407A7A"/>
    <w:rsid w:val="7F70C03F"/>
    <w:rsid w:val="7F71A853"/>
    <w:rsid w:val="7F7A8F6A"/>
    <w:rsid w:val="7F8A6A1F"/>
    <w:rsid w:val="7F8B48EC"/>
    <w:rsid w:val="7FE6D9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CCE71014-B83C-4EA8-A07E-A3BB911D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30A"/>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1C1E47"/>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991DF7"/>
    <w:pPr>
      <w:keepNext/>
      <w:keepLines/>
      <w:numPr>
        <w:numId w:val="12"/>
      </w:numPr>
      <w:spacing w:before="120"/>
      <w:ind w:hanging="54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6C04A5"/>
    <w:pPr>
      <w:keepNext/>
      <w:keepLines/>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0C1C52"/>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1E47"/>
    <w:rPr>
      <w:b/>
      <w:bCs/>
      <w:sz w:val="28"/>
      <w:szCs w:val="28"/>
    </w:rPr>
  </w:style>
  <w:style w:type="character" w:customStyle="1" w:styleId="Heading2Char">
    <w:name w:val="Heading 2 Char"/>
    <w:basedOn w:val="DefaultParagraphFont"/>
    <w:link w:val="Heading2"/>
    <w:uiPriority w:val="99"/>
    <w:locked/>
    <w:rsid w:val="00991DF7"/>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6C04A5"/>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2815F2"/>
    <w:pPr>
      <w:tabs>
        <w:tab w:val="left" w:pos="480"/>
        <w:tab w:val="right" w:leader="dot" w:pos="9530"/>
      </w:tabs>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6A2BF7"/>
    <w:pPr>
      <w:tabs>
        <w:tab w:val="right" w:leader="dot" w:pos="9530"/>
      </w:tabs>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0C1C52"/>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paragraph" w:customStyle="1" w:styleId="xxmsonormal">
    <w:name w:val="x_xmsonormal"/>
    <w:basedOn w:val="Normal"/>
    <w:rsid w:val="00F25DC8"/>
    <w:pPr>
      <w:widowControl/>
      <w:autoSpaceDE/>
      <w:autoSpaceDN/>
      <w:adjustRightInd/>
    </w:pPr>
    <w:rPr>
      <w:rFonts w:eastAsiaTheme="minorHAnsi" w:cs="Calibri"/>
      <w:sz w:val="22"/>
      <w:szCs w:val="22"/>
    </w:rPr>
  </w:style>
  <w:style w:type="paragraph" w:customStyle="1" w:styleId="xxdefault">
    <w:name w:val="x_xdefault"/>
    <w:basedOn w:val="Normal"/>
    <w:rsid w:val="00F25DC8"/>
    <w:pPr>
      <w:widowControl/>
      <w:adjustRightInd/>
    </w:pPr>
    <w:rPr>
      <w:rFonts w:ascii="Times New Roman" w:eastAsiaTheme="minorHAnsi" w:hAnsi="Times New Roman"/>
      <w:color w:val="000000"/>
    </w:rPr>
  </w:style>
  <w:style w:type="character" w:styleId="UnresolvedMention">
    <w:name w:val="Unresolved Mention"/>
    <w:basedOn w:val="DefaultParagraphFont"/>
    <w:uiPriority w:val="99"/>
    <w:semiHidden/>
    <w:unhideWhenUsed/>
    <w:rsid w:val="004D1C35"/>
    <w:rPr>
      <w:color w:val="605E5C"/>
      <w:shd w:val="clear" w:color="auto" w:fill="E1DFDD"/>
    </w:rPr>
  </w:style>
  <w:style w:type="character" w:styleId="Mention">
    <w:name w:val="Mention"/>
    <w:basedOn w:val="DefaultParagraphFont"/>
    <w:uiPriority w:val="99"/>
    <w:unhideWhenUsed/>
    <w:rsid w:val="00793695"/>
    <w:rPr>
      <w:color w:val="2B579A"/>
      <w:shd w:val="clear" w:color="auto" w:fill="E1DFDD"/>
    </w:rPr>
  </w:style>
  <w:style w:type="paragraph" w:customStyle="1" w:styleId="paragraph">
    <w:name w:val="paragraph"/>
    <w:basedOn w:val="Normal"/>
    <w:rsid w:val="001F7D05"/>
    <w:pPr>
      <w:widowControl/>
      <w:autoSpaceDE/>
      <w:autoSpaceDN/>
      <w:adjustRightInd/>
      <w:spacing w:before="100" w:beforeAutospacing="1" w:after="100" w:afterAutospacing="1"/>
    </w:pPr>
    <w:rPr>
      <w:rFonts w:ascii="Times New Roman" w:hAnsi="Times New Roman"/>
    </w:rPr>
  </w:style>
  <w:style w:type="character" w:customStyle="1" w:styleId="normaltextrun">
    <w:name w:val="normaltextrun"/>
    <w:basedOn w:val="DefaultParagraphFont"/>
    <w:rsid w:val="001F7D05"/>
  </w:style>
  <w:style w:type="character" w:customStyle="1" w:styleId="eop">
    <w:name w:val="eop"/>
    <w:basedOn w:val="DefaultParagraphFont"/>
    <w:rsid w:val="001F7D05"/>
  </w:style>
  <w:style w:type="character" w:customStyle="1" w:styleId="ui-provider">
    <w:name w:val="ui-provider"/>
    <w:basedOn w:val="DefaultParagraphFont"/>
    <w:rsid w:val="00801F89"/>
  </w:style>
  <w:style w:type="table" w:customStyle="1" w:styleId="TableGridLight1">
    <w:name w:val="Table Grid Light1"/>
    <w:basedOn w:val="TableNormal"/>
    <w:next w:val="TableGridLight"/>
    <w:uiPriority w:val="40"/>
    <w:rsid w:val="006579AB"/>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f0">
    <w:name w:val="pf0"/>
    <w:basedOn w:val="Normal"/>
    <w:rsid w:val="006820F5"/>
    <w:pPr>
      <w:widowControl/>
      <w:autoSpaceDE/>
      <w:autoSpaceDN/>
      <w:adjustRightInd/>
      <w:spacing w:before="100" w:beforeAutospacing="1" w:after="100" w:afterAutospacing="1"/>
    </w:pPr>
    <w:rPr>
      <w:rFonts w:ascii="Times New Roman" w:hAnsi="Times New Roman"/>
    </w:rPr>
  </w:style>
  <w:style w:type="table" w:styleId="GridTable1Light">
    <w:name w:val="Grid Table 1 Light"/>
    <w:basedOn w:val="TableNormal"/>
    <w:uiPriority w:val="46"/>
    <w:rsid w:val="00C149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411925807">
      <w:bodyDiv w:val="1"/>
      <w:marLeft w:val="0"/>
      <w:marRight w:val="0"/>
      <w:marTop w:val="0"/>
      <w:marBottom w:val="0"/>
      <w:divBdr>
        <w:top w:val="none" w:sz="0" w:space="0" w:color="auto"/>
        <w:left w:val="none" w:sz="0" w:space="0" w:color="auto"/>
        <w:bottom w:val="none" w:sz="0" w:space="0" w:color="auto"/>
        <w:right w:val="none" w:sz="0" w:space="0" w:color="auto"/>
      </w:divBdr>
      <w:divsChild>
        <w:div w:id="201988295">
          <w:marLeft w:val="0"/>
          <w:marRight w:val="0"/>
          <w:marTop w:val="0"/>
          <w:marBottom w:val="0"/>
          <w:divBdr>
            <w:top w:val="none" w:sz="0" w:space="0" w:color="auto"/>
            <w:left w:val="none" w:sz="0" w:space="0" w:color="auto"/>
            <w:bottom w:val="none" w:sz="0" w:space="0" w:color="auto"/>
            <w:right w:val="none" w:sz="0" w:space="0" w:color="auto"/>
          </w:divBdr>
        </w:div>
        <w:div w:id="461970112">
          <w:marLeft w:val="0"/>
          <w:marRight w:val="0"/>
          <w:marTop w:val="0"/>
          <w:marBottom w:val="0"/>
          <w:divBdr>
            <w:top w:val="none" w:sz="0" w:space="0" w:color="auto"/>
            <w:left w:val="none" w:sz="0" w:space="0" w:color="auto"/>
            <w:bottom w:val="none" w:sz="0" w:space="0" w:color="auto"/>
            <w:right w:val="none" w:sz="0" w:space="0" w:color="auto"/>
          </w:divBdr>
        </w:div>
        <w:div w:id="1781221785">
          <w:marLeft w:val="0"/>
          <w:marRight w:val="0"/>
          <w:marTop w:val="0"/>
          <w:marBottom w:val="0"/>
          <w:divBdr>
            <w:top w:val="none" w:sz="0" w:space="0" w:color="auto"/>
            <w:left w:val="none" w:sz="0" w:space="0" w:color="auto"/>
            <w:bottom w:val="none" w:sz="0" w:space="0" w:color="auto"/>
            <w:right w:val="none" w:sz="0" w:space="0" w:color="auto"/>
          </w:divBdr>
          <w:divsChild>
            <w:div w:id="555049523">
              <w:marLeft w:val="0"/>
              <w:marRight w:val="0"/>
              <w:marTop w:val="30"/>
              <w:marBottom w:val="30"/>
              <w:divBdr>
                <w:top w:val="none" w:sz="0" w:space="0" w:color="auto"/>
                <w:left w:val="none" w:sz="0" w:space="0" w:color="auto"/>
                <w:bottom w:val="none" w:sz="0" w:space="0" w:color="auto"/>
                <w:right w:val="none" w:sz="0" w:space="0" w:color="auto"/>
              </w:divBdr>
              <w:divsChild>
                <w:div w:id="129593861">
                  <w:marLeft w:val="0"/>
                  <w:marRight w:val="0"/>
                  <w:marTop w:val="0"/>
                  <w:marBottom w:val="0"/>
                  <w:divBdr>
                    <w:top w:val="none" w:sz="0" w:space="0" w:color="auto"/>
                    <w:left w:val="none" w:sz="0" w:space="0" w:color="auto"/>
                    <w:bottom w:val="none" w:sz="0" w:space="0" w:color="auto"/>
                    <w:right w:val="none" w:sz="0" w:space="0" w:color="auto"/>
                  </w:divBdr>
                  <w:divsChild>
                    <w:div w:id="915866247">
                      <w:marLeft w:val="0"/>
                      <w:marRight w:val="0"/>
                      <w:marTop w:val="0"/>
                      <w:marBottom w:val="0"/>
                      <w:divBdr>
                        <w:top w:val="none" w:sz="0" w:space="0" w:color="auto"/>
                        <w:left w:val="none" w:sz="0" w:space="0" w:color="auto"/>
                        <w:bottom w:val="none" w:sz="0" w:space="0" w:color="auto"/>
                        <w:right w:val="none" w:sz="0" w:space="0" w:color="auto"/>
                      </w:divBdr>
                    </w:div>
                  </w:divsChild>
                </w:div>
                <w:div w:id="179123027">
                  <w:marLeft w:val="0"/>
                  <w:marRight w:val="0"/>
                  <w:marTop w:val="0"/>
                  <w:marBottom w:val="0"/>
                  <w:divBdr>
                    <w:top w:val="none" w:sz="0" w:space="0" w:color="auto"/>
                    <w:left w:val="none" w:sz="0" w:space="0" w:color="auto"/>
                    <w:bottom w:val="none" w:sz="0" w:space="0" w:color="auto"/>
                    <w:right w:val="none" w:sz="0" w:space="0" w:color="auto"/>
                  </w:divBdr>
                  <w:divsChild>
                    <w:div w:id="368606093">
                      <w:marLeft w:val="0"/>
                      <w:marRight w:val="0"/>
                      <w:marTop w:val="0"/>
                      <w:marBottom w:val="0"/>
                      <w:divBdr>
                        <w:top w:val="none" w:sz="0" w:space="0" w:color="auto"/>
                        <w:left w:val="none" w:sz="0" w:space="0" w:color="auto"/>
                        <w:bottom w:val="none" w:sz="0" w:space="0" w:color="auto"/>
                        <w:right w:val="none" w:sz="0" w:space="0" w:color="auto"/>
                      </w:divBdr>
                    </w:div>
                  </w:divsChild>
                </w:div>
                <w:div w:id="220143455">
                  <w:marLeft w:val="0"/>
                  <w:marRight w:val="0"/>
                  <w:marTop w:val="0"/>
                  <w:marBottom w:val="0"/>
                  <w:divBdr>
                    <w:top w:val="none" w:sz="0" w:space="0" w:color="auto"/>
                    <w:left w:val="none" w:sz="0" w:space="0" w:color="auto"/>
                    <w:bottom w:val="none" w:sz="0" w:space="0" w:color="auto"/>
                    <w:right w:val="none" w:sz="0" w:space="0" w:color="auto"/>
                  </w:divBdr>
                  <w:divsChild>
                    <w:div w:id="1005977717">
                      <w:marLeft w:val="0"/>
                      <w:marRight w:val="0"/>
                      <w:marTop w:val="0"/>
                      <w:marBottom w:val="0"/>
                      <w:divBdr>
                        <w:top w:val="none" w:sz="0" w:space="0" w:color="auto"/>
                        <w:left w:val="none" w:sz="0" w:space="0" w:color="auto"/>
                        <w:bottom w:val="none" w:sz="0" w:space="0" w:color="auto"/>
                        <w:right w:val="none" w:sz="0" w:space="0" w:color="auto"/>
                      </w:divBdr>
                    </w:div>
                  </w:divsChild>
                </w:div>
                <w:div w:id="353698555">
                  <w:marLeft w:val="0"/>
                  <w:marRight w:val="0"/>
                  <w:marTop w:val="0"/>
                  <w:marBottom w:val="0"/>
                  <w:divBdr>
                    <w:top w:val="none" w:sz="0" w:space="0" w:color="auto"/>
                    <w:left w:val="none" w:sz="0" w:space="0" w:color="auto"/>
                    <w:bottom w:val="none" w:sz="0" w:space="0" w:color="auto"/>
                    <w:right w:val="none" w:sz="0" w:space="0" w:color="auto"/>
                  </w:divBdr>
                  <w:divsChild>
                    <w:div w:id="1184980235">
                      <w:marLeft w:val="0"/>
                      <w:marRight w:val="0"/>
                      <w:marTop w:val="0"/>
                      <w:marBottom w:val="0"/>
                      <w:divBdr>
                        <w:top w:val="none" w:sz="0" w:space="0" w:color="auto"/>
                        <w:left w:val="none" w:sz="0" w:space="0" w:color="auto"/>
                        <w:bottom w:val="none" w:sz="0" w:space="0" w:color="auto"/>
                        <w:right w:val="none" w:sz="0" w:space="0" w:color="auto"/>
                      </w:divBdr>
                    </w:div>
                  </w:divsChild>
                </w:div>
                <w:div w:id="393747178">
                  <w:marLeft w:val="0"/>
                  <w:marRight w:val="0"/>
                  <w:marTop w:val="0"/>
                  <w:marBottom w:val="0"/>
                  <w:divBdr>
                    <w:top w:val="none" w:sz="0" w:space="0" w:color="auto"/>
                    <w:left w:val="none" w:sz="0" w:space="0" w:color="auto"/>
                    <w:bottom w:val="none" w:sz="0" w:space="0" w:color="auto"/>
                    <w:right w:val="none" w:sz="0" w:space="0" w:color="auto"/>
                  </w:divBdr>
                  <w:divsChild>
                    <w:div w:id="1596473476">
                      <w:marLeft w:val="0"/>
                      <w:marRight w:val="0"/>
                      <w:marTop w:val="0"/>
                      <w:marBottom w:val="0"/>
                      <w:divBdr>
                        <w:top w:val="none" w:sz="0" w:space="0" w:color="auto"/>
                        <w:left w:val="none" w:sz="0" w:space="0" w:color="auto"/>
                        <w:bottom w:val="none" w:sz="0" w:space="0" w:color="auto"/>
                        <w:right w:val="none" w:sz="0" w:space="0" w:color="auto"/>
                      </w:divBdr>
                    </w:div>
                  </w:divsChild>
                </w:div>
                <w:div w:id="781531496">
                  <w:marLeft w:val="0"/>
                  <w:marRight w:val="0"/>
                  <w:marTop w:val="0"/>
                  <w:marBottom w:val="0"/>
                  <w:divBdr>
                    <w:top w:val="none" w:sz="0" w:space="0" w:color="auto"/>
                    <w:left w:val="none" w:sz="0" w:space="0" w:color="auto"/>
                    <w:bottom w:val="none" w:sz="0" w:space="0" w:color="auto"/>
                    <w:right w:val="none" w:sz="0" w:space="0" w:color="auto"/>
                  </w:divBdr>
                  <w:divsChild>
                    <w:div w:id="1428383145">
                      <w:marLeft w:val="0"/>
                      <w:marRight w:val="0"/>
                      <w:marTop w:val="0"/>
                      <w:marBottom w:val="0"/>
                      <w:divBdr>
                        <w:top w:val="none" w:sz="0" w:space="0" w:color="auto"/>
                        <w:left w:val="none" w:sz="0" w:space="0" w:color="auto"/>
                        <w:bottom w:val="none" w:sz="0" w:space="0" w:color="auto"/>
                        <w:right w:val="none" w:sz="0" w:space="0" w:color="auto"/>
                      </w:divBdr>
                    </w:div>
                  </w:divsChild>
                </w:div>
                <w:div w:id="811869132">
                  <w:marLeft w:val="0"/>
                  <w:marRight w:val="0"/>
                  <w:marTop w:val="0"/>
                  <w:marBottom w:val="0"/>
                  <w:divBdr>
                    <w:top w:val="none" w:sz="0" w:space="0" w:color="auto"/>
                    <w:left w:val="none" w:sz="0" w:space="0" w:color="auto"/>
                    <w:bottom w:val="none" w:sz="0" w:space="0" w:color="auto"/>
                    <w:right w:val="none" w:sz="0" w:space="0" w:color="auto"/>
                  </w:divBdr>
                  <w:divsChild>
                    <w:div w:id="581716605">
                      <w:marLeft w:val="0"/>
                      <w:marRight w:val="0"/>
                      <w:marTop w:val="0"/>
                      <w:marBottom w:val="0"/>
                      <w:divBdr>
                        <w:top w:val="none" w:sz="0" w:space="0" w:color="auto"/>
                        <w:left w:val="none" w:sz="0" w:space="0" w:color="auto"/>
                        <w:bottom w:val="none" w:sz="0" w:space="0" w:color="auto"/>
                        <w:right w:val="none" w:sz="0" w:space="0" w:color="auto"/>
                      </w:divBdr>
                    </w:div>
                  </w:divsChild>
                </w:div>
                <w:div w:id="877165278">
                  <w:marLeft w:val="0"/>
                  <w:marRight w:val="0"/>
                  <w:marTop w:val="0"/>
                  <w:marBottom w:val="0"/>
                  <w:divBdr>
                    <w:top w:val="none" w:sz="0" w:space="0" w:color="auto"/>
                    <w:left w:val="none" w:sz="0" w:space="0" w:color="auto"/>
                    <w:bottom w:val="none" w:sz="0" w:space="0" w:color="auto"/>
                    <w:right w:val="none" w:sz="0" w:space="0" w:color="auto"/>
                  </w:divBdr>
                  <w:divsChild>
                    <w:div w:id="900865751">
                      <w:marLeft w:val="0"/>
                      <w:marRight w:val="0"/>
                      <w:marTop w:val="0"/>
                      <w:marBottom w:val="0"/>
                      <w:divBdr>
                        <w:top w:val="none" w:sz="0" w:space="0" w:color="auto"/>
                        <w:left w:val="none" w:sz="0" w:space="0" w:color="auto"/>
                        <w:bottom w:val="none" w:sz="0" w:space="0" w:color="auto"/>
                        <w:right w:val="none" w:sz="0" w:space="0" w:color="auto"/>
                      </w:divBdr>
                    </w:div>
                  </w:divsChild>
                </w:div>
                <w:div w:id="902106224">
                  <w:marLeft w:val="0"/>
                  <w:marRight w:val="0"/>
                  <w:marTop w:val="0"/>
                  <w:marBottom w:val="0"/>
                  <w:divBdr>
                    <w:top w:val="none" w:sz="0" w:space="0" w:color="auto"/>
                    <w:left w:val="none" w:sz="0" w:space="0" w:color="auto"/>
                    <w:bottom w:val="none" w:sz="0" w:space="0" w:color="auto"/>
                    <w:right w:val="none" w:sz="0" w:space="0" w:color="auto"/>
                  </w:divBdr>
                  <w:divsChild>
                    <w:div w:id="1835219023">
                      <w:marLeft w:val="0"/>
                      <w:marRight w:val="0"/>
                      <w:marTop w:val="0"/>
                      <w:marBottom w:val="0"/>
                      <w:divBdr>
                        <w:top w:val="none" w:sz="0" w:space="0" w:color="auto"/>
                        <w:left w:val="none" w:sz="0" w:space="0" w:color="auto"/>
                        <w:bottom w:val="none" w:sz="0" w:space="0" w:color="auto"/>
                        <w:right w:val="none" w:sz="0" w:space="0" w:color="auto"/>
                      </w:divBdr>
                    </w:div>
                  </w:divsChild>
                </w:div>
                <w:div w:id="1165392513">
                  <w:marLeft w:val="0"/>
                  <w:marRight w:val="0"/>
                  <w:marTop w:val="0"/>
                  <w:marBottom w:val="0"/>
                  <w:divBdr>
                    <w:top w:val="none" w:sz="0" w:space="0" w:color="auto"/>
                    <w:left w:val="none" w:sz="0" w:space="0" w:color="auto"/>
                    <w:bottom w:val="none" w:sz="0" w:space="0" w:color="auto"/>
                    <w:right w:val="none" w:sz="0" w:space="0" w:color="auto"/>
                  </w:divBdr>
                  <w:divsChild>
                    <w:div w:id="1861967216">
                      <w:marLeft w:val="0"/>
                      <w:marRight w:val="0"/>
                      <w:marTop w:val="0"/>
                      <w:marBottom w:val="0"/>
                      <w:divBdr>
                        <w:top w:val="none" w:sz="0" w:space="0" w:color="auto"/>
                        <w:left w:val="none" w:sz="0" w:space="0" w:color="auto"/>
                        <w:bottom w:val="none" w:sz="0" w:space="0" w:color="auto"/>
                        <w:right w:val="none" w:sz="0" w:space="0" w:color="auto"/>
                      </w:divBdr>
                    </w:div>
                  </w:divsChild>
                </w:div>
                <w:div w:id="1166093604">
                  <w:marLeft w:val="0"/>
                  <w:marRight w:val="0"/>
                  <w:marTop w:val="0"/>
                  <w:marBottom w:val="0"/>
                  <w:divBdr>
                    <w:top w:val="none" w:sz="0" w:space="0" w:color="auto"/>
                    <w:left w:val="none" w:sz="0" w:space="0" w:color="auto"/>
                    <w:bottom w:val="none" w:sz="0" w:space="0" w:color="auto"/>
                    <w:right w:val="none" w:sz="0" w:space="0" w:color="auto"/>
                  </w:divBdr>
                  <w:divsChild>
                    <w:div w:id="684862182">
                      <w:marLeft w:val="0"/>
                      <w:marRight w:val="0"/>
                      <w:marTop w:val="0"/>
                      <w:marBottom w:val="0"/>
                      <w:divBdr>
                        <w:top w:val="none" w:sz="0" w:space="0" w:color="auto"/>
                        <w:left w:val="none" w:sz="0" w:space="0" w:color="auto"/>
                        <w:bottom w:val="none" w:sz="0" w:space="0" w:color="auto"/>
                        <w:right w:val="none" w:sz="0" w:space="0" w:color="auto"/>
                      </w:divBdr>
                    </w:div>
                  </w:divsChild>
                </w:div>
                <w:div w:id="1242445836">
                  <w:marLeft w:val="0"/>
                  <w:marRight w:val="0"/>
                  <w:marTop w:val="0"/>
                  <w:marBottom w:val="0"/>
                  <w:divBdr>
                    <w:top w:val="none" w:sz="0" w:space="0" w:color="auto"/>
                    <w:left w:val="none" w:sz="0" w:space="0" w:color="auto"/>
                    <w:bottom w:val="none" w:sz="0" w:space="0" w:color="auto"/>
                    <w:right w:val="none" w:sz="0" w:space="0" w:color="auto"/>
                  </w:divBdr>
                  <w:divsChild>
                    <w:div w:id="1789622856">
                      <w:marLeft w:val="0"/>
                      <w:marRight w:val="0"/>
                      <w:marTop w:val="0"/>
                      <w:marBottom w:val="0"/>
                      <w:divBdr>
                        <w:top w:val="none" w:sz="0" w:space="0" w:color="auto"/>
                        <w:left w:val="none" w:sz="0" w:space="0" w:color="auto"/>
                        <w:bottom w:val="none" w:sz="0" w:space="0" w:color="auto"/>
                        <w:right w:val="none" w:sz="0" w:space="0" w:color="auto"/>
                      </w:divBdr>
                    </w:div>
                  </w:divsChild>
                </w:div>
                <w:div w:id="1323779852">
                  <w:marLeft w:val="0"/>
                  <w:marRight w:val="0"/>
                  <w:marTop w:val="0"/>
                  <w:marBottom w:val="0"/>
                  <w:divBdr>
                    <w:top w:val="none" w:sz="0" w:space="0" w:color="auto"/>
                    <w:left w:val="none" w:sz="0" w:space="0" w:color="auto"/>
                    <w:bottom w:val="none" w:sz="0" w:space="0" w:color="auto"/>
                    <w:right w:val="none" w:sz="0" w:space="0" w:color="auto"/>
                  </w:divBdr>
                  <w:divsChild>
                    <w:div w:id="1181360326">
                      <w:marLeft w:val="0"/>
                      <w:marRight w:val="0"/>
                      <w:marTop w:val="0"/>
                      <w:marBottom w:val="0"/>
                      <w:divBdr>
                        <w:top w:val="none" w:sz="0" w:space="0" w:color="auto"/>
                        <w:left w:val="none" w:sz="0" w:space="0" w:color="auto"/>
                        <w:bottom w:val="none" w:sz="0" w:space="0" w:color="auto"/>
                        <w:right w:val="none" w:sz="0" w:space="0" w:color="auto"/>
                      </w:divBdr>
                    </w:div>
                  </w:divsChild>
                </w:div>
                <w:div w:id="1326781558">
                  <w:marLeft w:val="0"/>
                  <w:marRight w:val="0"/>
                  <w:marTop w:val="0"/>
                  <w:marBottom w:val="0"/>
                  <w:divBdr>
                    <w:top w:val="none" w:sz="0" w:space="0" w:color="auto"/>
                    <w:left w:val="none" w:sz="0" w:space="0" w:color="auto"/>
                    <w:bottom w:val="none" w:sz="0" w:space="0" w:color="auto"/>
                    <w:right w:val="none" w:sz="0" w:space="0" w:color="auto"/>
                  </w:divBdr>
                  <w:divsChild>
                    <w:div w:id="1687364689">
                      <w:marLeft w:val="0"/>
                      <w:marRight w:val="0"/>
                      <w:marTop w:val="0"/>
                      <w:marBottom w:val="0"/>
                      <w:divBdr>
                        <w:top w:val="none" w:sz="0" w:space="0" w:color="auto"/>
                        <w:left w:val="none" w:sz="0" w:space="0" w:color="auto"/>
                        <w:bottom w:val="none" w:sz="0" w:space="0" w:color="auto"/>
                        <w:right w:val="none" w:sz="0" w:space="0" w:color="auto"/>
                      </w:divBdr>
                    </w:div>
                  </w:divsChild>
                </w:div>
                <w:div w:id="1358117532">
                  <w:marLeft w:val="0"/>
                  <w:marRight w:val="0"/>
                  <w:marTop w:val="0"/>
                  <w:marBottom w:val="0"/>
                  <w:divBdr>
                    <w:top w:val="none" w:sz="0" w:space="0" w:color="auto"/>
                    <w:left w:val="none" w:sz="0" w:space="0" w:color="auto"/>
                    <w:bottom w:val="none" w:sz="0" w:space="0" w:color="auto"/>
                    <w:right w:val="none" w:sz="0" w:space="0" w:color="auto"/>
                  </w:divBdr>
                  <w:divsChild>
                    <w:div w:id="10183949">
                      <w:marLeft w:val="0"/>
                      <w:marRight w:val="0"/>
                      <w:marTop w:val="0"/>
                      <w:marBottom w:val="0"/>
                      <w:divBdr>
                        <w:top w:val="none" w:sz="0" w:space="0" w:color="auto"/>
                        <w:left w:val="none" w:sz="0" w:space="0" w:color="auto"/>
                        <w:bottom w:val="none" w:sz="0" w:space="0" w:color="auto"/>
                        <w:right w:val="none" w:sz="0" w:space="0" w:color="auto"/>
                      </w:divBdr>
                    </w:div>
                  </w:divsChild>
                </w:div>
                <w:div w:id="1432772337">
                  <w:marLeft w:val="0"/>
                  <w:marRight w:val="0"/>
                  <w:marTop w:val="0"/>
                  <w:marBottom w:val="0"/>
                  <w:divBdr>
                    <w:top w:val="none" w:sz="0" w:space="0" w:color="auto"/>
                    <w:left w:val="none" w:sz="0" w:space="0" w:color="auto"/>
                    <w:bottom w:val="none" w:sz="0" w:space="0" w:color="auto"/>
                    <w:right w:val="none" w:sz="0" w:space="0" w:color="auto"/>
                  </w:divBdr>
                  <w:divsChild>
                    <w:div w:id="391975699">
                      <w:marLeft w:val="0"/>
                      <w:marRight w:val="0"/>
                      <w:marTop w:val="0"/>
                      <w:marBottom w:val="0"/>
                      <w:divBdr>
                        <w:top w:val="none" w:sz="0" w:space="0" w:color="auto"/>
                        <w:left w:val="none" w:sz="0" w:space="0" w:color="auto"/>
                        <w:bottom w:val="none" w:sz="0" w:space="0" w:color="auto"/>
                        <w:right w:val="none" w:sz="0" w:space="0" w:color="auto"/>
                      </w:divBdr>
                    </w:div>
                  </w:divsChild>
                </w:div>
                <w:div w:id="1574388607">
                  <w:marLeft w:val="0"/>
                  <w:marRight w:val="0"/>
                  <w:marTop w:val="0"/>
                  <w:marBottom w:val="0"/>
                  <w:divBdr>
                    <w:top w:val="none" w:sz="0" w:space="0" w:color="auto"/>
                    <w:left w:val="none" w:sz="0" w:space="0" w:color="auto"/>
                    <w:bottom w:val="none" w:sz="0" w:space="0" w:color="auto"/>
                    <w:right w:val="none" w:sz="0" w:space="0" w:color="auto"/>
                  </w:divBdr>
                  <w:divsChild>
                    <w:div w:id="838346517">
                      <w:marLeft w:val="0"/>
                      <w:marRight w:val="0"/>
                      <w:marTop w:val="0"/>
                      <w:marBottom w:val="0"/>
                      <w:divBdr>
                        <w:top w:val="none" w:sz="0" w:space="0" w:color="auto"/>
                        <w:left w:val="none" w:sz="0" w:space="0" w:color="auto"/>
                        <w:bottom w:val="none" w:sz="0" w:space="0" w:color="auto"/>
                        <w:right w:val="none" w:sz="0" w:space="0" w:color="auto"/>
                      </w:divBdr>
                    </w:div>
                  </w:divsChild>
                </w:div>
                <w:div w:id="1639609398">
                  <w:marLeft w:val="0"/>
                  <w:marRight w:val="0"/>
                  <w:marTop w:val="0"/>
                  <w:marBottom w:val="0"/>
                  <w:divBdr>
                    <w:top w:val="none" w:sz="0" w:space="0" w:color="auto"/>
                    <w:left w:val="none" w:sz="0" w:space="0" w:color="auto"/>
                    <w:bottom w:val="none" w:sz="0" w:space="0" w:color="auto"/>
                    <w:right w:val="none" w:sz="0" w:space="0" w:color="auto"/>
                  </w:divBdr>
                  <w:divsChild>
                    <w:div w:id="261842246">
                      <w:marLeft w:val="0"/>
                      <w:marRight w:val="0"/>
                      <w:marTop w:val="0"/>
                      <w:marBottom w:val="0"/>
                      <w:divBdr>
                        <w:top w:val="none" w:sz="0" w:space="0" w:color="auto"/>
                        <w:left w:val="none" w:sz="0" w:space="0" w:color="auto"/>
                        <w:bottom w:val="none" w:sz="0" w:space="0" w:color="auto"/>
                        <w:right w:val="none" w:sz="0" w:space="0" w:color="auto"/>
                      </w:divBdr>
                    </w:div>
                  </w:divsChild>
                </w:div>
                <w:div w:id="1674527599">
                  <w:marLeft w:val="0"/>
                  <w:marRight w:val="0"/>
                  <w:marTop w:val="0"/>
                  <w:marBottom w:val="0"/>
                  <w:divBdr>
                    <w:top w:val="none" w:sz="0" w:space="0" w:color="auto"/>
                    <w:left w:val="none" w:sz="0" w:space="0" w:color="auto"/>
                    <w:bottom w:val="none" w:sz="0" w:space="0" w:color="auto"/>
                    <w:right w:val="none" w:sz="0" w:space="0" w:color="auto"/>
                  </w:divBdr>
                  <w:divsChild>
                    <w:div w:id="1138765216">
                      <w:marLeft w:val="0"/>
                      <w:marRight w:val="0"/>
                      <w:marTop w:val="0"/>
                      <w:marBottom w:val="0"/>
                      <w:divBdr>
                        <w:top w:val="none" w:sz="0" w:space="0" w:color="auto"/>
                        <w:left w:val="none" w:sz="0" w:space="0" w:color="auto"/>
                        <w:bottom w:val="none" w:sz="0" w:space="0" w:color="auto"/>
                        <w:right w:val="none" w:sz="0" w:space="0" w:color="auto"/>
                      </w:divBdr>
                    </w:div>
                  </w:divsChild>
                </w:div>
                <w:div w:id="1743332169">
                  <w:marLeft w:val="0"/>
                  <w:marRight w:val="0"/>
                  <w:marTop w:val="0"/>
                  <w:marBottom w:val="0"/>
                  <w:divBdr>
                    <w:top w:val="none" w:sz="0" w:space="0" w:color="auto"/>
                    <w:left w:val="none" w:sz="0" w:space="0" w:color="auto"/>
                    <w:bottom w:val="none" w:sz="0" w:space="0" w:color="auto"/>
                    <w:right w:val="none" w:sz="0" w:space="0" w:color="auto"/>
                  </w:divBdr>
                  <w:divsChild>
                    <w:div w:id="1305890884">
                      <w:marLeft w:val="0"/>
                      <w:marRight w:val="0"/>
                      <w:marTop w:val="0"/>
                      <w:marBottom w:val="0"/>
                      <w:divBdr>
                        <w:top w:val="none" w:sz="0" w:space="0" w:color="auto"/>
                        <w:left w:val="none" w:sz="0" w:space="0" w:color="auto"/>
                        <w:bottom w:val="none" w:sz="0" w:space="0" w:color="auto"/>
                        <w:right w:val="none" w:sz="0" w:space="0" w:color="auto"/>
                      </w:divBdr>
                    </w:div>
                  </w:divsChild>
                </w:div>
                <w:div w:id="1981688396">
                  <w:marLeft w:val="0"/>
                  <w:marRight w:val="0"/>
                  <w:marTop w:val="0"/>
                  <w:marBottom w:val="0"/>
                  <w:divBdr>
                    <w:top w:val="none" w:sz="0" w:space="0" w:color="auto"/>
                    <w:left w:val="none" w:sz="0" w:space="0" w:color="auto"/>
                    <w:bottom w:val="none" w:sz="0" w:space="0" w:color="auto"/>
                    <w:right w:val="none" w:sz="0" w:space="0" w:color="auto"/>
                  </w:divBdr>
                  <w:divsChild>
                    <w:div w:id="845634036">
                      <w:marLeft w:val="0"/>
                      <w:marRight w:val="0"/>
                      <w:marTop w:val="0"/>
                      <w:marBottom w:val="0"/>
                      <w:divBdr>
                        <w:top w:val="none" w:sz="0" w:space="0" w:color="auto"/>
                        <w:left w:val="none" w:sz="0" w:space="0" w:color="auto"/>
                        <w:bottom w:val="none" w:sz="0" w:space="0" w:color="auto"/>
                        <w:right w:val="none" w:sz="0" w:space="0" w:color="auto"/>
                      </w:divBdr>
                    </w:div>
                  </w:divsChild>
                </w:div>
                <w:div w:id="1998532390">
                  <w:marLeft w:val="0"/>
                  <w:marRight w:val="0"/>
                  <w:marTop w:val="0"/>
                  <w:marBottom w:val="0"/>
                  <w:divBdr>
                    <w:top w:val="none" w:sz="0" w:space="0" w:color="auto"/>
                    <w:left w:val="none" w:sz="0" w:space="0" w:color="auto"/>
                    <w:bottom w:val="none" w:sz="0" w:space="0" w:color="auto"/>
                    <w:right w:val="none" w:sz="0" w:space="0" w:color="auto"/>
                  </w:divBdr>
                  <w:divsChild>
                    <w:div w:id="1330673632">
                      <w:marLeft w:val="0"/>
                      <w:marRight w:val="0"/>
                      <w:marTop w:val="0"/>
                      <w:marBottom w:val="0"/>
                      <w:divBdr>
                        <w:top w:val="none" w:sz="0" w:space="0" w:color="auto"/>
                        <w:left w:val="none" w:sz="0" w:space="0" w:color="auto"/>
                        <w:bottom w:val="none" w:sz="0" w:space="0" w:color="auto"/>
                        <w:right w:val="none" w:sz="0" w:space="0" w:color="auto"/>
                      </w:divBdr>
                    </w:div>
                  </w:divsChild>
                </w:div>
                <w:div w:id="2047094822">
                  <w:marLeft w:val="0"/>
                  <w:marRight w:val="0"/>
                  <w:marTop w:val="0"/>
                  <w:marBottom w:val="0"/>
                  <w:divBdr>
                    <w:top w:val="none" w:sz="0" w:space="0" w:color="auto"/>
                    <w:left w:val="none" w:sz="0" w:space="0" w:color="auto"/>
                    <w:bottom w:val="none" w:sz="0" w:space="0" w:color="auto"/>
                    <w:right w:val="none" w:sz="0" w:space="0" w:color="auto"/>
                  </w:divBdr>
                  <w:divsChild>
                    <w:div w:id="1609312475">
                      <w:marLeft w:val="0"/>
                      <w:marRight w:val="0"/>
                      <w:marTop w:val="0"/>
                      <w:marBottom w:val="0"/>
                      <w:divBdr>
                        <w:top w:val="none" w:sz="0" w:space="0" w:color="auto"/>
                        <w:left w:val="none" w:sz="0" w:space="0" w:color="auto"/>
                        <w:bottom w:val="none" w:sz="0" w:space="0" w:color="auto"/>
                        <w:right w:val="none" w:sz="0" w:space="0" w:color="auto"/>
                      </w:divBdr>
                    </w:div>
                  </w:divsChild>
                </w:div>
                <w:div w:id="2074237173">
                  <w:marLeft w:val="0"/>
                  <w:marRight w:val="0"/>
                  <w:marTop w:val="0"/>
                  <w:marBottom w:val="0"/>
                  <w:divBdr>
                    <w:top w:val="none" w:sz="0" w:space="0" w:color="auto"/>
                    <w:left w:val="none" w:sz="0" w:space="0" w:color="auto"/>
                    <w:bottom w:val="none" w:sz="0" w:space="0" w:color="auto"/>
                    <w:right w:val="none" w:sz="0" w:space="0" w:color="auto"/>
                  </w:divBdr>
                  <w:divsChild>
                    <w:div w:id="3298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32087">
          <w:marLeft w:val="0"/>
          <w:marRight w:val="0"/>
          <w:marTop w:val="0"/>
          <w:marBottom w:val="0"/>
          <w:divBdr>
            <w:top w:val="none" w:sz="0" w:space="0" w:color="auto"/>
            <w:left w:val="none" w:sz="0" w:space="0" w:color="auto"/>
            <w:bottom w:val="none" w:sz="0" w:space="0" w:color="auto"/>
            <w:right w:val="none" w:sz="0" w:space="0" w:color="auto"/>
          </w:divBdr>
        </w:div>
      </w:divsChild>
    </w:div>
    <w:div w:id="675114694">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959914143">
      <w:bodyDiv w:val="1"/>
      <w:marLeft w:val="0"/>
      <w:marRight w:val="0"/>
      <w:marTop w:val="0"/>
      <w:marBottom w:val="0"/>
      <w:divBdr>
        <w:top w:val="none" w:sz="0" w:space="0" w:color="auto"/>
        <w:left w:val="none" w:sz="0" w:space="0" w:color="auto"/>
        <w:bottom w:val="none" w:sz="0" w:space="0" w:color="auto"/>
        <w:right w:val="none" w:sz="0" w:space="0" w:color="auto"/>
      </w:divBdr>
    </w:div>
    <w:div w:id="984433439">
      <w:bodyDiv w:val="1"/>
      <w:marLeft w:val="0"/>
      <w:marRight w:val="0"/>
      <w:marTop w:val="0"/>
      <w:marBottom w:val="0"/>
      <w:divBdr>
        <w:top w:val="none" w:sz="0" w:space="0" w:color="auto"/>
        <w:left w:val="none" w:sz="0" w:space="0" w:color="auto"/>
        <w:bottom w:val="none" w:sz="0" w:space="0" w:color="auto"/>
        <w:right w:val="none" w:sz="0" w:space="0" w:color="auto"/>
      </w:divBdr>
    </w:div>
    <w:div w:id="1111122098">
      <w:bodyDiv w:val="1"/>
      <w:marLeft w:val="0"/>
      <w:marRight w:val="0"/>
      <w:marTop w:val="0"/>
      <w:marBottom w:val="0"/>
      <w:divBdr>
        <w:top w:val="none" w:sz="0" w:space="0" w:color="auto"/>
        <w:left w:val="none" w:sz="0" w:space="0" w:color="auto"/>
        <w:bottom w:val="none" w:sz="0" w:space="0" w:color="auto"/>
        <w:right w:val="none" w:sz="0" w:space="0" w:color="auto"/>
      </w:divBdr>
      <w:divsChild>
        <w:div w:id="999194184">
          <w:marLeft w:val="0"/>
          <w:marRight w:val="0"/>
          <w:marTop w:val="0"/>
          <w:marBottom w:val="0"/>
          <w:divBdr>
            <w:top w:val="none" w:sz="0" w:space="0" w:color="auto"/>
            <w:left w:val="none" w:sz="0" w:space="0" w:color="auto"/>
            <w:bottom w:val="none" w:sz="0" w:space="0" w:color="auto"/>
            <w:right w:val="none" w:sz="0" w:space="0" w:color="auto"/>
          </w:divBdr>
        </w:div>
        <w:div w:id="1018583612">
          <w:marLeft w:val="0"/>
          <w:marRight w:val="0"/>
          <w:marTop w:val="0"/>
          <w:marBottom w:val="0"/>
          <w:divBdr>
            <w:top w:val="none" w:sz="0" w:space="0" w:color="auto"/>
            <w:left w:val="none" w:sz="0" w:space="0" w:color="auto"/>
            <w:bottom w:val="none" w:sz="0" w:space="0" w:color="auto"/>
            <w:right w:val="none" w:sz="0" w:space="0" w:color="auto"/>
          </w:divBdr>
        </w:div>
        <w:div w:id="1670518056">
          <w:marLeft w:val="0"/>
          <w:marRight w:val="0"/>
          <w:marTop w:val="0"/>
          <w:marBottom w:val="0"/>
          <w:divBdr>
            <w:top w:val="none" w:sz="0" w:space="0" w:color="auto"/>
            <w:left w:val="none" w:sz="0" w:space="0" w:color="auto"/>
            <w:bottom w:val="none" w:sz="0" w:space="0" w:color="auto"/>
            <w:right w:val="none" w:sz="0" w:space="0" w:color="auto"/>
          </w:divBdr>
        </w:div>
      </w:divsChild>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193957904">
      <w:bodyDiv w:val="1"/>
      <w:marLeft w:val="0"/>
      <w:marRight w:val="0"/>
      <w:marTop w:val="0"/>
      <w:marBottom w:val="0"/>
      <w:divBdr>
        <w:top w:val="none" w:sz="0" w:space="0" w:color="auto"/>
        <w:left w:val="none" w:sz="0" w:space="0" w:color="auto"/>
        <w:bottom w:val="none" w:sz="0" w:space="0" w:color="auto"/>
        <w:right w:val="none" w:sz="0" w:space="0" w:color="auto"/>
      </w:divBdr>
      <w:divsChild>
        <w:div w:id="1353872598">
          <w:marLeft w:val="0"/>
          <w:marRight w:val="0"/>
          <w:marTop w:val="0"/>
          <w:marBottom w:val="0"/>
          <w:divBdr>
            <w:top w:val="none" w:sz="0" w:space="0" w:color="auto"/>
            <w:left w:val="none" w:sz="0" w:space="0" w:color="auto"/>
            <w:bottom w:val="none" w:sz="0" w:space="0" w:color="auto"/>
            <w:right w:val="none" w:sz="0" w:space="0" w:color="auto"/>
          </w:divBdr>
        </w:div>
        <w:div w:id="1368413996">
          <w:marLeft w:val="0"/>
          <w:marRight w:val="0"/>
          <w:marTop w:val="0"/>
          <w:marBottom w:val="0"/>
          <w:divBdr>
            <w:top w:val="none" w:sz="0" w:space="0" w:color="auto"/>
            <w:left w:val="none" w:sz="0" w:space="0" w:color="auto"/>
            <w:bottom w:val="none" w:sz="0" w:space="0" w:color="auto"/>
            <w:right w:val="none" w:sz="0" w:space="0" w:color="auto"/>
          </w:divBdr>
        </w:div>
        <w:div w:id="1704137691">
          <w:marLeft w:val="0"/>
          <w:marRight w:val="0"/>
          <w:marTop w:val="0"/>
          <w:marBottom w:val="0"/>
          <w:divBdr>
            <w:top w:val="none" w:sz="0" w:space="0" w:color="auto"/>
            <w:left w:val="none" w:sz="0" w:space="0" w:color="auto"/>
            <w:bottom w:val="none" w:sz="0" w:space="0" w:color="auto"/>
            <w:right w:val="none" w:sz="0" w:space="0" w:color="auto"/>
          </w:divBdr>
        </w:div>
      </w:divsChild>
    </w:div>
    <w:div w:id="1542984241">
      <w:bodyDiv w:val="1"/>
      <w:marLeft w:val="0"/>
      <w:marRight w:val="0"/>
      <w:marTop w:val="0"/>
      <w:marBottom w:val="0"/>
      <w:divBdr>
        <w:top w:val="none" w:sz="0" w:space="0" w:color="auto"/>
        <w:left w:val="none" w:sz="0" w:space="0" w:color="auto"/>
        <w:bottom w:val="none" w:sz="0" w:space="0" w:color="auto"/>
        <w:right w:val="none" w:sz="0" w:space="0" w:color="auto"/>
      </w:divBdr>
    </w:div>
    <w:div w:id="1549412315">
      <w:bodyDiv w:val="1"/>
      <w:marLeft w:val="0"/>
      <w:marRight w:val="0"/>
      <w:marTop w:val="0"/>
      <w:marBottom w:val="0"/>
      <w:divBdr>
        <w:top w:val="none" w:sz="0" w:space="0" w:color="auto"/>
        <w:left w:val="none" w:sz="0" w:space="0" w:color="auto"/>
        <w:bottom w:val="none" w:sz="0" w:space="0" w:color="auto"/>
        <w:right w:val="none" w:sz="0" w:space="0" w:color="auto"/>
      </w:divBdr>
      <w:divsChild>
        <w:div w:id="538930006">
          <w:marLeft w:val="0"/>
          <w:marRight w:val="0"/>
          <w:marTop w:val="0"/>
          <w:marBottom w:val="0"/>
          <w:divBdr>
            <w:top w:val="none" w:sz="0" w:space="0" w:color="auto"/>
            <w:left w:val="none" w:sz="0" w:space="0" w:color="auto"/>
            <w:bottom w:val="none" w:sz="0" w:space="0" w:color="auto"/>
            <w:right w:val="none" w:sz="0" w:space="0" w:color="auto"/>
          </w:divBdr>
        </w:div>
        <w:div w:id="597950712">
          <w:marLeft w:val="0"/>
          <w:marRight w:val="0"/>
          <w:marTop w:val="0"/>
          <w:marBottom w:val="0"/>
          <w:divBdr>
            <w:top w:val="none" w:sz="0" w:space="0" w:color="auto"/>
            <w:left w:val="none" w:sz="0" w:space="0" w:color="auto"/>
            <w:bottom w:val="none" w:sz="0" w:space="0" w:color="auto"/>
            <w:right w:val="none" w:sz="0" w:space="0" w:color="auto"/>
          </w:divBdr>
        </w:div>
        <w:div w:id="836387255">
          <w:marLeft w:val="0"/>
          <w:marRight w:val="0"/>
          <w:marTop w:val="0"/>
          <w:marBottom w:val="0"/>
          <w:divBdr>
            <w:top w:val="none" w:sz="0" w:space="0" w:color="auto"/>
            <w:left w:val="none" w:sz="0" w:space="0" w:color="auto"/>
            <w:bottom w:val="none" w:sz="0" w:space="0" w:color="auto"/>
            <w:right w:val="none" w:sz="0" w:space="0" w:color="auto"/>
          </w:divBdr>
        </w:div>
      </w:divsChild>
    </w:div>
    <w:div w:id="1637562157">
      <w:bodyDiv w:val="1"/>
      <w:marLeft w:val="0"/>
      <w:marRight w:val="0"/>
      <w:marTop w:val="0"/>
      <w:marBottom w:val="0"/>
      <w:divBdr>
        <w:top w:val="none" w:sz="0" w:space="0" w:color="auto"/>
        <w:left w:val="none" w:sz="0" w:space="0" w:color="auto"/>
        <w:bottom w:val="none" w:sz="0" w:space="0" w:color="auto"/>
        <w:right w:val="none" w:sz="0" w:space="0" w:color="auto"/>
      </w:divBdr>
      <w:divsChild>
        <w:div w:id="629095988">
          <w:marLeft w:val="0"/>
          <w:marRight w:val="0"/>
          <w:marTop w:val="0"/>
          <w:marBottom w:val="0"/>
          <w:divBdr>
            <w:top w:val="none" w:sz="0" w:space="0" w:color="auto"/>
            <w:left w:val="none" w:sz="0" w:space="0" w:color="auto"/>
            <w:bottom w:val="none" w:sz="0" w:space="0" w:color="auto"/>
            <w:right w:val="none" w:sz="0" w:space="0" w:color="auto"/>
          </w:divBdr>
        </w:div>
      </w:divsChild>
    </w:div>
    <w:div w:id="1820221548">
      <w:bodyDiv w:val="1"/>
      <w:marLeft w:val="0"/>
      <w:marRight w:val="0"/>
      <w:marTop w:val="0"/>
      <w:marBottom w:val="0"/>
      <w:divBdr>
        <w:top w:val="none" w:sz="0" w:space="0" w:color="auto"/>
        <w:left w:val="none" w:sz="0" w:space="0" w:color="auto"/>
        <w:bottom w:val="none" w:sz="0" w:space="0" w:color="auto"/>
        <w:right w:val="none" w:sz="0" w:space="0" w:color="auto"/>
      </w:divBdr>
    </w:div>
    <w:div w:id="1910380056">
      <w:bodyDiv w:val="1"/>
      <w:marLeft w:val="0"/>
      <w:marRight w:val="0"/>
      <w:marTop w:val="0"/>
      <w:marBottom w:val="0"/>
      <w:divBdr>
        <w:top w:val="none" w:sz="0" w:space="0" w:color="auto"/>
        <w:left w:val="none" w:sz="0" w:space="0" w:color="auto"/>
        <w:bottom w:val="none" w:sz="0" w:space="0" w:color="auto"/>
        <w:right w:val="none" w:sz="0" w:space="0" w:color="auto"/>
      </w:divBdr>
      <w:divsChild>
        <w:div w:id="342782352">
          <w:marLeft w:val="0"/>
          <w:marRight w:val="0"/>
          <w:marTop w:val="0"/>
          <w:marBottom w:val="0"/>
          <w:divBdr>
            <w:top w:val="none" w:sz="0" w:space="0" w:color="auto"/>
            <w:left w:val="none" w:sz="0" w:space="0" w:color="auto"/>
            <w:bottom w:val="none" w:sz="0" w:space="0" w:color="auto"/>
            <w:right w:val="none" w:sz="0" w:space="0" w:color="auto"/>
          </w:divBdr>
        </w:div>
        <w:div w:id="994794008">
          <w:marLeft w:val="0"/>
          <w:marRight w:val="0"/>
          <w:marTop w:val="0"/>
          <w:marBottom w:val="0"/>
          <w:divBdr>
            <w:top w:val="none" w:sz="0" w:space="0" w:color="auto"/>
            <w:left w:val="none" w:sz="0" w:space="0" w:color="auto"/>
            <w:bottom w:val="none" w:sz="0" w:space="0" w:color="auto"/>
            <w:right w:val="none" w:sz="0" w:space="0" w:color="auto"/>
          </w:divBdr>
        </w:div>
        <w:div w:id="1476413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6.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25E26EB-5E72-438B-96F3-8CB8EABD8291}">
    <t:Anchor>
      <t:Comment id="1518764318"/>
    </t:Anchor>
    <t:History>
      <t:Event id="{D9F52930-E257-450C-B2AE-B3F2BA94F1ED}" time="2025-02-07T18:57:13.693Z">
        <t:Attribution userId="S::patterson.hana.m@dol.gov::c524cb99-3def-4447-8362-a515fd83e51e" userProvider="AD" userName="Patterson, Hana M - OSHA"/>
        <t:Anchor>
          <t:Comment id="1518764318"/>
        </t:Anchor>
        <t:Create/>
      </t:Event>
      <t:Event id="{9190CE11-785D-4B9C-9516-8DB908808AD3}" time="2025-02-07T18:57:13.693Z">
        <t:Attribution userId="S::patterson.hana.m@dol.gov::c524cb99-3def-4447-8362-a515fd83e51e" userProvider="AD" userName="Patterson, Hana M - OSHA"/>
        <t:Anchor>
          <t:Comment id="1518764318"/>
        </t:Anchor>
        <t:Assign userId="S::Christensen.Eric@dol.gov::3ead34a4-c854-43fe-8a6f-c043bdf9a561" userProvider="AD" userName="Christensen, Eric - OSHA"/>
      </t:Event>
      <t:Event id="{2CE85E89-99F7-4DB5-B313-01697F600721}" time="2025-02-07T18:57:13.693Z">
        <t:Attribution userId="S::patterson.hana.m@dol.gov::c524cb99-3def-4447-8362-a515fd83e51e" userProvider="AD" userName="Patterson, Hana M - OSHA"/>
        <t:Anchor>
          <t:Comment id="1518764318"/>
        </t:Anchor>
        <t:SetTitle title="@Christensen, Eric - OSHA I reviewed Q1-Q4 FY24 notes. I only saw reference of two fatalities. Please assist."/>
      </t:Event>
      <t:Event id="{F83BC62A-E576-4063-92FE-E2F96D7BE4FA}" time="2025-02-07T18:57:17.761Z">
        <t:Attribution userId="S::patterson.hana.m@dol.gov::c524cb99-3def-4447-8362-a515fd83e51e" userProvider="AD" userName="Patterson, Hana M - OSHA"/>
        <t:Progress percentComplete="100"/>
      </t:Event>
      <t:Event id="{CF2B844F-6E74-430E-92AE-8D41A05EEA83}" time="2025-02-07T18:57:22.556Z">
        <t:Attribution userId="S::patterson.hana.m@dol.gov::c524cb99-3def-4447-8362-a515fd83e51e" userProvider="AD" userName="Patterson, Hana M - OSHA"/>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00E495FDC05346A392541EA9DB2049" ma:contentTypeVersion="11" ma:contentTypeDescription="Create a new document." ma:contentTypeScope="" ma:versionID="e18edfab064cf82e38d0b947a8d1abbd">
  <xsd:schema xmlns:xsd="http://www.w3.org/2001/XMLSchema" xmlns:xs="http://www.w3.org/2001/XMLSchema" xmlns:p="http://schemas.microsoft.com/office/2006/metadata/properties" xmlns:ns2="0c15f527-c7ed-4337-9c3b-d3541cbb08fe" targetNamespace="http://schemas.microsoft.com/office/2006/metadata/properties" ma:root="true" ma:fieldsID="b4b97ff6f58bbb68b903082ff2f00008" ns2:_="">
    <xsd:import namespace="0c15f527-c7ed-4337-9c3b-d3541cbb08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5f527-c7ed-4337-9c3b-d3541cbb0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15f527-c7ed-4337-9c3b-d3541cbb08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C04B0-C2C7-4CE6-9C1F-6D10C156E9F7}">
  <ds:schemaRefs>
    <ds:schemaRef ds:uri="http://schemas.microsoft.com/sharepoint/v3/contenttype/forms"/>
  </ds:schemaRefs>
</ds:datastoreItem>
</file>

<file path=customXml/itemProps2.xml><?xml version="1.0" encoding="utf-8"?>
<ds:datastoreItem xmlns:ds="http://schemas.openxmlformats.org/officeDocument/2006/customXml" ds:itemID="{06270EAC-41E5-45E8-8703-A504B7CC1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5f527-c7ed-4337-9c3b-d3541cbb0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96E30-CC68-4122-A04D-E6FB04D9C8D3}">
  <ds:schemaRefs>
    <ds:schemaRef ds:uri="http://schemas.microsoft.com/office/infopath/2007/PartnerControls"/>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0c15f527-c7ed-4337-9c3b-d3541cbb08fe"/>
    <ds:schemaRef ds:uri="http://www.w3.org/XML/1998/namespace"/>
  </ds:schemaRefs>
</ds:datastoreItem>
</file>

<file path=customXml/itemProps4.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6673</Words>
  <Characters>36541</Characters>
  <Application>Microsoft Office Word</Application>
  <DocSecurity>0</DocSecurity>
  <Lines>304</Lines>
  <Paragraphs>86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43128</CharactersWithSpaces>
  <SharedDoc>false</SharedDoc>
  <HLinks>
    <vt:vector size="60" baseType="variant">
      <vt:variant>
        <vt:i4>2031665</vt:i4>
      </vt:variant>
      <vt:variant>
        <vt:i4>56</vt:i4>
      </vt:variant>
      <vt:variant>
        <vt:i4>0</vt:i4>
      </vt:variant>
      <vt:variant>
        <vt:i4>5</vt:i4>
      </vt:variant>
      <vt:variant>
        <vt:lpwstr/>
      </vt:variant>
      <vt:variant>
        <vt:lpwstr>_Toc190424212</vt:lpwstr>
      </vt:variant>
      <vt:variant>
        <vt:i4>2031665</vt:i4>
      </vt:variant>
      <vt:variant>
        <vt:i4>50</vt:i4>
      </vt:variant>
      <vt:variant>
        <vt:i4>0</vt:i4>
      </vt:variant>
      <vt:variant>
        <vt:i4>5</vt:i4>
      </vt:variant>
      <vt:variant>
        <vt:lpwstr/>
      </vt:variant>
      <vt:variant>
        <vt:lpwstr>_Toc190424211</vt:lpwstr>
      </vt:variant>
      <vt:variant>
        <vt:i4>2031665</vt:i4>
      </vt:variant>
      <vt:variant>
        <vt:i4>44</vt:i4>
      </vt:variant>
      <vt:variant>
        <vt:i4>0</vt:i4>
      </vt:variant>
      <vt:variant>
        <vt:i4>5</vt:i4>
      </vt:variant>
      <vt:variant>
        <vt:lpwstr/>
      </vt:variant>
      <vt:variant>
        <vt:lpwstr>_Toc190424210</vt:lpwstr>
      </vt:variant>
      <vt:variant>
        <vt:i4>1966129</vt:i4>
      </vt:variant>
      <vt:variant>
        <vt:i4>38</vt:i4>
      </vt:variant>
      <vt:variant>
        <vt:i4>0</vt:i4>
      </vt:variant>
      <vt:variant>
        <vt:i4>5</vt:i4>
      </vt:variant>
      <vt:variant>
        <vt:lpwstr/>
      </vt:variant>
      <vt:variant>
        <vt:lpwstr>_Toc190424209</vt:lpwstr>
      </vt:variant>
      <vt:variant>
        <vt:i4>1966129</vt:i4>
      </vt:variant>
      <vt:variant>
        <vt:i4>32</vt:i4>
      </vt:variant>
      <vt:variant>
        <vt:i4>0</vt:i4>
      </vt:variant>
      <vt:variant>
        <vt:i4>5</vt:i4>
      </vt:variant>
      <vt:variant>
        <vt:lpwstr/>
      </vt:variant>
      <vt:variant>
        <vt:lpwstr>_Toc190424208</vt:lpwstr>
      </vt:variant>
      <vt:variant>
        <vt:i4>1966129</vt:i4>
      </vt:variant>
      <vt:variant>
        <vt:i4>26</vt:i4>
      </vt:variant>
      <vt:variant>
        <vt:i4>0</vt:i4>
      </vt:variant>
      <vt:variant>
        <vt:i4>5</vt:i4>
      </vt:variant>
      <vt:variant>
        <vt:lpwstr/>
      </vt:variant>
      <vt:variant>
        <vt:lpwstr>_Toc190424207</vt:lpwstr>
      </vt:variant>
      <vt:variant>
        <vt:i4>1966129</vt:i4>
      </vt:variant>
      <vt:variant>
        <vt:i4>20</vt:i4>
      </vt:variant>
      <vt:variant>
        <vt:i4>0</vt:i4>
      </vt:variant>
      <vt:variant>
        <vt:i4>5</vt:i4>
      </vt:variant>
      <vt:variant>
        <vt:lpwstr/>
      </vt:variant>
      <vt:variant>
        <vt:lpwstr>_Toc190424206</vt:lpwstr>
      </vt:variant>
      <vt:variant>
        <vt:i4>1966129</vt:i4>
      </vt:variant>
      <vt:variant>
        <vt:i4>14</vt:i4>
      </vt:variant>
      <vt:variant>
        <vt:i4>0</vt:i4>
      </vt:variant>
      <vt:variant>
        <vt:i4>5</vt:i4>
      </vt:variant>
      <vt:variant>
        <vt:lpwstr/>
      </vt:variant>
      <vt:variant>
        <vt:lpwstr>_Toc190424205</vt:lpwstr>
      </vt:variant>
      <vt:variant>
        <vt:i4>1966129</vt:i4>
      </vt:variant>
      <vt:variant>
        <vt:i4>8</vt:i4>
      </vt:variant>
      <vt:variant>
        <vt:i4>0</vt:i4>
      </vt:variant>
      <vt:variant>
        <vt:i4>5</vt:i4>
      </vt:variant>
      <vt:variant>
        <vt:lpwstr/>
      </vt:variant>
      <vt:variant>
        <vt:lpwstr>_Toc190424204</vt:lpwstr>
      </vt:variant>
      <vt:variant>
        <vt:i4>1966129</vt:i4>
      </vt:variant>
      <vt:variant>
        <vt:i4>2</vt:i4>
      </vt:variant>
      <vt:variant>
        <vt:i4>0</vt:i4>
      </vt:variant>
      <vt:variant>
        <vt:i4>5</vt:i4>
      </vt:variant>
      <vt:variant>
        <vt:lpwstr/>
      </vt:variant>
      <vt:variant>
        <vt:lpwstr>_Toc190424203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dgibbs</dc:creator>
  <cp:keywords/>
  <cp:lastModifiedBy>Tanner, Paul - OSHA</cp:lastModifiedBy>
  <cp:revision>3</cp:revision>
  <cp:lastPrinted>2017-07-11T15:59:00Z</cp:lastPrinted>
  <dcterms:created xsi:type="dcterms:W3CDTF">2025-06-09T12:34:00Z</dcterms:created>
  <dcterms:modified xsi:type="dcterms:W3CDTF">2025-06-09T12:36:00Z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0x0101004F00E495FDC05346A392541EA9DB2049</vt:lpwstr>
  </property>
  <property fmtid="{D5CDD505-2E9C-101B-9397-08002B2CF9AE}" pid="3" name="MediaServiceImageTags">
    <vt:lpwstr/>
  </property>
</Properties>
</file>