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77FC9AEB" w:rsidR="000A134A" w:rsidRPr="001C1E47" w:rsidRDefault="002511E9" w:rsidP="008B38C3">
      <w:pPr>
        <w:pStyle w:val="Heading1"/>
      </w:pPr>
      <w:bookmarkStart w:id="0" w:name="_Toc118900169"/>
      <w:bookmarkStart w:id="1" w:name="_Toc118905008"/>
      <w:r w:rsidRPr="001C1E47">
        <w:rPr>
          <w:iCs/>
        </w:rPr>
        <w:t>FY 2</w:t>
      </w:r>
      <w:r w:rsidR="00BD0358">
        <w:rPr>
          <w:iCs/>
        </w:rPr>
        <w:t>0</w:t>
      </w:r>
      <w:r w:rsidR="00FB655B">
        <w:rPr>
          <w:iCs/>
        </w:rPr>
        <w:t>24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04C032EB" w14:textId="77777777" w:rsidR="00FB655B" w:rsidRDefault="00FB655B" w:rsidP="00FB655B">
      <w:pPr>
        <w:rPr>
          <w:b/>
          <w:bCs/>
        </w:rPr>
      </w:pPr>
    </w:p>
    <w:p w14:paraId="6E19F095" w14:textId="59CF6771" w:rsidR="00FB655B" w:rsidRDefault="00FB655B" w:rsidP="00FB655B">
      <w:pPr>
        <w:rPr>
          <w:b/>
        </w:rPr>
      </w:pPr>
      <w:r>
        <w:rPr>
          <w:b/>
          <w:bCs/>
        </w:rPr>
        <w:t>SOUTH CAROLINA DEPARTMENT OF LABOR, LICENSING AND REGULATION, OFFICE OF OCCUPATIONAL SAFETY AND HEALTH</w:t>
      </w:r>
    </w:p>
    <w:p w14:paraId="742F642F" w14:textId="77777777" w:rsidR="00FB655B" w:rsidRDefault="00FB655B" w:rsidP="00FB655B">
      <w:pPr>
        <w:jc w:val="center"/>
        <w:rPr>
          <w:bCs/>
        </w:rPr>
      </w:pPr>
    </w:p>
    <w:p w14:paraId="59235A2E" w14:textId="77777777" w:rsidR="00FB655B" w:rsidRDefault="00FB655B" w:rsidP="00FB655B">
      <w:pPr>
        <w:jc w:val="center"/>
        <w:rPr>
          <w:bCs/>
        </w:rPr>
      </w:pPr>
    </w:p>
    <w:p w14:paraId="3C478156" w14:textId="77777777" w:rsidR="00FB655B" w:rsidRDefault="00FB655B" w:rsidP="00FB655B">
      <w:pPr>
        <w:rPr>
          <w:bCs/>
        </w:rPr>
      </w:pPr>
      <w:r>
        <w:rPr>
          <w:noProof/>
        </w:rPr>
        <w:drawing>
          <wp:inline distT="0" distB="0" distL="0" distR="0" wp14:anchorId="17E790F9" wp14:editId="29B152CF">
            <wp:extent cx="5184140" cy="635000"/>
            <wp:effectExtent l="0" t="0" r="0" b="0"/>
            <wp:docPr id="2" name="Picture 2" descr="South Carolina dept of labor logo"/>
            <wp:cNvGraphicFramePr/>
            <a:graphic xmlns:a="http://schemas.openxmlformats.org/drawingml/2006/main">
              <a:graphicData uri="http://schemas.openxmlformats.org/drawingml/2006/picture">
                <pic:pic xmlns:pic="http://schemas.openxmlformats.org/drawingml/2006/picture">
                  <pic:nvPicPr>
                    <pic:cNvPr id="2" name="Picture 2" descr="South Carolina dept of labor logo"/>
                    <pic:cNvPicPr/>
                  </pic:nvPicPr>
                  <pic:blipFill>
                    <a:blip r:embed="rId8">
                      <a:extLst>
                        <a:ext uri="{BEBA8EAE-BF5A-486C-A8C5-ECC9F3942E4B}">
                          <a14:imgProps xmlns:a14="http://schemas.microsoft.com/office/drawing/2010/main">
                            <a14:imgLayer r:embed="rId9">
                              <a14:imgEffect>
                                <a14:artisticGlowEdges/>
                              </a14:imgEffect>
                            </a14:imgLayer>
                          </a14:imgProps>
                        </a:ext>
                        <a:ext uri="{28A0092B-C50C-407E-A947-70E740481C1C}">
                          <a14:useLocalDpi xmlns:a14="http://schemas.microsoft.com/office/drawing/2010/main" val="0"/>
                        </a:ext>
                      </a:extLst>
                    </a:blip>
                    <a:stretch>
                      <a:fillRect/>
                    </a:stretch>
                  </pic:blipFill>
                  <pic:spPr>
                    <a:xfrm>
                      <a:off x="0" y="0"/>
                      <a:ext cx="5184140" cy="635000"/>
                    </a:xfrm>
                    <a:prstGeom prst="rect">
                      <a:avLst/>
                    </a:prstGeom>
                  </pic:spPr>
                </pic:pic>
              </a:graphicData>
            </a:graphic>
          </wp:inline>
        </w:drawing>
      </w:r>
    </w:p>
    <w:p w14:paraId="1E3985EE" w14:textId="77777777" w:rsidR="00FB655B" w:rsidRDefault="00FB655B" w:rsidP="00FB655B">
      <w:pPr>
        <w:jc w:val="center"/>
        <w:rPr>
          <w:b/>
        </w:rPr>
      </w:pPr>
    </w:p>
    <w:p w14:paraId="1FD3AC17" w14:textId="77777777" w:rsidR="00FB655B" w:rsidRDefault="00FB655B" w:rsidP="00FB655B">
      <w:pPr>
        <w:jc w:val="center"/>
        <w:rPr>
          <w:b/>
        </w:rPr>
      </w:pPr>
    </w:p>
    <w:p w14:paraId="167DC3C7" w14:textId="77777777" w:rsidR="00FB655B" w:rsidRDefault="00FB655B" w:rsidP="00FB655B">
      <w:pPr>
        <w:jc w:val="center"/>
        <w:rPr>
          <w:b/>
        </w:rPr>
      </w:pPr>
    </w:p>
    <w:p w14:paraId="71CC5F77" w14:textId="77777777" w:rsidR="00FB655B" w:rsidRDefault="00FB655B" w:rsidP="00FB655B">
      <w:pPr>
        <w:jc w:val="center"/>
        <w:rPr>
          <w:b/>
          <w:color w:val="3333CC"/>
        </w:rPr>
      </w:pPr>
    </w:p>
    <w:p w14:paraId="48773E95" w14:textId="4E74780A" w:rsidR="00FB655B" w:rsidRPr="001C1E47" w:rsidRDefault="00FB655B" w:rsidP="00634CBC">
      <w:pPr>
        <w:widowControl/>
        <w:tabs>
          <w:tab w:val="left" w:pos="720"/>
          <w:tab w:val="left" w:pos="1440"/>
          <w:tab w:val="left" w:pos="2160"/>
        </w:tabs>
        <w:autoSpaceDE/>
        <w:autoSpaceDN/>
        <w:adjustRightInd/>
        <w:jc w:val="center"/>
        <w:rPr>
          <w:rFonts w:eastAsia="Batang" w:cs="Calibri"/>
          <w:b/>
          <w:sz w:val="28"/>
          <w:szCs w:val="28"/>
        </w:rPr>
      </w:pPr>
      <w:r w:rsidRPr="001C1E47">
        <w:rPr>
          <w:rFonts w:eastAsia="Batang" w:cs="Calibri"/>
          <w:b/>
          <w:sz w:val="28"/>
          <w:szCs w:val="28"/>
        </w:rPr>
        <w:t>Evaluation Period: October 1, 202</w:t>
      </w:r>
      <w:r>
        <w:rPr>
          <w:rFonts w:eastAsia="Batang" w:cs="Calibri"/>
          <w:b/>
          <w:sz w:val="28"/>
          <w:szCs w:val="28"/>
        </w:rPr>
        <w:t>3</w:t>
      </w:r>
      <w:r w:rsidRPr="001C1E47">
        <w:rPr>
          <w:rFonts w:eastAsia="Batang" w:cs="Calibri"/>
          <w:b/>
          <w:sz w:val="28"/>
          <w:szCs w:val="28"/>
        </w:rPr>
        <w:t xml:space="preserve"> – September 30, 202</w:t>
      </w:r>
      <w:r>
        <w:rPr>
          <w:rFonts w:eastAsia="Batang" w:cs="Calibri"/>
          <w:b/>
          <w:sz w:val="28"/>
          <w:szCs w:val="28"/>
        </w:rPr>
        <w:t>4</w:t>
      </w:r>
    </w:p>
    <w:p w14:paraId="21A8B8C4" w14:textId="77777777" w:rsidR="00FB655B" w:rsidRDefault="00FB655B" w:rsidP="00FB655B">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C4FA7D" w14:textId="77777777" w:rsidR="00FB655B" w:rsidRDefault="00FB655B" w:rsidP="00FB655B">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279781" w14:textId="77777777" w:rsidR="00FB655B" w:rsidRDefault="00FB655B" w:rsidP="00FB655B">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CA6B97" w14:textId="77777777" w:rsidR="00FB655B" w:rsidRDefault="00FB655B" w:rsidP="00FB655B">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8E8C6D" w14:textId="77777777" w:rsidR="00FB655B" w:rsidRDefault="00FB655B" w:rsidP="00FB655B">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ADDBC8" w14:textId="77777777" w:rsidR="00FB655B" w:rsidRDefault="00FB655B" w:rsidP="00FB655B">
      <w:pPr>
        <w:tabs>
          <w:tab w:val="center" w:pos="4680"/>
        </w:tabs>
        <w:rPr>
          <w:b/>
          <w:bCs/>
        </w:rPr>
      </w:pPr>
      <w:r>
        <w:rPr>
          <w:rFonts w:eastAsia="Batang"/>
          <w:b/>
        </w:rPr>
        <w:t>Initial Approval Date:  November 30, 1972</w:t>
      </w:r>
    </w:p>
    <w:p w14:paraId="4ED56B9C" w14:textId="77777777" w:rsidR="00FB655B" w:rsidRDefault="00FB655B" w:rsidP="00FB655B">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rFonts w:eastAsia="Batang"/>
          <w:b/>
        </w:rPr>
        <w:t xml:space="preserve"> Program Certification Date:  August 3, 1976</w:t>
      </w:r>
    </w:p>
    <w:p w14:paraId="6C8E2559" w14:textId="77777777" w:rsidR="00FB655B" w:rsidRDefault="00FB655B" w:rsidP="00FB655B">
      <w:pPr>
        <w:tabs>
          <w:tab w:val="center" w:pos="4680"/>
        </w:tabs>
        <w:rPr>
          <w:b/>
          <w:bCs/>
        </w:rPr>
      </w:pPr>
      <w:r>
        <w:rPr>
          <w:rFonts w:eastAsia="Batang"/>
          <w:b/>
        </w:rPr>
        <w:t>Final Approval Date:  December 15, 1987</w:t>
      </w:r>
    </w:p>
    <w:p w14:paraId="243BB3D5" w14:textId="77777777" w:rsidR="00FB655B" w:rsidRDefault="00FB655B" w:rsidP="00FB655B">
      <w:pPr>
        <w:rPr>
          <w:i/>
        </w:rPr>
      </w:pPr>
    </w:p>
    <w:p w14:paraId="216EA675" w14:textId="77777777" w:rsidR="00FB655B" w:rsidRDefault="00FB655B" w:rsidP="00FB655B">
      <w:pPr>
        <w:rPr>
          <w:i/>
        </w:rPr>
      </w:pPr>
    </w:p>
    <w:p w14:paraId="2CF49333" w14:textId="77777777" w:rsidR="00FB655B" w:rsidRDefault="00FB655B" w:rsidP="00FB655B">
      <w:pPr>
        <w:rPr>
          <w:i/>
        </w:rPr>
      </w:pPr>
    </w:p>
    <w:p w14:paraId="3DBFC3F3" w14:textId="77777777" w:rsidR="00FB655B" w:rsidRDefault="00FB655B" w:rsidP="00FB655B">
      <w:pPr>
        <w:rPr>
          <w:b/>
        </w:rPr>
      </w:pPr>
      <w:r>
        <w:rPr>
          <w:b/>
        </w:rPr>
        <w:t>Prepared by:</w:t>
      </w:r>
    </w:p>
    <w:p w14:paraId="00CD1281" w14:textId="77777777" w:rsidR="00FB655B" w:rsidRDefault="00FB655B" w:rsidP="00FB655B">
      <w:pPr>
        <w:rPr>
          <w:b/>
        </w:rPr>
      </w:pPr>
      <w:r>
        <w:rPr>
          <w:b/>
        </w:rPr>
        <w:t xml:space="preserve">U. S. Department of Labor </w:t>
      </w:r>
    </w:p>
    <w:p w14:paraId="564B8E71" w14:textId="77777777" w:rsidR="00FB655B" w:rsidRDefault="00FB655B" w:rsidP="00FB655B">
      <w:pPr>
        <w:rPr>
          <w:b/>
        </w:rPr>
      </w:pPr>
      <w:r>
        <w:rPr>
          <w:b/>
        </w:rPr>
        <w:t>Occupational Safety and Health Administration</w:t>
      </w:r>
    </w:p>
    <w:p w14:paraId="5DD03755" w14:textId="1683D001" w:rsidR="00FB655B" w:rsidRDefault="00FB655B" w:rsidP="00FB655B">
      <w:r>
        <w:rPr>
          <w:b/>
        </w:rPr>
        <w:t>Atlanta Region</w:t>
      </w:r>
    </w:p>
    <w:p w14:paraId="5737E281" w14:textId="77777777" w:rsidR="000A134A" w:rsidRPr="001C1E47" w:rsidRDefault="000A134A" w:rsidP="007A71AC">
      <w:pPr>
        <w:widowControl/>
        <w:autoSpaceDE/>
        <w:autoSpaceDN/>
        <w:adjustRightInd/>
        <w:jc w:val="center"/>
        <w:rPr>
          <w:rFonts w:cs="Calibri"/>
          <w:b/>
        </w:rPr>
      </w:pPr>
    </w:p>
    <w:p w14:paraId="15F94D47" w14:textId="77777777" w:rsidR="000A134A" w:rsidRPr="001C1E47" w:rsidRDefault="000A134A" w:rsidP="007A71AC">
      <w:pPr>
        <w:widowControl/>
        <w:autoSpaceDE/>
        <w:autoSpaceDN/>
        <w:adjustRightInd/>
        <w:jc w:val="center"/>
        <w:rPr>
          <w:rFonts w:cs="Calibri"/>
          <w:b/>
        </w:rPr>
      </w:pP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33EC031C" w:rsidR="00F43B23" w:rsidRPr="00FB655B" w:rsidRDefault="00F43B23">
      <w:pPr>
        <w:widowControl/>
        <w:autoSpaceDE/>
        <w:autoSpaceDN/>
        <w:adjustRightInd/>
        <w:rPr>
          <w:rFonts w:cs="Calibri"/>
          <w:b/>
          <w:sz w:val="16"/>
          <w:szCs w:val="16"/>
        </w:rPr>
      </w:pP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161B9969" w14:textId="288FA7E3"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63506D">
          <w:rPr>
            <w:noProof/>
            <w:webHidden/>
          </w:rPr>
          <w:t>3</w:t>
        </w:r>
        <w:r>
          <w:rPr>
            <w:noProof/>
            <w:webHidden/>
          </w:rPr>
          <w:fldChar w:fldCharType="end"/>
        </w:r>
      </w:hyperlink>
    </w:p>
    <w:p w14:paraId="3BD91ACD" w14:textId="2D7FE99D"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Pr>
            <w:noProof/>
            <w:webHidden/>
          </w:rPr>
          <w:fldChar w:fldCharType="begin"/>
        </w:r>
        <w:r>
          <w:rPr>
            <w:noProof/>
            <w:webHidden/>
          </w:rPr>
          <w:instrText xml:space="preserve"> PAGEREF _Toc119418664 \h </w:instrText>
        </w:r>
        <w:r>
          <w:rPr>
            <w:noProof/>
            <w:webHidden/>
          </w:rPr>
        </w:r>
        <w:r>
          <w:rPr>
            <w:noProof/>
            <w:webHidden/>
          </w:rPr>
          <w:fldChar w:fldCharType="separate"/>
        </w:r>
        <w:r w:rsidR="0063506D">
          <w:rPr>
            <w:noProof/>
            <w:webHidden/>
          </w:rPr>
          <w:t>4</w:t>
        </w:r>
        <w:r>
          <w:rPr>
            <w:noProof/>
            <w:webHidden/>
          </w:rPr>
          <w:fldChar w:fldCharType="end"/>
        </w:r>
      </w:hyperlink>
    </w:p>
    <w:p w14:paraId="12E60A29" w14:textId="5AED8402"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Pr>
            <w:noProof/>
            <w:webHidden/>
          </w:rPr>
          <w:fldChar w:fldCharType="begin"/>
        </w:r>
        <w:r>
          <w:rPr>
            <w:noProof/>
            <w:webHidden/>
          </w:rPr>
          <w:instrText xml:space="preserve"> PAGEREF _Toc119418665 \h </w:instrText>
        </w:r>
        <w:r>
          <w:rPr>
            <w:noProof/>
            <w:webHidden/>
          </w:rPr>
        </w:r>
        <w:r>
          <w:rPr>
            <w:noProof/>
            <w:webHidden/>
          </w:rPr>
          <w:fldChar w:fldCharType="separate"/>
        </w:r>
        <w:r w:rsidR="0063506D">
          <w:rPr>
            <w:noProof/>
            <w:webHidden/>
          </w:rPr>
          <w:t>5</w:t>
        </w:r>
        <w:r>
          <w:rPr>
            <w:noProof/>
            <w:webHidden/>
          </w:rPr>
          <w:fldChar w:fldCharType="end"/>
        </w:r>
      </w:hyperlink>
    </w:p>
    <w:p w14:paraId="1E2078A6" w14:textId="2046DE47"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Pr>
            <w:noProof/>
            <w:webHidden/>
          </w:rPr>
          <w:fldChar w:fldCharType="begin"/>
        </w:r>
        <w:r>
          <w:rPr>
            <w:noProof/>
            <w:webHidden/>
          </w:rPr>
          <w:instrText xml:space="preserve"> PAGEREF _Toc119418666 \h </w:instrText>
        </w:r>
        <w:r>
          <w:rPr>
            <w:noProof/>
            <w:webHidden/>
          </w:rPr>
        </w:r>
        <w:r>
          <w:rPr>
            <w:noProof/>
            <w:webHidden/>
          </w:rPr>
          <w:fldChar w:fldCharType="separate"/>
        </w:r>
        <w:r w:rsidR="0063506D">
          <w:rPr>
            <w:noProof/>
            <w:webHidden/>
          </w:rPr>
          <w:t>5</w:t>
        </w:r>
        <w:r>
          <w:rPr>
            <w:noProof/>
            <w:webHidden/>
          </w:rPr>
          <w:fldChar w:fldCharType="end"/>
        </w:r>
      </w:hyperlink>
    </w:p>
    <w:p w14:paraId="5EC14328" w14:textId="3705BAB8"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001B4133">
          <w:rPr>
            <w:rStyle w:val="Hyperlink"/>
            <w:noProof/>
          </w:rPr>
          <w:t>Finding</w:t>
        </w:r>
        <w:r w:rsidRPr="00B5463F">
          <w:rPr>
            <w:rStyle w:val="Hyperlink"/>
            <w:noProof/>
          </w:rPr>
          <w:t xml:space="preserve">s and </w:t>
        </w:r>
        <w:r w:rsidR="001B4133">
          <w:rPr>
            <w:rStyle w:val="Hyperlink"/>
            <w:noProof/>
          </w:rPr>
          <w:t>Observation</w:t>
        </w:r>
        <w:r w:rsidRPr="00B5463F">
          <w:rPr>
            <w:rStyle w:val="Hyperlink"/>
            <w:noProof/>
          </w:rPr>
          <w:t>s</w:t>
        </w:r>
        <w:r>
          <w:rPr>
            <w:noProof/>
            <w:webHidden/>
          </w:rPr>
          <w:tab/>
        </w:r>
        <w:r>
          <w:rPr>
            <w:noProof/>
            <w:webHidden/>
          </w:rPr>
          <w:fldChar w:fldCharType="begin"/>
        </w:r>
        <w:r>
          <w:rPr>
            <w:noProof/>
            <w:webHidden/>
          </w:rPr>
          <w:instrText xml:space="preserve"> PAGEREF _Toc119418667 \h </w:instrText>
        </w:r>
        <w:r>
          <w:rPr>
            <w:noProof/>
            <w:webHidden/>
          </w:rPr>
        </w:r>
        <w:r>
          <w:rPr>
            <w:noProof/>
            <w:webHidden/>
          </w:rPr>
          <w:fldChar w:fldCharType="separate"/>
        </w:r>
        <w:r w:rsidR="0063506D">
          <w:rPr>
            <w:noProof/>
            <w:webHidden/>
          </w:rPr>
          <w:t>6</w:t>
        </w:r>
        <w:r>
          <w:rPr>
            <w:noProof/>
            <w:webHidden/>
          </w:rPr>
          <w:fldChar w:fldCharType="end"/>
        </w:r>
      </w:hyperlink>
    </w:p>
    <w:p w14:paraId="373A40FB" w14:textId="2BEBDA0B"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Pr>
            <w:noProof/>
            <w:webHidden/>
          </w:rPr>
          <w:fldChar w:fldCharType="begin"/>
        </w:r>
        <w:r>
          <w:rPr>
            <w:noProof/>
            <w:webHidden/>
          </w:rPr>
          <w:instrText xml:space="preserve"> PAGEREF _Toc119418668 \h </w:instrText>
        </w:r>
        <w:r>
          <w:rPr>
            <w:noProof/>
            <w:webHidden/>
          </w:rPr>
        </w:r>
        <w:r>
          <w:rPr>
            <w:noProof/>
            <w:webHidden/>
          </w:rPr>
          <w:fldChar w:fldCharType="separate"/>
        </w:r>
        <w:r w:rsidR="0063506D">
          <w:rPr>
            <w:noProof/>
            <w:webHidden/>
          </w:rPr>
          <w:t>9</w:t>
        </w:r>
        <w:r>
          <w:rPr>
            <w:noProof/>
            <w:webHidden/>
          </w:rPr>
          <w:fldChar w:fldCharType="end"/>
        </w:r>
      </w:hyperlink>
    </w:p>
    <w:p w14:paraId="50DBA2CB" w14:textId="54605EF8"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 xml:space="preserve">Appendix A – New and Continued </w:t>
        </w:r>
        <w:r w:rsidR="001B4133">
          <w:rPr>
            <w:rStyle w:val="Hyperlink"/>
            <w:noProof/>
          </w:rPr>
          <w:t>Finding</w:t>
        </w:r>
        <w:r w:rsidRPr="00B5463F">
          <w:rPr>
            <w:rStyle w:val="Hyperlink"/>
            <w:noProof/>
          </w:rPr>
          <w:t>s and Recommendations</w:t>
        </w:r>
        <w:r>
          <w:rPr>
            <w:noProof/>
            <w:webHidden/>
          </w:rPr>
          <w:tab/>
        </w:r>
        <w:r>
          <w:rPr>
            <w:noProof/>
            <w:webHidden/>
          </w:rPr>
          <w:fldChar w:fldCharType="begin"/>
        </w:r>
        <w:r>
          <w:rPr>
            <w:noProof/>
            <w:webHidden/>
          </w:rPr>
          <w:instrText xml:space="preserve"> PAGEREF _Toc119418669 \h </w:instrText>
        </w:r>
        <w:r>
          <w:rPr>
            <w:noProof/>
            <w:webHidden/>
          </w:rPr>
        </w:r>
        <w:r>
          <w:rPr>
            <w:noProof/>
            <w:webHidden/>
          </w:rPr>
          <w:fldChar w:fldCharType="separate"/>
        </w:r>
        <w:r w:rsidR="0063506D">
          <w:rPr>
            <w:noProof/>
            <w:webHidden/>
          </w:rPr>
          <w:t>13</w:t>
        </w:r>
        <w:r>
          <w:rPr>
            <w:noProof/>
            <w:webHidden/>
          </w:rPr>
          <w:fldChar w:fldCharType="end"/>
        </w:r>
      </w:hyperlink>
    </w:p>
    <w:p w14:paraId="150115C6" w14:textId="73A91BC8"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 xml:space="preserve">Appendix B – </w:t>
        </w:r>
        <w:r w:rsidR="001B4133">
          <w:rPr>
            <w:rStyle w:val="Hyperlink"/>
            <w:noProof/>
          </w:rPr>
          <w:t>Observation</w:t>
        </w:r>
        <w:r w:rsidRPr="00B5463F">
          <w:rPr>
            <w:rStyle w:val="Hyperlink"/>
            <w:noProof/>
          </w:rPr>
          <w:t>s Subject to Continued Monitoring</w:t>
        </w:r>
        <w:r>
          <w:rPr>
            <w:noProof/>
            <w:webHidden/>
          </w:rPr>
          <w:tab/>
        </w:r>
        <w:r>
          <w:rPr>
            <w:noProof/>
            <w:webHidden/>
          </w:rPr>
          <w:fldChar w:fldCharType="begin"/>
        </w:r>
        <w:r>
          <w:rPr>
            <w:noProof/>
            <w:webHidden/>
          </w:rPr>
          <w:instrText xml:space="preserve"> PAGEREF _Toc119418670 \h </w:instrText>
        </w:r>
        <w:r>
          <w:rPr>
            <w:noProof/>
            <w:webHidden/>
          </w:rPr>
        </w:r>
        <w:r>
          <w:rPr>
            <w:noProof/>
            <w:webHidden/>
          </w:rPr>
          <w:fldChar w:fldCharType="separate"/>
        </w:r>
        <w:r w:rsidR="0063506D">
          <w:rPr>
            <w:noProof/>
            <w:webHidden/>
          </w:rPr>
          <w:t>14</w:t>
        </w:r>
        <w:r>
          <w:rPr>
            <w:noProof/>
            <w:webHidden/>
          </w:rPr>
          <w:fldChar w:fldCharType="end"/>
        </w:r>
      </w:hyperlink>
    </w:p>
    <w:p w14:paraId="65AD001B" w14:textId="2677A9E1"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C108B8">
          <w:rPr>
            <w:rStyle w:val="Hyperlink"/>
            <w:noProof/>
          </w:rPr>
          <w:t>23</w:t>
        </w:r>
        <w:r w:rsidRPr="00B5463F">
          <w:rPr>
            <w:rStyle w:val="Hyperlink"/>
            <w:noProof/>
          </w:rPr>
          <w:t xml:space="preserve"> </w:t>
        </w:r>
        <w:r w:rsidR="001B4133">
          <w:rPr>
            <w:rStyle w:val="Hyperlink"/>
            <w:noProof/>
          </w:rPr>
          <w:t>Finding</w:t>
        </w:r>
        <w:r w:rsidRPr="00B5463F">
          <w:rPr>
            <w:rStyle w:val="Hyperlink"/>
            <w:noProof/>
          </w:rPr>
          <w:t>s and Recommendations</w:t>
        </w:r>
        <w:r>
          <w:rPr>
            <w:noProof/>
            <w:webHidden/>
          </w:rPr>
          <w:tab/>
        </w:r>
        <w:r>
          <w:rPr>
            <w:noProof/>
            <w:webHidden/>
          </w:rPr>
          <w:fldChar w:fldCharType="begin"/>
        </w:r>
        <w:r>
          <w:rPr>
            <w:noProof/>
            <w:webHidden/>
          </w:rPr>
          <w:instrText xml:space="preserve"> PAGEREF _Toc119418671 \h </w:instrText>
        </w:r>
        <w:r>
          <w:rPr>
            <w:noProof/>
            <w:webHidden/>
          </w:rPr>
        </w:r>
        <w:r>
          <w:rPr>
            <w:noProof/>
            <w:webHidden/>
          </w:rPr>
          <w:fldChar w:fldCharType="separate"/>
        </w:r>
        <w:r w:rsidR="0063506D">
          <w:rPr>
            <w:noProof/>
            <w:webHidden/>
          </w:rPr>
          <w:t>17</w:t>
        </w:r>
        <w:r>
          <w:rPr>
            <w:noProof/>
            <w:webHidden/>
          </w:rPr>
          <w:fldChar w:fldCharType="end"/>
        </w:r>
      </w:hyperlink>
    </w:p>
    <w:p w14:paraId="38E9E7F9" w14:textId="06130B8A"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C108B8">
          <w:rPr>
            <w:rStyle w:val="Hyperlink"/>
            <w:noProof/>
          </w:rPr>
          <w:t>24</w:t>
        </w:r>
        <w:r w:rsidRPr="00B5463F">
          <w:rPr>
            <w:rStyle w:val="Hyperlink"/>
            <w:noProof/>
          </w:rPr>
          <w:t xml:space="preserve"> State Activity Mandated Measures (SAMM) Report</w:t>
        </w:r>
        <w:r>
          <w:rPr>
            <w:noProof/>
            <w:webHidden/>
          </w:rPr>
          <w:tab/>
        </w:r>
        <w:r>
          <w:rPr>
            <w:noProof/>
            <w:webHidden/>
          </w:rPr>
          <w:fldChar w:fldCharType="begin"/>
        </w:r>
        <w:r>
          <w:rPr>
            <w:noProof/>
            <w:webHidden/>
          </w:rPr>
          <w:instrText xml:space="preserve"> PAGEREF _Toc119418672 \h </w:instrText>
        </w:r>
        <w:r>
          <w:rPr>
            <w:noProof/>
            <w:webHidden/>
          </w:rPr>
        </w:r>
        <w:r>
          <w:rPr>
            <w:noProof/>
            <w:webHidden/>
          </w:rPr>
          <w:fldChar w:fldCharType="separate"/>
        </w:r>
        <w:r w:rsidR="0063506D">
          <w:rPr>
            <w:noProof/>
            <w:webHidden/>
          </w:rPr>
          <w:t>19</w:t>
        </w:r>
        <w:r>
          <w:rPr>
            <w:noProof/>
            <w:webHidden/>
          </w:rPr>
          <w:fldChar w:fldCharType="end"/>
        </w:r>
      </w:hyperlink>
    </w:p>
    <w:p w14:paraId="2A952C03" w14:textId="0074FEF9" w:rsidR="00B823A3" w:rsidRDefault="000F63C1" w:rsidP="000F63C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15455B8E" w14:textId="4123368D" w:rsidR="0063506D" w:rsidRDefault="00FB655B" w:rsidP="0063506D">
      <w:pPr>
        <w:pStyle w:val="NoSpacing"/>
        <w:jc w:val="both"/>
        <w:rPr>
          <w:rFonts w:asciiTheme="minorHAnsi" w:hAnsiTheme="minorHAnsi" w:cstheme="minorHAnsi"/>
          <w:sz w:val="24"/>
          <w:szCs w:val="24"/>
        </w:rPr>
      </w:pPr>
      <w:r w:rsidRPr="0063506D">
        <w:rPr>
          <w:rFonts w:cs="Calibri"/>
          <w:sz w:val="24"/>
          <w:szCs w:val="24"/>
        </w:rPr>
        <w:t>The primary purpose of this report is to assess the State Plan’s progress in Fiscal Year (FY) 202</w:t>
      </w:r>
      <w:r w:rsidR="00CB2A34" w:rsidRPr="0063506D">
        <w:rPr>
          <w:rFonts w:cs="Calibri"/>
          <w:sz w:val="24"/>
          <w:szCs w:val="24"/>
        </w:rPr>
        <w:t>4</w:t>
      </w:r>
      <w:r w:rsidRPr="0063506D">
        <w:rPr>
          <w:rFonts w:cs="Calibri"/>
          <w:sz w:val="24"/>
          <w:szCs w:val="24"/>
        </w:rPr>
        <w:t xml:space="preserve">, in resolving outstanding </w:t>
      </w:r>
      <w:r w:rsidR="001B4133" w:rsidRPr="0063506D">
        <w:rPr>
          <w:rFonts w:cs="Calibri"/>
          <w:sz w:val="24"/>
          <w:szCs w:val="24"/>
        </w:rPr>
        <w:t>Finding</w:t>
      </w:r>
      <w:r w:rsidRPr="0063506D">
        <w:rPr>
          <w:rFonts w:cs="Calibri"/>
          <w:sz w:val="24"/>
          <w:szCs w:val="24"/>
        </w:rPr>
        <w:t>s from the previous FY 202</w:t>
      </w:r>
      <w:r w:rsidR="0032664D" w:rsidRPr="0063506D">
        <w:rPr>
          <w:rFonts w:cs="Calibri"/>
          <w:sz w:val="24"/>
          <w:szCs w:val="24"/>
        </w:rPr>
        <w:t>3</w:t>
      </w:r>
      <w:r w:rsidRPr="0063506D">
        <w:rPr>
          <w:rFonts w:cs="Calibri"/>
          <w:sz w:val="24"/>
          <w:szCs w:val="24"/>
        </w:rPr>
        <w:t xml:space="preserve"> Comprehensive Federal Annual Monitoring Evaluation (FAME) Report.   </w:t>
      </w:r>
      <w:r w:rsidRPr="0063506D">
        <w:rPr>
          <w:sz w:val="24"/>
          <w:szCs w:val="24"/>
        </w:rPr>
        <w:t xml:space="preserve">This report also assesses the South Carolina Department of Labor, Licensing, and Regulations (SCDLLR) – Division of Occupational Safety and Health Program’s (SC OSHA’s) progress toward achieving its performance goals established in the FY 2022 </w:t>
      </w:r>
      <w:r w:rsidR="00270E6A">
        <w:rPr>
          <w:sz w:val="24"/>
          <w:szCs w:val="24"/>
        </w:rPr>
        <w:t xml:space="preserve">Five-Year </w:t>
      </w:r>
      <w:r w:rsidRPr="0063506D">
        <w:rPr>
          <w:sz w:val="24"/>
          <w:szCs w:val="24"/>
        </w:rPr>
        <w:t>Strategic Management Plan, as well as reviews the effectiveness of programmatic areas related to enforcement activities.</w:t>
      </w:r>
      <w:r w:rsidR="00262382">
        <w:rPr>
          <w:rFonts w:asciiTheme="minorHAnsi" w:hAnsiTheme="minorHAnsi" w:cstheme="minorHAnsi"/>
          <w:sz w:val="24"/>
          <w:szCs w:val="24"/>
        </w:rPr>
        <w:t xml:space="preserve"> S</w:t>
      </w:r>
      <w:r w:rsidR="0063506D" w:rsidRPr="0063506D">
        <w:rPr>
          <w:rFonts w:asciiTheme="minorHAnsi" w:hAnsiTheme="minorHAnsi" w:cstheme="minorHAnsi"/>
          <w:sz w:val="24"/>
          <w:szCs w:val="24"/>
        </w:rPr>
        <w:t xml:space="preserve">C OSHA made progress in addressing three of </w:t>
      </w:r>
      <w:r w:rsidR="00270E6A">
        <w:rPr>
          <w:rFonts w:asciiTheme="minorHAnsi" w:hAnsiTheme="minorHAnsi" w:cstheme="minorHAnsi"/>
          <w:sz w:val="24"/>
          <w:szCs w:val="24"/>
        </w:rPr>
        <w:t xml:space="preserve">its </w:t>
      </w:r>
      <w:r w:rsidR="0063506D" w:rsidRPr="0063506D">
        <w:rPr>
          <w:rFonts w:asciiTheme="minorHAnsi" w:hAnsiTheme="minorHAnsi" w:cstheme="minorHAnsi"/>
          <w:sz w:val="24"/>
          <w:szCs w:val="24"/>
        </w:rPr>
        <w:t xml:space="preserve">ten Observations noted in the FY 2023 </w:t>
      </w:r>
      <w:r w:rsidR="0063506D">
        <w:rPr>
          <w:rFonts w:asciiTheme="minorHAnsi" w:hAnsiTheme="minorHAnsi" w:cstheme="minorHAnsi"/>
          <w:sz w:val="24"/>
          <w:szCs w:val="24"/>
        </w:rPr>
        <w:t xml:space="preserve">Comprehensive </w:t>
      </w:r>
      <w:r w:rsidR="0063506D" w:rsidRPr="0063506D">
        <w:rPr>
          <w:rFonts w:asciiTheme="minorHAnsi" w:hAnsiTheme="minorHAnsi" w:cstheme="minorHAnsi"/>
          <w:sz w:val="24"/>
          <w:szCs w:val="24"/>
        </w:rPr>
        <w:t>FAME</w:t>
      </w:r>
      <w:r w:rsidR="0063506D">
        <w:rPr>
          <w:rFonts w:asciiTheme="minorHAnsi" w:hAnsiTheme="minorHAnsi" w:cstheme="minorHAnsi"/>
          <w:sz w:val="24"/>
          <w:szCs w:val="24"/>
        </w:rPr>
        <w:t xml:space="preserve">.  </w:t>
      </w:r>
      <w:r w:rsidR="00450C7B">
        <w:rPr>
          <w:rFonts w:asciiTheme="minorHAnsi" w:hAnsiTheme="minorHAnsi" w:cstheme="minorHAnsi"/>
          <w:sz w:val="24"/>
          <w:szCs w:val="24"/>
        </w:rPr>
        <w:t>In addition</w:t>
      </w:r>
      <w:r w:rsidR="00270E6A">
        <w:rPr>
          <w:rFonts w:asciiTheme="minorHAnsi" w:hAnsiTheme="minorHAnsi" w:cstheme="minorHAnsi"/>
          <w:sz w:val="24"/>
          <w:szCs w:val="24"/>
        </w:rPr>
        <w:t>, n</w:t>
      </w:r>
      <w:r w:rsidR="0063506D" w:rsidRPr="0063506D">
        <w:rPr>
          <w:rFonts w:asciiTheme="minorHAnsi" w:hAnsiTheme="minorHAnsi" w:cstheme="minorHAnsi"/>
          <w:sz w:val="24"/>
          <w:szCs w:val="24"/>
        </w:rPr>
        <w:t>o new findings were identified</w:t>
      </w:r>
      <w:r w:rsidR="00270E6A">
        <w:rPr>
          <w:rFonts w:asciiTheme="minorHAnsi" w:hAnsiTheme="minorHAnsi" w:cstheme="minorHAnsi"/>
          <w:sz w:val="24"/>
          <w:szCs w:val="24"/>
        </w:rPr>
        <w:t xml:space="preserve"> and only </w:t>
      </w:r>
      <w:r w:rsidR="0063506D" w:rsidRPr="0063506D">
        <w:rPr>
          <w:rFonts w:asciiTheme="minorHAnsi" w:hAnsiTheme="minorHAnsi" w:cstheme="minorHAnsi"/>
          <w:sz w:val="24"/>
          <w:szCs w:val="24"/>
        </w:rPr>
        <w:t xml:space="preserve">one </w:t>
      </w:r>
      <w:r w:rsidR="00270E6A">
        <w:rPr>
          <w:rFonts w:asciiTheme="minorHAnsi" w:hAnsiTheme="minorHAnsi" w:cstheme="minorHAnsi"/>
          <w:sz w:val="24"/>
          <w:szCs w:val="24"/>
        </w:rPr>
        <w:t xml:space="preserve">additional </w:t>
      </w:r>
      <w:r w:rsidR="0063506D" w:rsidRPr="0063506D">
        <w:rPr>
          <w:rFonts w:asciiTheme="minorHAnsi" w:hAnsiTheme="minorHAnsi" w:cstheme="minorHAnsi"/>
          <w:sz w:val="24"/>
          <w:szCs w:val="24"/>
        </w:rPr>
        <w:t xml:space="preserve">Observation was </w:t>
      </w:r>
      <w:r w:rsidR="00270E6A">
        <w:rPr>
          <w:rFonts w:asciiTheme="minorHAnsi" w:hAnsiTheme="minorHAnsi" w:cstheme="minorHAnsi"/>
          <w:sz w:val="24"/>
          <w:szCs w:val="24"/>
        </w:rPr>
        <w:t xml:space="preserve">identified. </w:t>
      </w:r>
      <w:r w:rsidR="0063506D" w:rsidRPr="0063506D">
        <w:rPr>
          <w:rFonts w:asciiTheme="minorHAnsi" w:hAnsiTheme="minorHAnsi" w:cstheme="minorHAnsi"/>
          <w:sz w:val="24"/>
          <w:szCs w:val="24"/>
        </w:rPr>
        <w:t xml:space="preserve">  </w:t>
      </w:r>
    </w:p>
    <w:p w14:paraId="2780DEE9" w14:textId="5957B847" w:rsidR="00FB655B" w:rsidRDefault="0063506D" w:rsidP="0063506D">
      <w:pPr>
        <w:pStyle w:val="NoSpacing"/>
        <w:jc w:val="both"/>
      </w:pPr>
      <w:r w:rsidRPr="00F63749">
        <w:rPr>
          <w:rFonts w:asciiTheme="minorHAnsi" w:hAnsiTheme="minorHAnsi" w:cstheme="minorHAnsi"/>
          <w:sz w:val="24"/>
          <w:szCs w:val="24"/>
        </w:rPr>
        <w:t xml:space="preserve"> </w:t>
      </w:r>
    </w:p>
    <w:p w14:paraId="15F4659E" w14:textId="063F7C8C" w:rsidR="00FB655B" w:rsidRDefault="00FB655B" w:rsidP="0032664D">
      <w:pPr>
        <w:suppressLineNumbers/>
        <w:jc w:val="both"/>
        <w:rPr>
          <w:rFonts w:asciiTheme="minorHAnsi" w:hAnsiTheme="minorHAnsi" w:cstheme="minorHAnsi"/>
          <w:color w:val="000000" w:themeColor="text1"/>
        </w:rPr>
      </w:pPr>
      <w:r w:rsidRPr="00EE62D7">
        <w:rPr>
          <w:rFonts w:asciiTheme="minorHAnsi" w:hAnsiTheme="minorHAnsi" w:cstheme="minorHAnsi"/>
        </w:rPr>
        <w:t xml:space="preserve">South Carolina developed a five-year strategic plan covering the period 2022 through 2026. The </w:t>
      </w:r>
      <w:r w:rsidR="00270E6A">
        <w:rPr>
          <w:rFonts w:asciiTheme="minorHAnsi" w:hAnsiTheme="minorHAnsi" w:cstheme="minorHAnsi"/>
        </w:rPr>
        <w:t>F</w:t>
      </w:r>
      <w:r w:rsidRPr="00EE62D7">
        <w:rPr>
          <w:rFonts w:asciiTheme="minorHAnsi" w:hAnsiTheme="minorHAnsi" w:cstheme="minorHAnsi"/>
        </w:rPr>
        <w:t>ive-</w:t>
      </w:r>
      <w:r w:rsidR="00270E6A">
        <w:rPr>
          <w:rFonts w:asciiTheme="minorHAnsi" w:hAnsiTheme="minorHAnsi" w:cstheme="minorHAnsi"/>
        </w:rPr>
        <w:t>Y</w:t>
      </w:r>
      <w:r w:rsidRPr="00EE62D7">
        <w:rPr>
          <w:rFonts w:asciiTheme="minorHAnsi" w:hAnsiTheme="minorHAnsi" w:cstheme="minorHAnsi"/>
        </w:rPr>
        <w:t xml:space="preserve">ear </w:t>
      </w:r>
      <w:r w:rsidR="00270E6A">
        <w:rPr>
          <w:rFonts w:asciiTheme="minorHAnsi" w:hAnsiTheme="minorHAnsi" w:cstheme="minorHAnsi"/>
        </w:rPr>
        <w:t>S</w:t>
      </w:r>
      <w:r w:rsidRPr="00EE62D7">
        <w:rPr>
          <w:rFonts w:asciiTheme="minorHAnsi" w:hAnsiTheme="minorHAnsi" w:cstheme="minorHAnsi"/>
        </w:rPr>
        <w:t xml:space="preserve">trategic </w:t>
      </w:r>
      <w:r w:rsidR="00270E6A">
        <w:rPr>
          <w:rFonts w:asciiTheme="minorHAnsi" w:hAnsiTheme="minorHAnsi" w:cstheme="minorHAnsi"/>
        </w:rPr>
        <w:t>P</w:t>
      </w:r>
      <w:r w:rsidR="00270E6A" w:rsidRPr="00EE62D7">
        <w:rPr>
          <w:rFonts w:asciiTheme="minorHAnsi" w:hAnsiTheme="minorHAnsi" w:cstheme="minorHAnsi"/>
        </w:rPr>
        <w:t>lan</w:t>
      </w:r>
      <w:r w:rsidR="00270E6A">
        <w:rPr>
          <w:rFonts w:asciiTheme="minorHAnsi" w:hAnsiTheme="minorHAnsi" w:cstheme="minorHAnsi"/>
        </w:rPr>
        <w:t xml:space="preserve"> </w:t>
      </w:r>
      <w:r w:rsidR="00270E6A" w:rsidRPr="00EE62D7">
        <w:rPr>
          <w:rFonts w:asciiTheme="minorHAnsi" w:hAnsiTheme="minorHAnsi" w:cstheme="minorHAnsi"/>
        </w:rPr>
        <w:t>has</w:t>
      </w:r>
      <w:r w:rsidR="00270E6A">
        <w:rPr>
          <w:rFonts w:asciiTheme="minorHAnsi" w:hAnsiTheme="minorHAnsi" w:cstheme="minorHAnsi"/>
        </w:rPr>
        <w:t xml:space="preserve"> </w:t>
      </w:r>
      <w:r w:rsidRPr="00EE62D7">
        <w:rPr>
          <w:rFonts w:asciiTheme="minorHAnsi" w:hAnsiTheme="minorHAnsi" w:cstheme="minorHAnsi"/>
        </w:rPr>
        <w:t>three overall strategic goals</w:t>
      </w:r>
      <w:r w:rsidR="00270E6A">
        <w:rPr>
          <w:rFonts w:asciiTheme="minorHAnsi" w:hAnsiTheme="minorHAnsi" w:cstheme="minorHAnsi"/>
        </w:rPr>
        <w:t xml:space="preserve">, which </w:t>
      </w:r>
      <w:r w:rsidR="00270E6A" w:rsidRPr="00EE62D7">
        <w:rPr>
          <w:rFonts w:asciiTheme="minorHAnsi" w:hAnsiTheme="minorHAnsi" w:cstheme="minorHAnsi"/>
        </w:rPr>
        <w:t>are</w:t>
      </w:r>
      <w:r w:rsidR="00270E6A">
        <w:rPr>
          <w:rFonts w:asciiTheme="minorHAnsi" w:hAnsiTheme="minorHAnsi" w:cstheme="minorHAnsi"/>
        </w:rPr>
        <w:t>:</w:t>
      </w:r>
      <w:r w:rsidR="00270E6A" w:rsidRPr="00EE62D7">
        <w:rPr>
          <w:rFonts w:asciiTheme="minorHAnsi" w:hAnsiTheme="minorHAnsi" w:cstheme="minorHAnsi"/>
        </w:rPr>
        <w:t xml:space="preserve"> Goal</w:t>
      </w:r>
      <w:r w:rsidRPr="00EE62D7">
        <w:rPr>
          <w:rFonts w:asciiTheme="minorHAnsi" w:hAnsiTheme="minorHAnsi" w:cstheme="minorHAnsi"/>
        </w:rPr>
        <w:t xml:space="preserve"> 1.  Ensure and improve workplace safety and health</w:t>
      </w:r>
      <w:r>
        <w:rPr>
          <w:rFonts w:asciiTheme="minorHAnsi" w:hAnsiTheme="minorHAnsi" w:cstheme="minorHAnsi"/>
        </w:rPr>
        <w:t>;</w:t>
      </w:r>
      <w:r w:rsidRPr="00EE62D7">
        <w:rPr>
          <w:rFonts w:asciiTheme="minorHAnsi" w:hAnsiTheme="minorHAnsi" w:cstheme="minorHAnsi"/>
        </w:rPr>
        <w:t xml:space="preserve"> Goal 2.  Promote a culture of safety and health</w:t>
      </w:r>
      <w:r>
        <w:rPr>
          <w:rFonts w:asciiTheme="minorHAnsi" w:hAnsiTheme="minorHAnsi" w:cstheme="minorHAnsi"/>
        </w:rPr>
        <w:t>;</w:t>
      </w:r>
      <w:r w:rsidRPr="00EE62D7">
        <w:rPr>
          <w:rFonts w:asciiTheme="minorHAnsi" w:hAnsiTheme="minorHAnsi" w:cstheme="minorHAnsi"/>
        </w:rPr>
        <w:t xml:space="preserve"> </w:t>
      </w:r>
      <w:r>
        <w:rPr>
          <w:rFonts w:asciiTheme="minorHAnsi" w:hAnsiTheme="minorHAnsi" w:cstheme="minorHAnsi"/>
        </w:rPr>
        <w:t xml:space="preserve">and </w:t>
      </w:r>
      <w:r w:rsidRPr="00EE62D7">
        <w:rPr>
          <w:rFonts w:asciiTheme="minorHAnsi" w:hAnsiTheme="minorHAnsi" w:cstheme="minorHAnsi"/>
        </w:rPr>
        <w:t xml:space="preserve">Goal 3. </w:t>
      </w:r>
      <w:r w:rsidRPr="00EE62D7">
        <w:rPr>
          <w:rFonts w:asciiTheme="minorHAnsi" w:hAnsiTheme="minorHAnsi" w:cstheme="minorHAnsi"/>
          <w:color w:val="000000" w:themeColor="text1"/>
        </w:rPr>
        <w:t>Strengthen public confidence through the development and delivery of SC OSHA’s programs and services.</w:t>
      </w:r>
    </w:p>
    <w:p w14:paraId="257280B0" w14:textId="77777777" w:rsidR="00223062" w:rsidRDefault="00223062" w:rsidP="0032664D">
      <w:pPr>
        <w:suppressLineNumbers/>
        <w:jc w:val="both"/>
        <w:rPr>
          <w:rFonts w:asciiTheme="minorHAnsi" w:hAnsiTheme="minorHAnsi" w:cstheme="minorHAnsi"/>
          <w:color w:val="000000" w:themeColor="text1"/>
        </w:rPr>
      </w:pPr>
    </w:p>
    <w:p w14:paraId="73383252" w14:textId="7EF0A379" w:rsidR="00223062" w:rsidRPr="00223062" w:rsidRDefault="00223062" w:rsidP="00D77279">
      <w:pPr>
        <w:jc w:val="both"/>
      </w:pPr>
      <w:r w:rsidRPr="00223062">
        <w:t>In FY 2024, South Carolina OSHA conducted focus</w:t>
      </w:r>
      <w:r w:rsidR="00D77279">
        <w:t>ed</w:t>
      </w:r>
      <w:r w:rsidRPr="00223062">
        <w:t xml:space="preserve"> inspections across the state. These inspections targeted </w:t>
      </w:r>
      <w:r w:rsidR="00270E6A">
        <w:t xml:space="preserve">the following </w:t>
      </w:r>
      <w:r w:rsidRPr="00223062">
        <w:t>areas</w:t>
      </w:r>
      <w:r w:rsidR="00270E6A">
        <w:t xml:space="preserve">: </w:t>
      </w:r>
      <w:r w:rsidRPr="00223062">
        <w:t>Respirable Silica</w:t>
      </w:r>
      <w:r w:rsidR="00270E6A">
        <w:t>;</w:t>
      </w:r>
      <w:r w:rsidRPr="00223062">
        <w:t xml:space="preserve"> Combustible Dust</w:t>
      </w:r>
      <w:r w:rsidR="00270E6A">
        <w:t>;</w:t>
      </w:r>
      <w:r w:rsidRPr="00223062">
        <w:t xml:space="preserve"> Lead</w:t>
      </w:r>
      <w:r w:rsidR="00270E6A">
        <w:t>;</w:t>
      </w:r>
      <w:r w:rsidRPr="00223062">
        <w:t xml:space="preserve"> Hexavalent Chromium</w:t>
      </w:r>
      <w:r w:rsidR="00270E6A">
        <w:t>;</w:t>
      </w:r>
      <w:r w:rsidRPr="00223062">
        <w:t xml:space="preserve"> Residential Construction</w:t>
      </w:r>
      <w:r w:rsidR="00270E6A">
        <w:t>;</w:t>
      </w:r>
      <w:r w:rsidRPr="00223062">
        <w:t xml:space="preserve"> Trenching and Excavation</w:t>
      </w:r>
      <w:r w:rsidR="00270E6A">
        <w:t>;</w:t>
      </w:r>
      <w:r w:rsidRPr="00223062">
        <w:t xml:space="preserve"> Plain View Hazards</w:t>
      </w:r>
      <w:r w:rsidR="00270E6A">
        <w:t>;</w:t>
      </w:r>
      <w:r w:rsidRPr="00223062">
        <w:t xml:space="preserve"> Temporary Workers</w:t>
      </w:r>
      <w:r w:rsidR="00270E6A">
        <w:t>;</w:t>
      </w:r>
      <w:r w:rsidRPr="00223062">
        <w:t xml:space="preserve"> Workplace Violence</w:t>
      </w:r>
      <w:r w:rsidR="00270E6A">
        <w:t>;</w:t>
      </w:r>
      <w:r w:rsidRPr="00223062">
        <w:t xml:space="preserve"> Warehousing and Distribution</w:t>
      </w:r>
      <w:r w:rsidR="00270E6A">
        <w:t>;</w:t>
      </w:r>
      <w:r w:rsidRPr="00223062">
        <w:t xml:space="preserve"> Falls</w:t>
      </w:r>
      <w:r w:rsidR="00270E6A">
        <w:t xml:space="preserve">; </w:t>
      </w:r>
      <w:r w:rsidR="00262382">
        <w:t>and</w:t>
      </w:r>
      <w:r w:rsidR="00270E6A">
        <w:t xml:space="preserve"> </w:t>
      </w:r>
      <w:r w:rsidRPr="00223062">
        <w:t>Heat.</w:t>
      </w:r>
    </w:p>
    <w:p w14:paraId="3539532A" w14:textId="77777777" w:rsidR="00223062" w:rsidRDefault="00223062" w:rsidP="0032664D">
      <w:pPr>
        <w:suppressLineNumbers/>
        <w:jc w:val="both"/>
        <w:rPr>
          <w:rFonts w:asciiTheme="minorHAnsi" w:hAnsiTheme="minorHAnsi" w:cstheme="minorHAnsi"/>
          <w:color w:val="000000" w:themeColor="text1"/>
        </w:rPr>
      </w:pPr>
    </w:p>
    <w:p w14:paraId="74AE892B" w14:textId="1D38AF16" w:rsidR="00A220D3" w:rsidRDefault="000F74DE" w:rsidP="00DB3C4B">
      <w:pPr>
        <w:jc w:val="both"/>
        <w:rPr>
          <w:color w:val="000000"/>
        </w:rPr>
      </w:pPr>
      <w:r>
        <w:t xml:space="preserve">In FY </w:t>
      </w:r>
      <w:r w:rsidR="00D1424F">
        <w:t>20</w:t>
      </w:r>
      <w:r>
        <w:t>24</w:t>
      </w:r>
      <w:r w:rsidR="00D53657">
        <w:t>,</w:t>
      </w:r>
      <w:r>
        <w:t xml:space="preserve"> </w:t>
      </w:r>
      <w:r w:rsidR="00A220D3" w:rsidRPr="00A220D3">
        <w:t>SC OSHA participat</w:t>
      </w:r>
      <w:r>
        <w:t>ed</w:t>
      </w:r>
      <w:r w:rsidR="00A220D3" w:rsidRPr="00A220D3">
        <w:t xml:space="preserve"> in national safety events such as National Safety Month and Fall Stand-Down activities. These initiatives provided valuable education and training for employers and workers. </w:t>
      </w:r>
      <w:r w:rsidR="00A220D3">
        <w:rPr>
          <w:color w:val="000000"/>
        </w:rPr>
        <w:t xml:space="preserve">South Carolina OSHA has continued its partnership with SC DHEC to address food service safety concerns, providing intervention to restaurants and other establishments in response to public complaints. </w:t>
      </w:r>
      <w:r w:rsidR="0032664D">
        <w:rPr>
          <w:color w:val="000000"/>
        </w:rPr>
        <w:t xml:space="preserve">SC OSHA </w:t>
      </w:r>
      <w:r w:rsidR="00FD12D9">
        <w:rPr>
          <w:color w:val="000000"/>
        </w:rPr>
        <w:t>also</w:t>
      </w:r>
      <w:r w:rsidR="00A220D3">
        <w:rPr>
          <w:color w:val="000000"/>
        </w:rPr>
        <w:t xml:space="preserve"> enhanced its digital outreach through billboards across the state, promoting safety protocols for issues </w:t>
      </w:r>
      <w:r w:rsidR="00DF1AB2">
        <w:rPr>
          <w:color w:val="000000"/>
        </w:rPr>
        <w:t xml:space="preserve">such as </w:t>
      </w:r>
      <w:r w:rsidR="00A220D3">
        <w:rPr>
          <w:color w:val="000000"/>
        </w:rPr>
        <w:t>fall protection and heat stress. Th</w:t>
      </w:r>
      <w:r w:rsidR="00B034BE">
        <w:rPr>
          <w:color w:val="000000"/>
        </w:rPr>
        <w:t>e billboards</w:t>
      </w:r>
      <w:r w:rsidR="00A220D3">
        <w:rPr>
          <w:color w:val="000000"/>
        </w:rPr>
        <w:t xml:space="preserve"> included contact information for SC OSHA to offer guidance and support. Social media alerts and online </w:t>
      </w:r>
      <w:r w:rsidR="00270E6A">
        <w:rPr>
          <w:color w:val="000000"/>
        </w:rPr>
        <w:t>public service announcements (</w:t>
      </w:r>
      <w:r w:rsidR="00A220D3">
        <w:rPr>
          <w:color w:val="000000"/>
        </w:rPr>
        <w:t>PSA</w:t>
      </w:r>
      <w:r w:rsidR="00270E6A">
        <w:rPr>
          <w:color w:val="000000"/>
        </w:rPr>
        <w:t>)</w:t>
      </w:r>
      <w:r w:rsidR="00A220D3">
        <w:rPr>
          <w:color w:val="000000"/>
        </w:rPr>
        <w:t xml:space="preserve"> were also part of SC OSHA’s strategy to reach a broader audience</w:t>
      </w:r>
      <w:r w:rsidR="00270E6A">
        <w:rPr>
          <w:color w:val="000000"/>
        </w:rPr>
        <w:t>.</w:t>
      </w:r>
      <w:r w:rsidR="00270E6A" w:rsidRPr="00270E6A">
        <w:rPr>
          <w:color w:val="000000"/>
        </w:rPr>
        <w:t xml:space="preserve"> </w:t>
      </w:r>
      <w:r w:rsidR="00270E6A">
        <w:rPr>
          <w:color w:val="000000"/>
        </w:rPr>
        <w:t xml:space="preserve">SC OSHA also used </w:t>
      </w:r>
      <w:r w:rsidR="00A220D3">
        <w:rPr>
          <w:color w:val="000000"/>
        </w:rPr>
        <w:t>LinkedIn and streaming services to disseminate health and safety information on hazards such as heat stress, falls, and mental health.</w:t>
      </w:r>
    </w:p>
    <w:p w14:paraId="5B998B2D" w14:textId="77777777" w:rsidR="00A220D3" w:rsidRDefault="00A220D3" w:rsidP="00DB3C4B">
      <w:pPr>
        <w:jc w:val="both"/>
        <w:rPr>
          <w:color w:val="000000"/>
        </w:rPr>
      </w:pPr>
    </w:p>
    <w:p w14:paraId="35B89A0B" w14:textId="35BABB22" w:rsidR="00223062" w:rsidRPr="00223062" w:rsidRDefault="00223062" w:rsidP="000F74DE">
      <w:pPr>
        <w:jc w:val="both"/>
      </w:pPr>
      <w:r w:rsidRPr="00223062">
        <w:t>In FY 2024, S</w:t>
      </w:r>
      <w:r w:rsidR="00270E6A">
        <w:t>C</w:t>
      </w:r>
      <w:r w:rsidRPr="00223062">
        <w:t xml:space="preserve"> OSHA faced </w:t>
      </w:r>
      <w:r w:rsidR="004A7D72">
        <w:t>difficulties</w:t>
      </w:r>
      <w:r w:rsidRPr="00223062">
        <w:t xml:space="preserve"> in attracting and retaining compliance officers due to </w:t>
      </w:r>
      <w:r w:rsidR="005D21B7">
        <w:t xml:space="preserve">its </w:t>
      </w:r>
      <w:r w:rsidRPr="00223062">
        <w:t>noncompetitive salaries. An internal salary study led to a budget request that was approved to increase salaries to be more consistent with neighboring states. SC OSHA participated in a state job fair to aid recruitment and continued investing in staff development through safety training, certifications, and professional growth programs. </w:t>
      </w:r>
    </w:p>
    <w:p w14:paraId="05FA7A75" w14:textId="77777777" w:rsidR="00223062" w:rsidRPr="00223062" w:rsidRDefault="00223062" w:rsidP="000F74DE">
      <w:pPr>
        <w:jc w:val="both"/>
      </w:pPr>
    </w:p>
    <w:p w14:paraId="4963240E" w14:textId="0BE18B6F" w:rsidR="00FB655B" w:rsidRDefault="00FB655B" w:rsidP="000F74DE">
      <w:pPr>
        <w:suppressLineNumbers/>
        <w:jc w:val="both"/>
      </w:pPr>
      <w:r w:rsidRPr="00255B55">
        <w:t>The State’s total recordable case (TRC) rate for Calendar Year (CY) 202</w:t>
      </w:r>
      <w:r w:rsidR="00E31019">
        <w:t>3</w:t>
      </w:r>
      <w:r w:rsidRPr="00255B55">
        <w:t xml:space="preserve"> was 2.</w:t>
      </w:r>
      <w:r w:rsidR="00E31019">
        <w:t>2</w:t>
      </w:r>
      <w:r w:rsidRPr="00255B55">
        <w:t>.  This rate is 2</w:t>
      </w:r>
      <w:r w:rsidR="00E31019">
        <w:t>0</w:t>
      </w:r>
      <w:r w:rsidRPr="00255B55">
        <w:t>% lower than the national average. The State’s days away, restricted or transferred (DART) rate for CY 202</w:t>
      </w:r>
      <w:r w:rsidR="00E31019">
        <w:t>3</w:t>
      </w:r>
      <w:r w:rsidRPr="00255B55">
        <w:t xml:space="preserve"> was 1.</w:t>
      </w:r>
      <w:r w:rsidR="00E31019">
        <w:t>3</w:t>
      </w:r>
      <w:r w:rsidRPr="00255B55">
        <w:t xml:space="preserve">. This rate is </w:t>
      </w:r>
      <w:r w:rsidR="00E31019">
        <w:t>14</w:t>
      </w:r>
      <w:r w:rsidRPr="00255B55">
        <w:t>% lower than the national average.  This data was released by the Bureau of Labor Statistics (BLS) in Nov</w:t>
      </w:r>
      <w:r>
        <w:t>.</w:t>
      </w:r>
      <w:r w:rsidRPr="00255B55">
        <w:t xml:space="preserve"> 202</w:t>
      </w:r>
      <w:r w:rsidR="00E31019">
        <w:t>4</w:t>
      </w:r>
      <w:r w:rsidRPr="00255B55">
        <w:t>, and it is the most current data available.</w:t>
      </w: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282752AA" w14:textId="77777777" w:rsidR="00FB655B" w:rsidRPr="00FB655B" w:rsidRDefault="00FB655B" w:rsidP="00FB655B">
      <w:pPr>
        <w:widowControl/>
        <w:autoSpaceDE/>
        <w:autoSpaceDN/>
        <w:adjustRightInd/>
        <w:ind w:left="60"/>
        <w:jc w:val="both"/>
        <w:rPr>
          <w:rFonts w:asciiTheme="minorHAnsi" w:hAnsiTheme="minorHAnsi" w:cstheme="minorHAnsi"/>
        </w:rPr>
      </w:pPr>
      <w:r w:rsidRPr="00FB655B">
        <w:rPr>
          <w:rFonts w:asciiTheme="minorHAnsi" w:hAnsiTheme="minorHAnsi" w:cstheme="minorHAnsi"/>
        </w:rPr>
        <w:t xml:space="preserve">The SC OSHA State Plan was one of the first programs approved by the U.S. Department of Labor, per the guidelines of the Occupational Safety and Health Act of 1970.  This was accomplished on November 30, 1972, and final approval was granted in 1987.  In 1994, the South Carolina Department of Labor was eliminated, as part of the reorganization of the state government, and the South Carolina Department of Labor, Licensing and Regulation (SCDLLR) was created.  During this review period, </w:t>
      </w:r>
      <w:r w:rsidRPr="00FB655B">
        <w:rPr>
          <w:rFonts w:asciiTheme="minorHAnsi" w:hAnsiTheme="minorHAnsi" w:cstheme="minorHAnsi"/>
          <w:color w:val="222222"/>
          <w:shd w:val="clear" w:color="auto" w:fill="FFFFFF"/>
        </w:rPr>
        <w:t>Emily H. Farr was the Director of SCDLLR, and Kristina Baker was the Deputy Director.  SCD</w:t>
      </w:r>
      <w:r w:rsidRPr="00FB655B">
        <w:rPr>
          <w:rFonts w:asciiTheme="minorHAnsi" w:hAnsiTheme="minorHAnsi" w:cstheme="minorHAnsi"/>
        </w:rPr>
        <w:t xml:space="preserve">LLR is divided into the following three divisions: Labor; Fire and Life Safety; and Professional and Occupational Licensing.  The SC OSHA program, within the Division of Labor, is responsible for the management and operation of the State Plan.   </w:t>
      </w:r>
    </w:p>
    <w:p w14:paraId="079B0613" w14:textId="77777777" w:rsidR="00FB655B" w:rsidRPr="00FB655B" w:rsidRDefault="00FB655B" w:rsidP="00FB655B">
      <w:pPr>
        <w:widowControl/>
        <w:autoSpaceDE/>
        <w:autoSpaceDN/>
        <w:adjustRightInd/>
        <w:ind w:left="60"/>
        <w:jc w:val="both"/>
        <w:rPr>
          <w:rFonts w:asciiTheme="minorHAnsi" w:hAnsiTheme="minorHAnsi" w:cstheme="minorHAnsi"/>
        </w:rPr>
      </w:pPr>
    </w:p>
    <w:p w14:paraId="6144B0DC" w14:textId="14260C47" w:rsidR="00FB655B" w:rsidRPr="00FB655B" w:rsidRDefault="00FB655B" w:rsidP="00FB655B">
      <w:pPr>
        <w:widowControl/>
        <w:autoSpaceDE/>
        <w:autoSpaceDN/>
        <w:adjustRightInd/>
        <w:ind w:left="60"/>
        <w:jc w:val="both"/>
        <w:rPr>
          <w:rFonts w:asciiTheme="minorHAnsi" w:hAnsiTheme="minorHAnsi" w:cstheme="minorHAnsi"/>
        </w:rPr>
      </w:pPr>
      <w:r w:rsidRPr="00FB655B">
        <w:rPr>
          <w:rFonts w:asciiTheme="minorHAnsi" w:hAnsiTheme="minorHAnsi" w:cstheme="minorHAnsi"/>
        </w:rPr>
        <w:t>It is important to note that SC OSHA is organized into four main areas: Administration, Compliance, Legal</w:t>
      </w:r>
      <w:r w:rsidR="005D21B7">
        <w:rPr>
          <w:rFonts w:asciiTheme="minorHAnsi" w:hAnsiTheme="minorHAnsi" w:cstheme="minorHAnsi"/>
        </w:rPr>
        <w:t>,</w:t>
      </w:r>
      <w:r w:rsidRPr="00FB655B">
        <w:rPr>
          <w:rFonts w:asciiTheme="minorHAnsi" w:hAnsiTheme="minorHAnsi" w:cstheme="minorHAnsi"/>
        </w:rPr>
        <w:t xml:space="preserve"> a</w:t>
      </w:r>
      <w:r w:rsidR="005D21B7">
        <w:rPr>
          <w:rFonts w:asciiTheme="minorHAnsi" w:hAnsiTheme="minorHAnsi" w:cstheme="minorHAnsi"/>
        </w:rPr>
        <w:t xml:space="preserve">s well as </w:t>
      </w:r>
      <w:r w:rsidRPr="00FB655B">
        <w:rPr>
          <w:rFonts w:asciiTheme="minorHAnsi" w:hAnsiTheme="minorHAnsi" w:cstheme="minorHAnsi"/>
        </w:rPr>
        <w:t xml:space="preserve">Outreach and Education.  The Deputy Director Kristina Baker oversees the program and has four area leads that manage the day-to-day running of the program.  </w:t>
      </w:r>
    </w:p>
    <w:p w14:paraId="2341DD56" w14:textId="77777777" w:rsidR="00FB655B" w:rsidRPr="00FB655B" w:rsidRDefault="00FB655B" w:rsidP="00FB655B">
      <w:pPr>
        <w:widowControl/>
        <w:autoSpaceDE/>
        <w:autoSpaceDN/>
        <w:adjustRightInd/>
        <w:ind w:left="60"/>
        <w:jc w:val="both"/>
        <w:rPr>
          <w:rFonts w:asciiTheme="minorHAnsi" w:hAnsiTheme="minorHAnsi" w:cstheme="minorHAnsi"/>
        </w:rPr>
      </w:pPr>
    </w:p>
    <w:p w14:paraId="30D4F7EC" w14:textId="30197D2A" w:rsidR="00FB655B" w:rsidRPr="00FB655B" w:rsidRDefault="00FB655B" w:rsidP="00FB655B">
      <w:pPr>
        <w:widowControl/>
        <w:autoSpaceDE/>
        <w:autoSpaceDN/>
        <w:adjustRightInd/>
        <w:ind w:left="60"/>
        <w:jc w:val="both"/>
        <w:rPr>
          <w:rFonts w:asciiTheme="minorHAnsi" w:hAnsiTheme="minorHAnsi" w:cstheme="minorHAnsi"/>
        </w:rPr>
      </w:pPr>
      <w:r w:rsidRPr="00FB655B">
        <w:rPr>
          <w:rFonts w:asciiTheme="minorHAnsi" w:hAnsiTheme="minorHAnsi" w:cstheme="minorHAnsi"/>
        </w:rPr>
        <w:t xml:space="preserve">During the review period, Gwen Thomas was the State Plan Manager for the SC OSHA Program and responsible for the area of Administration.  This includes leading the following departments: training; technical support and standards; the Web Integrated Management Information System; and the South Carolina Bureau of Labor Statistics.  The Office of Technical Support and Standards (OTSS) provides information to assist the public in complying with standards.  The office also supports the enforcement program with compliance guidance by providing guidance for internal and external use.  In addition, OTSS reviews new OSHA standards and directives </w:t>
      </w:r>
      <w:r w:rsidR="005D21B7">
        <w:rPr>
          <w:rFonts w:asciiTheme="minorHAnsi" w:hAnsiTheme="minorHAnsi" w:cstheme="minorHAnsi"/>
        </w:rPr>
        <w:t xml:space="preserve">and manages its adoption of these documents for the State. </w:t>
      </w:r>
      <w:r w:rsidRPr="00FB655B">
        <w:rPr>
          <w:rFonts w:asciiTheme="minorHAnsi" w:hAnsiTheme="minorHAnsi" w:cstheme="minorHAnsi"/>
        </w:rPr>
        <w:t xml:space="preserve"> </w:t>
      </w:r>
    </w:p>
    <w:p w14:paraId="7537DDBE" w14:textId="77777777" w:rsidR="00FB655B" w:rsidRPr="00FB655B" w:rsidRDefault="00FB655B" w:rsidP="00FB655B">
      <w:pPr>
        <w:widowControl/>
        <w:autoSpaceDE/>
        <w:autoSpaceDN/>
        <w:adjustRightInd/>
        <w:ind w:left="60"/>
        <w:jc w:val="both"/>
        <w:rPr>
          <w:rFonts w:asciiTheme="minorHAnsi" w:hAnsiTheme="minorHAnsi" w:cstheme="minorHAnsi"/>
        </w:rPr>
      </w:pPr>
    </w:p>
    <w:p w14:paraId="7B42A706" w14:textId="7C168929" w:rsidR="00FB655B" w:rsidRPr="00FB655B" w:rsidRDefault="00FB655B" w:rsidP="00FB655B">
      <w:pPr>
        <w:widowControl/>
        <w:autoSpaceDE/>
        <w:autoSpaceDN/>
        <w:adjustRightInd/>
        <w:ind w:left="60"/>
        <w:jc w:val="both"/>
        <w:rPr>
          <w:rFonts w:asciiTheme="minorHAnsi" w:hAnsiTheme="minorHAnsi" w:cstheme="minorHAnsi"/>
        </w:rPr>
      </w:pPr>
      <w:r w:rsidRPr="00FB655B">
        <w:rPr>
          <w:rFonts w:asciiTheme="minorHAnsi" w:hAnsiTheme="minorHAnsi" w:cstheme="minorHAnsi"/>
        </w:rPr>
        <w:t xml:space="preserve">The Compliance Manager, Charles Price, manages the Compliance area, including leading the safety and health compliance teams consisting of supervisors, compliance safety and health officers (CSHOs), and administrative staff. </w:t>
      </w:r>
    </w:p>
    <w:p w14:paraId="470E8BB0" w14:textId="77777777" w:rsidR="00FB655B" w:rsidRPr="00FB655B" w:rsidRDefault="00FB655B" w:rsidP="00FB655B">
      <w:pPr>
        <w:widowControl/>
        <w:autoSpaceDE/>
        <w:autoSpaceDN/>
        <w:adjustRightInd/>
        <w:ind w:left="60"/>
        <w:jc w:val="both"/>
        <w:rPr>
          <w:rFonts w:asciiTheme="minorHAnsi" w:hAnsiTheme="minorHAnsi" w:cstheme="minorHAnsi"/>
        </w:rPr>
      </w:pPr>
    </w:p>
    <w:p w14:paraId="1411B82E" w14:textId="70BC5A81" w:rsidR="00FB655B" w:rsidRPr="00FB655B" w:rsidRDefault="00FB655B" w:rsidP="00FB655B">
      <w:pPr>
        <w:widowControl/>
        <w:autoSpaceDE/>
        <w:autoSpaceDN/>
        <w:adjustRightInd/>
        <w:ind w:left="60"/>
        <w:jc w:val="both"/>
        <w:rPr>
          <w:rFonts w:asciiTheme="minorHAnsi" w:hAnsiTheme="minorHAnsi" w:cstheme="minorHAnsi"/>
        </w:rPr>
      </w:pPr>
      <w:r w:rsidRPr="00FB655B">
        <w:rPr>
          <w:rFonts w:asciiTheme="minorHAnsi" w:hAnsiTheme="minorHAnsi" w:cstheme="minorHAnsi"/>
        </w:rPr>
        <w:t xml:space="preserve">The Chief </w:t>
      </w:r>
      <w:r w:rsidR="00D1424F">
        <w:rPr>
          <w:rFonts w:asciiTheme="minorHAnsi" w:hAnsiTheme="minorHAnsi" w:cstheme="minorHAnsi"/>
        </w:rPr>
        <w:t>Labor</w:t>
      </w:r>
      <w:r w:rsidRPr="00FB655B">
        <w:rPr>
          <w:rFonts w:asciiTheme="minorHAnsi" w:hAnsiTheme="minorHAnsi" w:cstheme="minorHAnsi"/>
        </w:rPr>
        <w:t xml:space="preserve"> Counsel, Deidre Laws, manages the Legal area, which includes 11(c)</w:t>
      </w:r>
      <w:r w:rsidR="00D1424F">
        <w:rPr>
          <w:rFonts w:asciiTheme="minorHAnsi" w:hAnsiTheme="minorHAnsi" w:cstheme="minorHAnsi"/>
        </w:rPr>
        <w:t xml:space="preserve"> Whistleblower program</w:t>
      </w:r>
      <w:r w:rsidRPr="00FB655B">
        <w:rPr>
          <w:rFonts w:asciiTheme="minorHAnsi" w:hAnsiTheme="minorHAnsi" w:cstheme="minorHAnsi"/>
        </w:rPr>
        <w:t xml:space="preserve">, informal conferences, contested cases and FOIAs. </w:t>
      </w:r>
    </w:p>
    <w:p w14:paraId="06D37D01" w14:textId="77777777" w:rsidR="00FB655B" w:rsidRPr="00FB655B" w:rsidRDefault="00FB655B" w:rsidP="00FB655B">
      <w:pPr>
        <w:widowControl/>
        <w:autoSpaceDE/>
        <w:autoSpaceDN/>
        <w:adjustRightInd/>
        <w:ind w:left="60"/>
        <w:jc w:val="both"/>
        <w:rPr>
          <w:rFonts w:asciiTheme="minorHAnsi" w:hAnsiTheme="minorHAnsi" w:cstheme="minorHAnsi"/>
        </w:rPr>
      </w:pPr>
    </w:p>
    <w:p w14:paraId="7A6F3CFE" w14:textId="77777777" w:rsidR="00FB655B" w:rsidRPr="00FB655B" w:rsidRDefault="00FB655B" w:rsidP="00FB655B">
      <w:pPr>
        <w:widowControl/>
        <w:autoSpaceDE/>
        <w:autoSpaceDN/>
        <w:adjustRightInd/>
        <w:ind w:left="60"/>
        <w:jc w:val="both"/>
        <w:rPr>
          <w:rFonts w:asciiTheme="minorHAnsi" w:hAnsiTheme="minorHAnsi" w:cstheme="minorHAnsi"/>
        </w:rPr>
      </w:pPr>
      <w:r w:rsidRPr="00FB655B">
        <w:rPr>
          <w:rFonts w:asciiTheme="minorHAnsi" w:hAnsiTheme="minorHAnsi" w:cstheme="minorHAnsi"/>
        </w:rPr>
        <w:t>The SC OSHA Consultation Manager, Kenyarda Edwards oversees the Office of Outreach and Education (O&amp;E), which includes the safety and health training, compliance assistance, the South Carolina Palmetto Star Program, and On-site Consultative Services.  The Palmetto Star Program is the equivalent to the OSHA Voluntary Protection program.  The On-site Consultative Services are provided free of charge to private sector</w:t>
      </w:r>
      <w:bookmarkStart w:id="9" w:name="_Hlk38462388"/>
      <w:r w:rsidRPr="00FB655B">
        <w:rPr>
          <w:rFonts w:asciiTheme="minorHAnsi" w:hAnsiTheme="minorHAnsi" w:cstheme="minorHAnsi"/>
        </w:rPr>
        <w:t xml:space="preserve"> </w:t>
      </w:r>
      <w:bookmarkEnd w:id="9"/>
      <w:r w:rsidRPr="00FB655B">
        <w:rPr>
          <w:rFonts w:asciiTheme="minorHAnsi" w:hAnsiTheme="minorHAnsi" w:cstheme="minorHAnsi"/>
        </w:rPr>
        <w:t xml:space="preserve">employers, through OSHA’s 23(d) grant program. </w:t>
      </w:r>
    </w:p>
    <w:p w14:paraId="1883CDDE" w14:textId="77777777" w:rsidR="00FB655B" w:rsidRPr="00FB655B" w:rsidRDefault="00FB655B" w:rsidP="00FB655B">
      <w:pPr>
        <w:widowControl/>
        <w:autoSpaceDE/>
        <w:autoSpaceDN/>
        <w:adjustRightInd/>
        <w:ind w:left="60"/>
        <w:jc w:val="both"/>
        <w:rPr>
          <w:rFonts w:asciiTheme="minorHAnsi" w:hAnsiTheme="minorHAnsi" w:cstheme="minorHAnsi"/>
        </w:rPr>
      </w:pPr>
    </w:p>
    <w:p w14:paraId="137D7F37" w14:textId="77777777" w:rsidR="00FB655B" w:rsidRDefault="00FB655B" w:rsidP="00FB655B">
      <w:pPr>
        <w:widowControl/>
        <w:autoSpaceDE/>
        <w:autoSpaceDN/>
        <w:adjustRightInd/>
        <w:ind w:left="60"/>
        <w:jc w:val="both"/>
        <w:rPr>
          <w:rFonts w:asciiTheme="minorHAnsi" w:hAnsiTheme="minorHAnsi" w:cstheme="minorHAnsi"/>
        </w:rPr>
      </w:pPr>
      <w:r w:rsidRPr="00FB655B">
        <w:rPr>
          <w:rFonts w:asciiTheme="minorHAnsi" w:hAnsiTheme="minorHAnsi" w:cstheme="minorHAnsi"/>
        </w:rPr>
        <w:t xml:space="preserve">In South Carolina, state and local government agencies and workers are afforded the same rights, responsibilities, and coverage as those in the private sector.  </w:t>
      </w:r>
    </w:p>
    <w:p w14:paraId="1E563981" w14:textId="77777777" w:rsidR="004F36C8" w:rsidRDefault="004F36C8" w:rsidP="00FB655B">
      <w:pPr>
        <w:widowControl/>
        <w:autoSpaceDE/>
        <w:autoSpaceDN/>
        <w:adjustRightInd/>
        <w:ind w:left="60"/>
        <w:jc w:val="both"/>
        <w:rPr>
          <w:rFonts w:asciiTheme="minorHAnsi" w:hAnsiTheme="minorHAnsi" w:cstheme="minorHAnsi"/>
        </w:rPr>
      </w:pPr>
    </w:p>
    <w:p w14:paraId="50C6C8FD" w14:textId="77777777" w:rsidR="004F36C8" w:rsidRDefault="004F36C8" w:rsidP="00FB655B">
      <w:pPr>
        <w:widowControl/>
        <w:autoSpaceDE/>
        <w:autoSpaceDN/>
        <w:adjustRightInd/>
        <w:ind w:left="60"/>
        <w:jc w:val="both"/>
        <w:rPr>
          <w:rFonts w:asciiTheme="minorHAnsi" w:hAnsiTheme="minorHAnsi" w:cstheme="minorHAnsi"/>
        </w:rPr>
      </w:pPr>
    </w:p>
    <w:p w14:paraId="6C9D8708" w14:textId="77777777" w:rsidR="004F36C8" w:rsidRPr="00FB655B" w:rsidRDefault="004F36C8" w:rsidP="00FB655B">
      <w:pPr>
        <w:widowControl/>
        <w:autoSpaceDE/>
        <w:autoSpaceDN/>
        <w:adjustRightInd/>
        <w:ind w:left="60"/>
        <w:jc w:val="both"/>
        <w:rPr>
          <w:rFonts w:asciiTheme="minorHAnsi" w:hAnsiTheme="minorHAnsi" w:cstheme="minorHAnsi"/>
        </w:rPr>
      </w:pPr>
    </w:p>
    <w:p w14:paraId="508611FC" w14:textId="77777777" w:rsidR="00FB655B" w:rsidRPr="00FB655B" w:rsidRDefault="00FB655B" w:rsidP="00FB655B">
      <w:pPr>
        <w:ind w:firstLine="720"/>
        <w:rPr>
          <w:rFonts w:asciiTheme="minorHAnsi" w:hAnsiTheme="minorHAnsi" w:cstheme="minorHAnsi"/>
          <w:b/>
          <w:bCs/>
        </w:rPr>
      </w:pPr>
    </w:p>
    <w:p w14:paraId="426CC272" w14:textId="3D0F2B58" w:rsidR="00FB655B" w:rsidRPr="00FB655B" w:rsidRDefault="00FB655B" w:rsidP="00FB655B">
      <w:pPr>
        <w:ind w:firstLine="720"/>
        <w:rPr>
          <w:rFonts w:asciiTheme="minorHAnsi" w:hAnsiTheme="minorHAnsi" w:cstheme="minorHAnsi"/>
          <w:sz w:val="22"/>
          <w:szCs w:val="22"/>
        </w:rPr>
      </w:pPr>
      <w:r w:rsidRPr="00FB655B">
        <w:rPr>
          <w:rFonts w:asciiTheme="minorHAnsi" w:hAnsiTheme="minorHAnsi" w:cstheme="minorHAnsi"/>
          <w:b/>
          <w:bCs/>
        </w:rPr>
        <w:t>The table below shows SC OSHA’s funding levels from FY 20</w:t>
      </w:r>
      <w:r w:rsidR="008D289A">
        <w:rPr>
          <w:rFonts w:asciiTheme="minorHAnsi" w:hAnsiTheme="minorHAnsi" w:cstheme="minorHAnsi"/>
          <w:b/>
          <w:bCs/>
        </w:rPr>
        <w:t>20</w:t>
      </w:r>
      <w:r w:rsidRPr="00FB655B">
        <w:rPr>
          <w:rFonts w:asciiTheme="minorHAnsi" w:hAnsiTheme="minorHAnsi" w:cstheme="minorHAnsi"/>
          <w:b/>
          <w:bCs/>
        </w:rPr>
        <w:t xml:space="preserve"> through FY 202</w:t>
      </w:r>
      <w:r w:rsidR="008D289A">
        <w:rPr>
          <w:rFonts w:asciiTheme="minorHAnsi" w:hAnsiTheme="minorHAnsi" w:cstheme="minorHAnsi"/>
          <w:b/>
          <w:bCs/>
        </w:rPr>
        <w:t>4</w:t>
      </w:r>
    </w:p>
    <w:p w14:paraId="616C5758" w14:textId="77777777" w:rsidR="00FB655B" w:rsidRPr="00FB655B" w:rsidRDefault="00FB655B" w:rsidP="00FB655B">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8"/>
        <w:gridCol w:w="1639"/>
        <w:gridCol w:w="1488"/>
        <w:gridCol w:w="1047"/>
        <w:gridCol w:w="1652"/>
        <w:gridCol w:w="2206"/>
      </w:tblGrid>
      <w:tr w:rsidR="00FB655B" w:rsidRPr="00FB655B" w14:paraId="366A520B" w14:textId="77777777" w:rsidTr="008D289A">
        <w:trPr>
          <w:trHeight w:val="332"/>
          <w:jc w:val="center"/>
        </w:trPr>
        <w:tc>
          <w:tcPr>
            <w:tcW w:w="9530" w:type="dxa"/>
            <w:gridSpan w:val="6"/>
          </w:tcPr>
          <w:p w14:paraId="145FB332" w14:textId="2EE088B6" w:rsidR="00FB655B" w:rsidRPr="00FB655B" w:rsidRDefault="00FB655B" w:rsidP="00FB655B">
            <w:pPr>
              <w:ind w:firstLine="720"/>
              <w:jc w:val="center"/>
              <w:rPr>
                <w:rFonts w:asciiTheme="minorHAnsi" w:hAnsiTheme="minorHAnsi" w:cstheme="minorHAnsi"/>
                <w:sz w:val="22"/>
                <w:szCs w:val="22"/>
              </w:rPr>
            </w:pPr>
            <w:bookmarkStart w:id="10" w:name="_Hlk184799314"/>
            <w:r w:rsidRPr="00FB655B">
              <w:rPr>
                <w:rFonts w:asciiTheme="minorHAnsi" w:hAnsiTheme="minorHAnsi" w:cstheme="minorHAnsi"/>
                <w:b/>
                <w:bCs/>
              </w:rPr>
              <w:t>FY 20</w:t>
            </w:r>
            <w:r>
              <w:rPr>
                <w:rFonts w:asciiTheme="minorHAnsi" w:hAnsiTheme="minorHAnsi" w:cstheme="minorHAnsi"/>
                <w:b/>
                <w:bCs/>
              </w:rPr>
              <w:t>20</w:t>
            </w:r>
            <w:r w:rsidRPr="00FB655B">
              <w:rPr>
                <w:rFonts w:asciiTheme="minorHAnsi" w:hAnsiTheme="minorHAnsi" w:cstheme="minorHAnsi"/>
                <w:b/>
                <w:bCs/>
              </w:rPr>
              <w:t xml:space="preserve"> - FY 202</w:t>
            </w:r>
            <w:r>
              <w:rPr>
                <w:rFonts w:asciiTheme="minorHAnsi" w:hAnsiTheme="minorHAnsi" w:cstheme="minorHAnsi"/>
                <w:b/>
                <w:bCs/>
              </w:rPr>
              <w:t>4</w:t>
            </w:r>
            <w:r w:rsidRPr="00FB655B">
              <w:rPr>
                <w:rFonts w:asciiTheme="minorHAnsi" w:hAnsiTheme="minorHAnsi" w:cstheme="minorHAnsi"/>
                <w:b/>
                <w:bCs/>
              </w:rPr>
              <w:t xml:space="preserve"> Funding History</w:t>
            </w:r>
          </w:p>
        </w:tc>
      </w:tr>
      <w:tr w:rsidR="00FB655B" w:rsidRPr="00FB655B" w14:paraId="172FBBFF" w14:textId="77777777" w:rsidTr="008D289A">
        <w:trPr>
          <w:trHeight w:val="1375"/>
          <w:jc w:val="center"/>
        </w:trPr>
        <w:tc>
          <w:tcPr>
            <w:tcW w:w="1498" w:type="dxa"/>
            <w:hideMark/>
          </w:tcPr>
          <w:p w14:paraId="27DA3169" w14:textId="77777777" w:rsidR="00FB655B" w:rsidRPr="00FB655B" w:rsidRDefault="00FB655B" w:rsidP="00FB655B">
            <w:pPr>
              <w:widowControl/>
              <w:adjustRightInd/>
              <w:spacing w:before="135" w:line="252" w:lineRule="auto"/>
              <w:ind w:left="429" w:right="350" w:hanging="46"/>
              <w:jc w:val="center"/>
              <w:rPr>
                <w:rFonts w:asciiTheme="minorHAnsi" w:eastAsiaTheme="minorHAnsi" w:hAnsiTheme="minorHAnsi" w:cstheme="minorHAnsi"/>
                <w:b/>
                <w:bCs/>
              </w:rPr>
            </w:pPr>
            <w:r w:rsidRPr="00FB655B">
              <w:rPr>
                <w:rFonts w:asciiTheme="minorHAnsi" w:eastAsiaTheme="minorHAnsi" w:hAnsiTheme="minorHAnsi" w:cstheme="minorHAnsi"/>
                <w:b/>
                <w:bCs/>
              </w:rPr>
              <w:t>Fiscal Year</w:t>
            </w:r>
          </w:p>
        </w:tc>
        <w:tc>
          <w:tcPr>
            <w:tcW w:w="1639" w:type="dxa"/>
            <w:hideMark/>
          </w:tcPr>
          <w:p w14:paraId="78A65292" w14:textId="77777777" w:rsidR="00FB655B" w:rsidRPr="00FB655B" w:rsidRDefault="00FB655B" w:rsidP="00FB655B">
            <w:pPr>
              <w:widowControl/>
              <w:adjustRightInd/>
              <w:spacing w:before="2" w:line="276" w:lineRule="exact"/>
              <w:ind w:right="221"/>
              <w:jc w:val="center"/>
              <w:rPr>
                <w:rFonts w:asciiTheme="minorHAnsi" w:eastAsiaTheme="minorHAnsi" w:hAnsiTheme="minorHAnsi" w:cstheme="minorHAnsi"/>
                <w:b/>
                <w:bCs/>
              </w:rPr>
            </w:pPr>
            <w:r w:rsidRPr="00FB655B">
              <w:rPr>
                <w:rFonts w:asciiTheme="minorHAnsi" w:eastAsiaTheme="minorHAnsi" w:hAnsiTheme="minorHAnsi" w:cstheme="minorHAnsi"/>
                <w:b/>
                <w:bCs/>
              </w:rPr>
              <w:t>Federal Award ($)</w:t>
            </w:r>
          </w:p>
        </w:tc>
        <w:tc>
          <w:tcPr>
            <w:tcW w:w="1488" w:type="dxa"/>
            <w:hideMark/>
          </w:tcPr>
          <w:p w14:paraId="1FBAAB8B" w14:textId="77777777" w:rsidR="00FB655B" w:rsidRPr="00FB655B" w:rsidRDefault="00FB655B" w:rsidP="00FB655B">
            <w:pPr>
              <w:widowControl/>
              <w:adjustRightInd/>
              <w:spacing w:before="135" w:line="252" w:lineRule="auto"/>
              <w:ind w:left="175" w:right="119" w:hanging="20"/>
              <w:rPr>
                <w:rFonts w:asciiTheme="minorHAnsi" w:eastAsiaTheme="minorHAnsi" w:hAnsiTheme="minorHAnsi" w:cstheme="minorHAnsi"/>
                <w:b/>
                <w:bCs/>
              </w:rPr>
            </w:pPr>
            <w:r w:rsidRPr="00FB655B">
              <w:rPr>
                <w:rFonts w:asciiTheme="minorHAnsi" w:eastAsiaTheme="minorHAnsi" w:hAnsiTheme="minorHAnsi" w:cstheme="minorHAnsi"/>
                <w:b/>
                <w:bCs/>
              </w:rPr>
              <w:t>State Plan Match ($)</w:t>
            </w:r>
          </w:p>
        </w:tc>
        <w:tc>
          <w:tcPr>
            <w:tcW w:w="1047" w:type="dxa"/>
            <w:hideMark/>
          </w:tcPr>
          <w:p w14:paraId="5753BAC0" w14:textId="77777777" w:rsidR="00FB655B" w:rsidRPr="00FB655B" w:rsidRDefault="00FB655B" w:rsidP="00FB655B">
            <w:pPr>
              <w:widowControl/>
              <w:adjustRightInd/>
              <w:spacing w:line="275" w:lineRule="exact"/>
              <w:ind w:left="333"/>
              <w:rPr>
                <w:rFonts w:asciiTheme="minorHAnsi" w:eastAsiaTheme="minorHAnsi" w:hAnsiTheme="minorHAnsi" w:cstheme="minorHAnsi"/>
                <w:b/>
                <w:bCs/>
              </w:rPr>
            </w:pPr>
            <w:r w:rsidRPr="00FB655B">
              <w:rPr>
                <w:rFonts w:asciiTheme="minorHAnsi" w:eastAsiaTheme="minorHAnsi" w:hAnsiTheme="minorHAnsi" w:cstheme="minorHAnsi"/>
                <w:b/>
                <w:bCs/>
              </w:rPr>
              <w:t>100% State Funds ($)</w:t>
            </w:r>
          </w:p>
        </w:tc>
        <w:tc>
          <w:tcPr>
            <w:tcW w:w="1652" w:type="dxa"/>
            <w:hideMark/>
          </w:tcPr>
          <w:p w14:paraId="42304DFD" w14:textId="77777777" w:rsidR="00FB655B" w:rsidRPr="00FB655B" w:rsidRDefault="00FB655B" w:rsidP="00FB655B">
            <w:pPr>
              <w:widowControl/>
              <w:adjustRightInd/>
              <w:spacing w:before="135" w:line="252" w:lineRule="auto"/>
              <w:ind w:left="120" w:right="82" w:firstLine="331"/>
              <w:rPr>
                <w:rFonts w:asciiTheme="minorHAnsi" w:eastAsiaTheme="minorHAnsi" w:hAnsiTheme="minorHAnsi" w:cstheme="minorHAnsi"/>
                <w:b/>
                <w:bCs/>
              </w:rPr>
            </w:pPr>
            <w:r w:rsidRPr="00FB655B">
              <w:rPr>
                <w:rFonts w:asciiTheme="minorHAnsi" w:eastAsiaTheme="minorHAnsi" w:hAnsiTheme="minorHAnsi" w:cstheme="minorHAnsi"/>
                <w:b/>
                <w:bCs/>
              </w:rPr>
              <w:t>Total Funding ($)</w:t>
            </w:r>
          </w:p>
        </w:tc>
        <w:tc>
          <w:tcPr>
            <w:tcW w:w="2206" w:type="dxa"/>
            <w:hideMark/>
          </w:tcPr>
          <w:p w14:paraId="522CAE83" w14:textId="77777777" w:rsidR="00FB655B" w:rsidRPr="00FB655B" w:rsidRDefault="00FB655B" w:rsidP="00FB655B">
            <w:pPr>
              <w:widowControl/>
              <w:adjustRightInd/>
              <w:spacing w:before="135" w:line="252" w:lineRule="auto"/>
              <w:ind w:left="441" w:right="274" w:hanging="130"/>
              <w:rPr>
                <w:rFonts w:asciiTheme="minorHAnsi" w:eastAsiaTheme="minorHAnsi" w:hAnsiTheme="minorHAnsi" w:cstheme="minorHAnsi"/>
                <w:b/>
                <w:bCs/>
              </w:rPr>
            </w:pPr>
            <w:r w:rsidRPr="00FB655B">
              <w:rPr>
                <w:rFonts w:asciiTheme="minorHAnsi" w:eastAsiaTheme="minorHAnsi" w:hAnsiTheme="minorHAnsi" w:cstheme="minorHAnsi"/>
                <w:b/>
                <w:bCs/>
              </w:rPr>
              <w:t>% of State Plan Contribution</w:t>
            </w:r>
          </w:p>
        </w:tc>
      </w:tr>
      <w:tr w:rsidR="008D289A" w:rsidRPr="00FB655B" w14:paraId="34144602" w14:textId="77777777" w:rsidTr="008D289A">
        <w:trPr>
          <w:trHeight w:val="275"/>
          <w:jc w:val="center"/>
        </w:trPr>
        <w:tc>
          <w:tcPr>
            <w:tcW w:w="1498" w:type="dxa"/>
          </w:tcPr>
          <w:p w14:paraId="4EEC7CAE" w14:textId="3B735356" w:rsidR="008D289A" w:rsidRPr="00FB655B" w:rsidRDefault="008D289A" w:rsidP="008D289A">
            <w:pPr>
              <w:widowControl/>
              <w:adjustRightInd/>
              <w:spacing w:line="256" w:lineRule="exact"/>
              <w:ind w:right="427"/>
              <w:jc w:val="center"/>
              <w:rPr>
                <w:rFonts w:asciiTheme="minorHAnsi" w:eastAsiaTheme="minorHAnsi" w:hAnsiTheme="minorHAnsi" w:cstheme="minorHAnsi"/>
                <w:b/>
                <w:bCs/>
              </w:rPr>
            </w:pPr>
            <w:r w:rsidRPr="00367BA8">
              <w:t>2024</w:t>
            </w:r>
          </w:p>
        </w:tc>
        <w:tc>
          <w:tcPr>
            <w:tcW w:w="1639" w:type="dxa"/>
          </w:tcPr>
          <w:p w14:paraId="6178044A" w14:textId="5250DC4A" w:rsidR="008D289A" w:rsidRPr="00FB655B" w:rsidRDefault="008D289A" w:rsidP="008D289A">
            <w:pPr>
              <w:widowControl/>
              <w:adjustRightInd/>
              <w:spacing w:line="256" w:lineRule="exact"/>
              <w:ind w:left="133" w:right="117"/>
              <w:jc w:val="center"/>
              <w:rPr>
                <w:rFonts w:asciiTheme="minorHAnsi" w:eastAsiaTheme="minorHAnsi" w:hAnsiTheme="minorHAnsi" w:cstheme="minorHAnsi"/>
              </w:rPr>
            </w:pPr>
            <w:r w:rsidRPr="00367BA8">
              <w:t>$2,559,600</w:t>
            </w:r>
          </w:p>
        </w:tc>
        <w:tc>
          <w:tcPr>
            <w:tcW w:w="1488" w:type="dxa"/>
          </w:tcPr>
          <w:p w14:paraId="544965FF" w14:textId="031FD8C1" w:rsidR="008D289A" w:rsidRPr="00FB655B" w:rsidRDefault="008D289A" w:rsidP="008D289A">
            <w:pPr>
              <w:widowControl/>
              <w:adjustRightInd/>
              <w:spacing w:line="256" w:lineRule="exact"/>
              <w:ind w:left="198"/>
              <w:rPr>
                <w:rFonts w:asciiTheme="minorHAnsi" w:eastAsiaTheme="minorHAnsi" w:hAnsiTheme="minorHAnsi" w:cstheme="minorHAnsi"/>
              </w:rPr>
            </w:pPr>
            <w:r w:rsidRPr="00367BA8">
              <w:t>$2,559,600</w:t>
            </w:r>
          </w:p>
        </w:tc>
        <w:tc>
          <w:tcPr>
            <w:tcW w:w="1047" w:type="dxa"/>
          </w:tcPr>
          <w:p w14:paraId="1EDABCAF" w14:textId="77777777" w:rsidR="008D289A" w:rsidRPr="00FB655B" w:rsidRDefault="008D289A" w:rsidP="008D289A">
            <w:pPr>
              <w:widowControl/>
              <w:adjustRightInd/>
              <w:spacing w:line="256" w:lineRule="exact"/>
              <w:ind w:left="595"/>
              <w:rPr>
                <w:rFonts w:asciiTheme="minorHAnsi" w:eastAsiaTheme="minorHAnsi" w:hAnsiTheme="minorHAnsi" w:cstheme="minorHAnsi"/>
              </w:rPr>
            </w:pPr>
          </w:p>
        </w:tc>
        <w:tc>
          <w:tcPr>
            <w:tcW w:w="1652" w:type="dxa"/>
          </w:tcPr>
          <w:p w14:paraId="48853F45" w14:textId="77CB1DBB" w:rsidR="008D289A" w:rsidRPr="00FB655B" w:rsidRDefault="008D289A" w:rsidP="008D289A">
            <w:pPr>
              <w:widowControl/>
              <w:adjustRightInd/>
              <w:spacing w:line="256" w:lineRule="exact"/>
              <w:ind w:left="224" w:right="205"/>
              <w:rPr>
                <w:rFonts w:asciiTheme="minorHAnsi" w:eastAsiaTheme="minorHAnsi" w:hAnsiTheme="minorHAnsi" w:cstheme="minorHAnsi"/>
                <w:bCs/>
                <w14:ligatures w14:val="standardContextual"/>
              </w:rPr>
            </w:pPr>
            <w:r w:rsidRPr="00367BA8">
              <w:t>$5,119,200*</w:t>
            </w:r>
          </w:p>
        </w:tc>
        <w:tc>
          <w:tcPr>
            <w:tcW w:w="2206" w:type="dxa"/>
          </w:tcPr>
          <w:p w14:paraId="3AD90EA9" w14:textId="464082ED" w:rsidR="008D289A" w:rsidRPr="00FB655B" w:rsidRDefault="008D289A" w:rsidP="008D289A">
            <w:pPr>
              <w:widowControl/>
              <w:adjustRightInd/>
              <w:spacing w:line="256" w:lineRule="exact"/>
              <w:ind w:left="875" w:right="857"/>
              <w:jc w:val="center"/>
              <w:rPr>
                <w:rFonts w:asciiTheme="minorHAnsi" w:eastAsiaTheme="minorHAnsi" w:hAnsiTheme="minorHAnsi" w:cstheme="minorHAnsi"/>
              </w:rPr>
            </w:pPr>
            <w:r w:rsidRPr="00367BA8">
              <w:t>50%</w:t>
            </w:r>
          </w:p>
        </w:tc>
      </w:tr>
      <w:tr w:rsidR="008D289A" w:rsidRPr="00FB655B" w14:paraId="253CEB97" w14:textId="77777777" w:rsidTr="008D289A">
        <w:trPr>
          <w:trHeight w:val="275"/>
          <w:jc w:val="center"/>
        </w:trPr>
        <w:tc>
          <w:tcPr>
            <w:tcW w:w="1498" w:type="dxa"/>
            <w:hideMark/>
          </w:tcPr>
          <w:p w14:paraId="1D4BE866" w14:textId="6EEEB257" w:rsidR="008D289A" w:rsidRPr="00FB655B" w:rsidRDefault="008D289A" w:rsidP="008D289A">
            <w:pPr>
              <w:widowControl/>
              <w:adjustRightInd/>
              <w:spacing w:line="256" w:lineRule="exact"/>
              <w:ind w:right="427"/>
              <w:jc w:val="center"/>
              <w:rPr>
                <w:rFonts w:asciiTheme="minorHAnsi" w:eastAsiaTheme="minorHAnsi" w:hAnsiTheme="minorHAnsi" w:cstheme="minorHAnsi"/>
                <w:b/>
                <w:bCs/>
              </w:rPr>
            </w:pPr>
            <w:r w:rsidRPr="00367BA8">
              <w:t>2023</w:t>
            </w:r>
          </w:p>
        </w:tc>
        <w:tc>
          <w:tcPr>
            <w:tcW w:w="1639" w:type="dxa"/>
            <w:hideMark/>
          </w:tcPr>
          <w:p w14:paraId="041F64D4" w14:textId="71E79CA6" w:rsidR="008D289A" w:rsidRPr="00FB655B" w:rsidRDefault="008D289A" w:rsidP="008D289A">
            <w:pPr>
              <w:widowControl/>
              <w:adjustRightInd/>
              <w:spacing w:line="256" w:lineRule="exact"/>
              <w:ind w:left="133" w:right="117"/>
              <w:jc w:val="center"/>
              <w:rPr>
                <w:rFonts w:asciiTheme="minorHAnsi" w:eastAsiaTheme="minorHAnsi" w:hAnsiTheme="minorHAnsi" w:cstheme="minorHAnsi"/>
              </w:rPr>
            </w:pPr>
            <w:r w:rsidRPr="00367BA8">
              <w:t>$2,416,300</w:t>
            </w:r>
          </w:p>
        </w:tc>
        <w:tc>
          <w:tcPr>
            <w:tcW w:w="1488" w:type="dxa"/>
            <w:hideMark/>
          </w:tcPr>
          <w:p w14:paraId="436BCF57" w14:textId="68B5028F" w:rsidR="008D289A" w:rsidRPr="00FB655B" w:rsidRDefault="008D289A" w:rsidP="008D289A">
            <w:pPr>
              <w:widowControl/>
              <w:adjustRightInd/>
              <w:spacing w:line="256" w:lineRule="exact"/>
              <w:ind w:left="198"/>
              <w:rPr>
                <w:rFonts w:asciiTheme="minorHAnsi" w:eastAsiaTheme="minorHAnsi" w:hAnsiTheme="minorHAnsi" w:cstheme="minorHAnsi"/>
              </w:rPr>
            </w:pPr>
            <w:r w:rsidRPr="00367BA8">
              <w:t>$2,416,300</w:t>
            </w:r>
          </w:p>
        </w:tc>
        <w:tc>
          <w:tcPr>
            <w:tcW w:w="1047" w:type="dxa"/>
            <w:hideMark/>
          </w:tcPr>
          <w:p w14:paraId="19FE0A89" w14:textId="67EBE413" w:rsidR="008D289A" w:rsidRPr="00FB655B" w:rsidRDefault="008D289A" w:rsidP="008D289A">
            <w:pPr>
              <w:widowControl/>
              <w:adjustRightInd/>
              <w:spacing w:line="256" w:lineRule="exact"/>
              <w:ind w:left="595"/>
              <w:rPr>
                <w:rFonts w:asciiTheme="minorHAnsi" w:eastAsiaTheme="minorHAnsi" w:hAnsiTheme="minorHAnsi" w:cstheme="minorHAnsi"/>
              </w:rPr>
            </w:pPr>
            <w:r w:rsidRPr="00367BA8">
              <w:t>-</w:t>
            </w:r>
          </w:p>
        </w:tc>
        <w:tc>
          <w:tcPr>
            <w:tcW w:w="1652" w:type="dxa"/>
          </w:tcPr>
          <w:p w14:paraId="41E6D9A6" w14:textId="209966C7" w:rsidR="008D289A" w:rsidRPr="00FB655B" w:rsidRDefault="008D289A" w:rsidP="008D289A">
            <w:pPr>
              <w:widowControl/>
              <w:adjustRightInd/>
              <w:spacing w:line="256" w:lineRule="exact"/>
              <w:ind w:left="224" w:right="205"/>
              <w:rPr>
                <w:rFonts w:asciiTheme="minorHAnsi" w:eastAsiaTheme="minorHAnsi" w:hAnsiTheme="minorHAnsi" w:cstheme="minorHAnsi"/>
              </w:rPr>
            </w:pPr>
            <w:r w:rsidRPr="00367BA8">
              <w:t>$4,832,600</w:t>
            </w:r>
          </w:p>
        </w:tc>
        <w:tc>
          <w:tcPr>
            <w:tcW w:w="2206" w:type="dxa"/>
            <w:hideMark/>
          </w:tcPr>
          <w:p w14:paraId="503891C4" w14:textId="3E0DE7BC" w:rsidR="008D289A" w:rsidRPr="00FB655B" w:rsidRDefault="008D289A" w:rsidP="008D289A">
            <w:pPr>
              <w:widowControl/>
              <w:adjustRightInd/>
              <w:spacing w:line="256" w:lineRule="exact"/>
              <w:ind w:left="875" w:right="857"/>
              <w:jc w:val="center"/>
              <w:rPr>
                <w:rFonts w:asciiTheme="minorHAnsi" w:eastAsiaTheme="minorHAnsi" w:hAnsiTheme="minorHAnsi" w:cstheme="minorHAnsi"/>
              </w:rPr>
            </w:pPr>
            <w:r w:rsidRPr="00367BA8">
              <w:t>50%</w:t>
            </w:r>
          </w:p>
        </w:tc>
      </w:tr>
      <w:tr w:rsidR="008D289A" w:rsidRPr="00FB655B" w14:paraId="2DF46D9F" w14:textId="77777777" w:rsidTr="008D289A">
        <w:trPr>
          <w:trHeight w:val="275"/>
          <w:jc w:val="center"/>
        </w:trPr>
        <w:tc>
          <w:tcPr>
            <w:tcW w:w="1498" w:type="dxa"/>
            <w:hideMark/>
          </w:tcPr>
          <w:p w14:paraId="2D26BC19" w14:textId="670789BA" w:rsidR="008D289A" w:rsidRPr="00FB655B" w:rsidRDefault="008D289A" w:rsidP="008D289A">
            <w:pPr>
              <w:widowControl/>
              <w:adjustRightInd/>
              <w:spacing w:line="256" w:lineRule="exact"/>
              <w:ind w:right="427"/>
              <w:jc w:val="center"/>
              <w:rPr>
                <w:rFonts w:asciiTheme="minorHAnsi" w:eastAsiaTheme="minorHAnsi" w:hAnsiTheme="minorHAnsi" w:cstheme="minorHAnsi"/>
                <w:b/>
                <w:bCs/>
              </w:rPr>
            </w:pPr>
            <w:r w:rsidRPr="00367BA8">
              <w:t>2022</w:t>
            </w:r>
          </w:p>
        </w:tc>
        <w:tc>
          <w:tcPr>
            <w:tcW w:w="1639" w:type="dxa"/>
            <w:hideMark/>
          </w:tcPr>
          <w:p w14:paraId="420AE66B" w14:textId="3438E81B" w:rsidR="008D289A" w:rsidRPr="00FB655B" w:rsidRDefault="008D289A" w:rsidP="008D289A">
            <w:pPr>
              <w:widowControl/>
              <w:adjustRightInd/>
              <w:spacing w:line="256" w:lineRule="exact"/>
              <w:ind w:left="133" w:right="117"/>
              <w:jc w:val="center"/>
              <w:rPr>
                <w:rFonts w:asciiTheme="minorHAnsi" w:eastAsiaTheme="minorHAnsi" w:hAnsiTheme="minorHAnsi" w:cstheme="minorHAnsi"/>
              </w:rPr>
            </w:pPr>
            <w:r w:rsidRPr="00367BA8">
              <w:t>$2,349,000</w:t>
            </w:r>
          </w:p>
        </w:tc>
        <w:tc>
          <w:tcPr>
            <w:tcW w:w="1488" w:type="dxa"/>
            <w:hideMark/>
          </w:tcPr>
          <w:p w14:paraId="373680D2" w14:textId="0C65A030" w:rsidR="008D289A" w:rsidRPr="00FB655B" w:rsidRDefault="008D289A" w:rsidP="008D289A">
            <w:pPr>
              <w:widowControl/>
              <w:adjustRightInd/>
              <w:spacing w:line="256" w:lineRule="exact"/>
              <w:ind w:left="198"/>
              <w:rPr>
                <w:rFonts w:asciiTheme="minorHAnsi" w:eastAsiaTheme="minorHAnsi" w:hAnsiTheme="minorHAnsi" w:cstheme="minorHAnsi"/>
              </w:rPr>
            </w:pPr>
            <w:r w:rsidRPr="00367BA8">
              <w:t>$2,349,000</w:t>
            </w:r>
          </w:p>
        </w:tc>
        <w:tc>
          <w:tcPr>
            <w:tcW w:w="1047" w:type="dxa"/>
            <w:hideMark/>
          </w:tcPr>
          <w:p w14:paraId="40F8CBFC" w14:textId="0BA76E98" w:rsidR="008D289A" w:rsidRPr="00FB655B" w:rsidRDefault="008D289A" w:rsidP="008D289A">
            <w:pPr>
              <w:widowControl/>
              <w:adjustRightInd/>
              <w:spacing w:line="256" w:lineRule="exact"/>
              <w:ind w:left="595"/>
              <w:rPr>
                <w:rFonts w:asciiTheme="minorHAnsi" w:eastAsiaTheme="minorHAnsi" w:hAnsiTheme="minorHAnsi" w:cstheme="minorHAnsi"/>
              </w:rPr>
            </w:pPr>
            <w:r w:rsidRPr="00367BA8">
              <w:t>-</w:t>
            </w:r>
          </w:p>
        </w:tc>
        <w:tc>
          <w:tcPr>
            <w:tcW w:w="1652" w:type="dxa"/>
            <w:hideMark/>
          </w:tcPr>
          <w:p w14:paraId="23B65844" w14:textId="0E064308" w:rsidR="008D289A" w:rsidRPr="00FB655B" w:rsidRDefault="008D289A" w:rsidP="008D289A">
            <w:pPr>
              <w:widowControl/>
              <w:adjustRightInd/>
              <w:spacing w:line="256" w:lineRule="exact"/>
              <w:ind w:left="224" w:right="205"/>
              <w:rPr>
                <w:rFonts w:asciiTheme="minorHAnsi" w:eastAsiaTheme="minorHAnsi" w:hAnsiTheme="minorHAnsi" w:cstheme="minorHAnsi"/>
              </w:rPr>
            </w:pPr>
            <w:r w:rsidRPr="00367BA8">
              <w:t>$4,698,000</w:t>
            </w:r>
          </w:p>
        </w:tc>
        <w:tc>
          <w:tcPr>
            <w:tcW w:w="2206" w:type="dxa"/>
            <w:hideMark/>
          </w:tcPr>
          <w:p w14:paraId="2564FAC0" w14:textId="1FB05EA3" w:rsidR="008D289A" w:rsidRPr="00FB655B" w:rsidRDefault="008D289A" w:rsidP="008D289A">
            <w:pPr>
              <w:widowControl/>
              <w:adjustRightInd/>
              <w:spacing w:line="256" w:lineRule="exact"/>
              <w:ind w:left="875" w:right="857"/>
              <w:jc w:val="center"/>
              <w:rPr>
                <w:rFonts w:asciiTheme="minorHAnsi" w:eastAsiaTheme="minorHAnsi" w:hAnsiTheme="minorHAnsi" w:cstheme="minorHAnsi"/>
              </w:rPr>
            </w:pPr>
            <w:r w:rsidRPr="00367BA8">
              <w:t>50%</w:t>
            </w:r>
          </w:p>
        </w:tc>
      </w:tr>
      <w:tr w:rsidR="008D289A" w:rsidRPr="00FB655B" w14:paraId="7E4C4ADD" w14:textId="77777777" w:rsidTr="008D289A">
        <w:trPr>
          <w:trHeight w:val="275"/>
          <w:jc w:val="center"/>
        </w:trPr>
        <w:tc>
          <w:tcPr>
            <w:tcW w:w="1498" w:type="dxa"/>
            <w:hideMark/>
          </w:tcPr>
          <w:p w14:paraId="151E2662" w14:textId="351B30C4" w:rsidR="008D289A" w:rsidRPr="00FB655B" w:rsidRDefault="008D289A" w:rsidP="008D289A">
            <w:pPr>
              <w:widowControl/>
              <w:adjustRightInd/>
              <w:spacing w:line="256" w:lineRule="exact"/>
              <w:ind w:right="427"/>
              <w:jc w:val="center"/>
              <w:rPr>
                <w:rFonts w:asciiTheme="minorHAnsi" w:eastAsiaTheme="minorHAnsi" w:hAnsiTheme="minorHAnsi" w:cstheme="minorHAnsi"/>
                <w:b/>
                <w:bCs/>
              </w:rPr>
            </w:pPr>
            <w:r w:rsidRPr="00367BA8">
              <w:t>2021</w:t>
            </w:r>
          </w:p>
        </w:tc>
        <w:tc>
          <w:tcPr>
            <w:tcW w:w="1639" w:type="dxa"/>
            <w:hideMark/>
          </w:tcPr>
          <w:p w14:paraId="40B34B3A" w14:textId="4F06464F" w:rsidR="008D289A" w:rsidRPr="00FB655B" w:rsidRDefault="008D289A" w:rsidP="008D289A">
            <w:pPr>
              <w:widowControl/>
              <w:adjustRightInd/>
              <w:spacing w:line="256" w:lineRule="exact"/>
              <w:ind w:left="133" w:right="117"/>
              <w:jc w:val="center"/>
              <w:rPr>
                <w:rFonts w:asciiTheme="minorHAnsi" w:eastAsiaTheme="minorHAnsi" w:hAnsiTheme="minorHAnsi" w:cstheme="minorHAnsi"/>
              </w:rPr>
            </w:pPr>
            <w:r w:rsidRPr="00367BA8">
              <w:t>$2,299,700</w:t>
            </w:r>
          </w:p>
        </w:tc>
        <w:tc>
          <w:tcPr>
            <w:tcW w:w="1488" w:type="dxa"/>
            <w:hideMark/>
          </w:tcPr>
          <w:p w14:paraId="3959D0CE" w14:textId="08273F87" w:rsidR="008D289A" w:rsidRPr="00FB655B" w:rsidRDefault="008D289A" w:rsidP="008D289A">
            <w:pPr>
              <w:widowControl/>
              <w:adjustRightInd/>
              <w:spacing w:line="256" w:lineRule="exact"/>
              <w:ind w:left="198"/>
              <w:rPr>
                <w:rFonts w:asciiTheme="minorHAnsi" w:eastAsiaTheme="minorHAnsi" w:hAnsiTheme="minorHAnsi" w:cstheme="minorHAnsi"/>
              </w:rPr>
            </w:pPr>
            <w:r w:rsidRPr="00367BA8">
              <w:t>$2,299,700</w:t>
            </w:r>
          </w:p>
        </w:tc>
        <w:tc>
          <w:tcPr>
            <w:tcW w:w="1047" w:type="dxa"/>
            <w:hideMark/>
          </w:tcPr>
          <w:p w14:paraId="45AC356B" w14:textId="3BD86051" w:rsidR="008D289A" w:rsidRPr="00FB655B" w:rsidRDefault="008D289A" w:rsidP="008D289A">
            <w:pPr>
              <w:widowControl/>
              <w:adjustRightInd/>
              <w:spacing w:line="256" w:lineRule="exact"/>
              <w:ind w:left="595"/>
              <w:rPr>
                <w:rFonts w:asciiTheme="minorHAnsi" w:eastAsiaTheme="minorHAnsi" w:hAnsiTheme="minorHAnsi" w:cstheme="minorHAnsi"/>
              </w:rPr>
            </w:pPr>
            <w:r w:rsidRPr="00367BA8">
              <w:t>-</w:t>
            </w:r>
          </w:p>
        </w:tc>
        <w:tc>
          <w:tcPr>
            <w:tcW w:w="1652" w:type="dxa"/>
            <w:hideMark/>
          </w:tcPr>
          <w:p w14:paraId="7A8A27C1" w14:textId="0162EF13" w:rsidR="008D289A" w:rsidRPr="00FB655B" w:rsidRDefault="008D289A" w:rsidP="008D289A">
            <w:pPr>
              <w:widowControl/>
              <w:adjustRightInd/>
              <w:spacing w:line="256" w:lineRule="exact"/>
              <w:ind w:left="224" w:right="205"/>
              <w:rPr>
                <w:rFonts w:asciiTheme="minorHAnsi" w:eastAsiaTheme="minorHAnsi" w:hAnsiTheme="minorHAnsi" w:cstheme="minorHAnsi"/>
              </w:rPr>
            </w:pPr>
            <w:r w:rsidRPr="00367BA8">
              <w:t>$4,599,400</w:t>
            </w:r>
          </w:p>
        </w:tc>
        <w:tc>
          <w:tcPr>
            <w:tcW w:w="2206" w:type="dxa"/>
            <w:hideMark/>
          </w:tcPr>
          <w:p w14:paraId="212407CF" w14:textId="2E98F5B5" w:rsidR="008D289A" w:rsidRPr="00FB655B" w:rsidRDefault="008D289A" w:rsidP="008D289A">
            <w:pPr>
              <w:widowControl/>
              <w:adjustRightInd/>
              <w:spacing w:line="256" w:lineRule="exact"/>
              <w:ind w:left="875" w:right="857"/>
              <w:jc w:val="center"/>
              <w:rPr>
                <w:rFonts w:asciiTheme="minorHAnsi" w:eastAsiaTheme="minorHAnsi" w:hAnsiTheme="minorHAnsi" w:cstheme="minorHAnsi"/>
              </w:rPr>
            </w:pPr>
            <w:r w:rsidRPr="00367BA8">
              <w:t xml:space="preserve">50% </w:t>
            </w:r>
          </w:p>
        </w:tc>
      </w:tr>
      <w:tr w:rsidR="008D289A" w:rsidRPr="00FB655B" w14:paraId="04B3F454" w14:textId="77777777" w:rsidTr="008D289A">
        <w:trPr>
          <w:trHeight w:val="275"/>
          <w:jc w:val="center"/>
        </w:trPr>
        <w:tc>
          <w:tcPr>
            <w:tcW w:w="1498" w:type="dxa"/>
            <w:hideMark/>
          </w:tcPr>
          <w:p w14:paraId="4FE1091B" w14:textId="35E60766" w:rsidR="008D289A" w:rsidRPr="00FB655B" w:rsidRDefault="008D289A" w:rsidP="008D289A">
            <w:pPr>
              <w:widowControl/>
              <w:adjustRightInd/>
              <w:spacing w:line="253" w:lineRule="exact"/>
              <w:ind w:right="427"/>
              <w:jc w:val="center"/>
              <w:rPr>
                <w:rFonts w:asciiTheme="minorHAnsi" w:eastAsiaTheme="minorHAnsi" w:hAnsiTheme="minorHAnsi" w:cstheme="minorHAnsi"/>
                <w:b/>
                <w:bCs/>
              </w:rPr>
            </w:pPr>
            <w:r w:rsidRPr="00367BA8">
              <w:t>2020</w:t>
            </w:r>
          </w:p>
        </w:tc>
        <w:tc>
          <w:tcPr>
            <w:tcW w:w="1639" w:type="dxa"/>
            <w:hideMark/>
          </w:tcPr>
          <w:p w14:paraId="07271E5D" w14:textId="7FBB560A" w:rsidR="008D289A" w:rsidRPr="00FB655B" w:rsidRDefault="008D289A" w:rsidP="008D289A">
            <w:pPr>
              <w:widowControl/>
              <w:adjustRightInd/>
              <w:spacing w:line="253" w:lineRule="exact"/>
              <w:ind w:left="133" w:right="117"/>
              <w:jc w:val="center"/>
              <w:rPr>
                <w:rFonts w:asciiTheme="minorHAnsi" w:eastAsiaTheme="minorHAnsi" w:hAnsiTheme="minorHAnsi" w:cstheme="minorHAnsi"/>
              </w:rPr>
            </w:pPr>
            <w:r w:rsidRPr="00367BA8">
              <w:t>$2,095,200</w:t>
            </w:r>
          </w:p>
        </w:tc>
        <w:tc>
          <w:tcPr>
            <w:tcW w:w="1488" w:type="dxa"/>
            <w:hideMark/>
          </w:tcPr>
          <w:p w14:paraId="02C48931" w14:textId="59C2A259" w:rsidR="008D289A" w:rsidRPr="00FB655B" w:rsidRDefault="008D289A" w:rsidP="008D289A">
            <w:pPr>
              <w:widowControl/>
              <w:adjustRightInd/>
              <w:spacing w:line="253" w:lineRule="exact"/>
              <w:ind w:left="198"/>
              <w:rPr>
                <w:rFonts w:asciiTheme="minorHAnsi" w:eastAsiaTheme="minorHAnsi" w:hAnsiTheme="minorHAnsi" w:cstheme="minorHAnsi"/>
              </w:rPr>
            </w:pPr>
            <w:r w:rsidRPr="00367BA8">
              <w:t>$2,095,200</w:t>
            </w:r>
          </w:p>
        </w:tc>
        <w:tc>
          <w:tcPr>
            <w:tcW w:w="1047" w:type="dxa"/>
            <w:hideMark/>
          </w:tcPr>
          <w:p w14:paraId="48CFC124" w14:textId="5F5BB494" w:rsidR="008D289A" w:rsidRPr="00FB655B" w:rsidRDefault="008D289A" w:rsidP="008D289A">
            <w:pPr>
              <w:widowControl/>
              <w:adjustRightInd/>
              <w:spacing w:line="253" w:lineRule="exact"/>
              <w:ind w:left="595"/>
              <w:rPr>
                <w:rFonts w:asciiTheme="minorHAnsi" w:eastAsiaTheme="minorHAnsi" w:hAnsiTheme="minorHAnsi" w:cstheme="minorHAnsi"/>
              </w:rPr>
            </w:pPr>
            <w:r w:rsidRPr="00367BA8">
              <w:t>-</w:t>
            </w:r>
          </w:p>
        </w:tc>
        <w:tc>
          <w:tcPr>
            <w:tcW w:w="1652" w:type="dxa"/>
            <w:hideMark/>
          </w:tcPr>
          <w:p w14:paraId="65315F97" w14:textId="0B193079" w:rsidR="008D289A" w:rsidRPr="00FB655B" w:rsidRDefault="008D289A" w:rsidP="008D289A">
            <w:pPr>
              <w:widowControl/>
              <w:adjustRightInd/>
              <w:spacing w:line="253" w:lineRule="exact"/>
              <w:ind w:left="224" w:right="205"/>
              <w:rPr>
                <w:rFonts w:asciiTheme="minorHAnsi" w:eastAsiaTheme="minorHAnsi" w:hAnsiTheme="minorHAnsi" w:cstheme="minorHAnsi"/>
              </w:rPr>
            </w:pPr>
            <w:r w:rsidRPr="00367BA8">
              <w:t>$4,190,400</w:t>
            </w:r>
          </w:p>
        </w:tc>
        <w:tc>
          <w:tcPr>
            <w:tcW w:w="2206" w:type="dxa"/>
            <w:hideMark/>
          </w:tcPr>
          <w:p w14:paraId="322D08B6" w14:textId="27F4A732" w:rsidR="008D289A" w:rsidRPr="00FB655B" w:rsidRDefault="008D289A" w:rsidP="008D289A">
            <w:pPr>
              <w:widowControl/>
              <w:adjustRightInd/>
              <w:spacing w:line="253" w:lineRule="exact"/>
              <w:ind w:left="875" w:right="857"/>
              <w:jc w:val="center"/>
              <w:rPr>
                <w:rFonts w:asciiTheme="minorHAnsi" w:eastAsiaTheme="minorHAnsi" w:hAnsiTheme="minorHAnsi" w:cstheme="minorHAnsi"/>
              </w:rPr>
            </w:pPr>
            <w:r w:rsidRPr="00367BA8">
              <w:t xml:space="preserve">50%  </w:t>
            </w:r>
          </w:p>
        </w:tc>
      </w:tr>
    </w:tbl>
    <w:bookmarkEnd w:id="10"/>
    <w:p w14:paraId="730F7266" w14:textId="2E032D2F" w:rsidR="008D289A" w:rsidRPr="008D289A" w:rsidRDefault="008D289A" w:rsidP="008D289A">
      <w:pPr>
        <w:widowControl/>
        <w:autoSpaceDE/>
        <w:autoSpaceDN/>
        <w:adjustRightInd/>
        <w:contextualSpacing/>
        <w:rPr>
          <w:rFonts w:cs="Calibri"/>
          <w:bCs/>
        </w:rPr>
      </w:pPr>
      <w:r w:rsidRPr="008D289A">
        <w:rPr>
          <w:rFonts w:cs="Calibri"/>
          <w:bCs/>
        </w:rPr>
        <w:t>*Decreased Funding</w:t>
      </w:r>
      <w:r w:rsidR="00451441">
        <w:rPr>
          <w:rFonts w:cs="Calibri"/>
          <w:bCs/>
        </w:rPr>
        <w:t xml:space="preserve"> </w:t>
      </w:r>
      <w:r w:rsidR="007A4FC9">
        <w:rPr>
          <w:rFonts w:cs="Calibri"/>
          <w:bCs/>
        </w:rPr>
        <w:t xml:space="preserve">by </w:t>
      </w:r>
      <w:r w:rsidR="00451441">
        <w:rPr>
          <w:rFonts w:cs="Calibri"/>
          <w:bCs/>
        </w:rPr>
        <w:t>3.61%</w:t>
      </w:r>
    </w:p>
    <w:p w14:paraId="0CD1FB53" w14:textId="77777777" w:rsidR="008D289A" w:rsidRDefault="008D289A" w:rsidP="00783189">
      <w:pPr>
        <w:widowControl/>
        <w:autoSpaceDE/>
        <w:autoSpaceDN/>
        <w:adjustRightInd/>
        <w:contextualSpacing/>
        <w:rPr>
          <w:rFonts w:cs="Calibri"/>
          <w:b/>
        </w:rPr>
      </w:pPr>
    </w:p>
    <w:p w14:paraId="68FBAFD2" w14:textId="26B1A781" w:rsidR="00781312" w:rsidRPr="001C1E47" w:rsidRDefault="00781312" w:rsidP="00783189">
      <w:pPr>
        <w:widowControl/>
        <w:autoSpaceDE/>
        <w:autoSpaceDN/>
        <w:adjustRightInd/>
        <w:contextualSpacing/>
        <w:rPr>
          <w:rFonts w:cs="Calibri"/>
          <w:b/>
        </w:rPr>
      </w:pPr>
      <w:r w:rsidRPr="001C1E47">
        <w:rPr>
          <w:rFonts w:cs="Calibri"/>
          <w:b/>
        </w:rPr>
        <w:t>New Issues</w:t>
      </w:r>
    </w:p>
    <w:p w14:paraId="0DAC1EDE" w14:textId="77777777" w:rsidR="00BF363B" w:rsidRDefault="00BF363B" w:rsidP="00BF363B">
      <w:pPr>
        <w:jc w:val="both"/>
        <w:rPr>
          <w:rFonts w:asciiTheme="minorHAnsi" w:hAnsiTheme="minorHAnsi" w:cstheme="minorHAnsi"/>
          <w:sz w:val="28"/>
          <w:szCs w:val="28"/>
        </w:rPr>
      </w:pPr>
      <w:bookmarkStart w:id="11" w:name="_Hlk168385507"/>
    </w:p>
    <w:p w14:paraId="69AEA880" w14:textId="35F01D8C" w:rsidR="00FC6223" w:rsidRPr="00FC6223" w:rsidRDefault="00C3355A" w:rsidP="00FC6223">
      <w:pPr>
        <w:jc w:val="both"/>
        <w:rPr>
          <w:rFonts w:ascii="Times New Roman" w:hAnsi="Times New Roman"/>
          <w:iCs/>
        </w:rPr>
      </w:pPr>
      <w:r w:rsidRPr="00C3355A">
        <w:rPr>
          <w:rFonts w:asciiTheme="minorHAnsi" w:hAnsiTheme="minorHAnsi" w:cstheme="minorHAnsi"/>
        </w:rPr>
        <w:t xml:space="preserve">South Carolina has filed two lawsuits in the U.S. District Court for the District of South Carolina, concerning the State Plan’s obligations to have maximum and minimum penalties that are at least as high as OSHA’s.  </w:t>
      </w:r>
      <w:r w:rsidR="00FC6223" w:rsidRPr="00FC6223">
        <w:rPr>
          <w:rFonts w:asciiTheme="minorHAnsi" w:hAnsiTheme="minorHAnsi" w:cstheme="minorHAnsi"/>
          <w:iCs/>
        </w:rPr>
        <w:t xml:space="preserve">The first suit was dismissed. However, South Carolina has filed a motion to reopen pursuant to Fed. Rule Civ. Pro. 60(b), which is pending.  Only one of these lawsuits </w:t>
      </w:r>
      <w:proofErr w:type="gramStart"/>
      <w:r w:rsidR="00FC6223" w:rsidRPr="00FC6223">
        <w:rPr>
          <w:rFonts w:asciiTheme="minorHAnsi" w:hAnsiTheme="minorHAnsi" w:cstheme="minorHAnsi"/>
          <w:iCs/>
        </w:rPr>
        <w:t>The</w:t>
      </w:r>
      <w:proofErr w:type="gramEnd"/>
      <w:r w:rsidR="00FC6223" w:rsidRPr="00FC6223">
        <w:rPr>
          <w:rFonts w:asciiTheme="minorHAnsi" w:hAnsiTheme="minorHAnsi" w:cstheme="minorHAnsi"/>
          <w:iCs/>
        </w:rPr>
        <w:t xml:space="preserve"> second suit is also pending.</w:t>
      </w:r>
    </w:p>
    <w:p w14:paraId="6A561951" w14:textId="77777777" w:rsidR="00C3355A" w:rsidRPr="00C3355A" w:rsidRDefault="00C3355A" w:rsidP="00BF363B">
      <w:pPr>
        <w:jc w:val="both"/>
        <w:rPr>
          <w:rFonts w:asciiTheme="minorHAnsi" w:hAnsiTheme="minorHAnsi" w:cstheme="minorHAnsi"/>
        </w:rPr>
      </w:pPr>
    </w:p>
    <w:bookmarkEnd w:id="11"/>
    <w:p w14:paraId="4D45CF2E" w14:textId="1F14AE99" w:rsidR="00780E29" w:rsidRPr="00C3355A" w:rsidRDefault="00C3355A" w:rsidP="00C3355A">
      <w:pPr>
        <w:jc w:val="both"/>
        <w:rPr>
          <w:rFonts w:asciiTheme="minorHAnsi" w:hAnsiTheme="minorHAnsi" w:cstheme="minorHAnsi"/>
          <w:color w:val="000000"/>
        </w:rPr>
      </w:pPr>
      <w:r w:rsidRPr="00C3355A">
        <w:rPr>
          <w:rFonts w:asciiTheme="minorHAnsi" w:hAnsiTheme="minorHAnsi" w:cstheme="minorHAnsi"/>
          <w:color w:val="000000"/>
        </w:rPr>
        <w:t xml:space="preserve">In a letter dated December 7, 2023, the Union of Southern Service Workers (USSW), Service Employees International Union, submitted a petition to Assistant Secretary Doug Parker, pursuant to 29 C.F.R. § 1955.5, requesting that </w:t>
      </w:r>
      <w:r w:rsidR="00152D5E">
        <w:rPr>
          <w:rFonts w:asciiTheme="minorHAnsi" w:hAnsiTheme="minorHAnsi" w:cstheme="minorHAnsi"/>
          <w:color w:val="000000"/>
        </w:rPr>
        <w:t>OSHA</w:t>
      </w:r>
      <w:r w:rsidRPr="00C3355A">
        <w:rPr>
          <w:rFonts w:asciiTheme="minorHAnsi" w:hAnsiTheme="minorHAnsi" w:cstheme="minorHAnsi"/>
          <w:color w:val="000000"/>
        </w:rPr>
        <w:t xml:space="preserve"> withdraw its approval of the South Carolina State Plan. The petition alleged that the</w:t>
      </w:r>
      <w:r w:rsidR="00152D5E">
        <w:rPr>
          <w:rFonts w:asciiTheme="minorHAnsi" w:hAnsiTheme="minorHAnsi" w:cstheme="minorHAnsi"/>
          <w:color w:val="000000"/>
        </w:rPr>
        <w:t xml:space="preserve"> State</w:t>
      </w:r>
      <w:r w:rsidRPr="00C3355A">
        <w:rPr>
          <w:rFonts w:asciiTheme="minorHAnsi" w:hAnsiTheme="minorHAnsi" w:cstheme="minorHAnsi"/>
          <w:color w:val="000000"/>
        </w:rPr>
        <w:t xml:space="preserve"> Plan failed to maintain an effective enforcement program.</w:t>
      </w:r>
      <w:r w:rsidR="005D21B7">
        <w:rPr>
          <w:rFonts w:asciiTheme="minorHAnsi" w:hAnsiTheme="minorHAnsi" w:cstheme="minorHAnsi"/>
          <w:color w:val="000000"/>
        </w:rPr>
        <w:t xml:space="preserve">  </w:t>
      </w:r>
      <w:r w:rsidRPr="00C3355A">
        <w:rPr>
          <w:rFonts w:asciiTheme="minorHAnsi" w:hAnsiTheme="minorHAnsi" w:cstheme="minorHAnsi"/>
          <w:color w:val="000000"/>
        </w:rPr>
        <w:t xml:space="preserve">After careful consideration, OSHA has denied the petition to revoke the State Plan. However, we </w:t>
      </w:r>
      <w:r w:rsidR="00152D5E">
        <w:rPr>
          <w:rFonts w:asciiTheme="minorHAnsi" w:hAnsiTheme="minorHAnsi" w:cstheme="minorHAnsi"/>
          <w:color w:val="000000"/>
        </w:rPr>
        <w:t xml:space="preserve">will </w:t>
      </w:r>
      <w:r w:rsidRPr="00C3355A">
        <w:rPr>
          <w:rFonts w:asciiTheme="minorHAnsi" w:hAnsiTheme="minorHAnsi" w:cstheme="minorHAnsi"/>
          <w:color w:val="000000"/>
        </w:rPr>
        <w:t xml:space="preserve">continue to work closely with SC OSHA leadership to address identified concerns and improve the effectiveness of their program. </w:t>
      </w:r>
    </w:p>
    <w:p w14:paraId="4666BCF0" w14:textId="77777777" w:rsidR="00FC6223" w:rsidRPr="00C3355A" w:rsidRDefault="00FC6223" w:rsidP="00C3355A">
      <w:pPr>
        <w:jc w:val="both"/>
        <w:rPr>
          <w:rFonts w:ascii="Times New Roman" w:hAnsi="Times New Roman"/>
          <w:iCs/>
        </w:rPr>
      </w:pPr>
    </w:p>
    <w:p w14:paraId="0A29FCDE" w14:textId="41887E98" w:rsidR="00054900" w:rsidRPr="00476C08" w:rsidRDefault="00054900" w:rsidP="00476C08">
      <w:pPr>
        <w:pStyle w:val="Heading2"/>
      </w:pPr>
      <w:bookmarkStart w:id="12" w:name="_Toc118900172"/>
      <w:bookmarkStart w:id="13" w:name="_Toc118905011"/>
      <w:bookmarkStart w:id="14" w:name="_Toc119418665"/>
      <w:r w:rsidRPr="00476C08">
        <w:t xml:space="preserve">Assessment of State Plan </w:t>
      </w:r>
      <w:r w:rsidR="001E2FBB" w:rsidRPr="00476C08">
        <w:t xml:space="preserve">Progress and </w:t>
      </w:r>
      <w:r w:rsidRPr="00476C08">
        <w:t>Performance</w:t>
      </w:r>
      <w:bookmarkEnd w:id="12"/>
      <w:bookmarkEnd w:id="13"/>
      <w:bookmarkEnd w:id="14"/>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5" w:name="_Toc118900173"/>
      <w:bookmarkStart w:id="16" w:name="_Toc118905012"/>
      <w:bookmarkStart w:id="17" w:name="_Toc119418666"/>
      <w:r w:rsidRPr="00C53328">
        <w:t>Data and Methodology</w:t>
      </w:r>
      <w:bookmarkEnd w:id="15"/>
      <w:bookmarkEnd w:id="16"/>
      <w:bookmarkEnd w:id="17"/>
    </w:p>
    <w:p w14:paraId="72EF69F8" w14:textId="77777777" w:rsidR="000A134A" w:rsidRPr="001C1E47" w:rsidRDefault="000A134A" w:rsidP="00783189">
      <w:pPr>
        <w:widowControl/>
        <w:autoSpaceDE/>
        <w:autoSpaceDN/>
        <w:adjustRightInd/>
        <w:ind w:left="1440"/>
        <w:rPr>
          <w:rFonts w:cs="Calibri"/>
          <w:bCs/>
        </w:rPr>
      </w:pPr>
    </w:p>
    <w:p w14:paraId="2EA97480" w14:textId="29F7E3F8" w:rsidR="00A86639" w:rsidRDefault="00A86639" w:rsidP="00F72CE5">
      <w:pPr>
        <w:widowControl/>
        <w:autoSpaceDE/>
        <w:autoSpaceDN/>
        <w:adjustRightInd/>
        <w:jc w:val="both"/>
        <w:rPr>
          <w:rFonts w:cs="Calibri"/>
          <w:bCs/>
        </w:rPr>
      </w:pPr>
      <w:r>
        <w:rPr>
          <w:rFonts w:cs="Calibri"/>
          <w:bCs/>
        </w:rPr>
        <w:t>O</w:t>
      </w:r>
      <w:r w:rsidRPr="00E723AC">
        <w:rPr>
          <w:rFonts w:cs="Calibri"/>
          <w:bCs/>
        </w:rPr>
        <w:t xml:space="preserve">SHA established a two-year cycle for the FAME process. FY 2024 is a follow-up year, and as such, OSHA was not required to perform an on-site evaluation or case file review. </w:t>
      </w:r>
      <w:r w:rsidRPr="00A86639">
        <w:rPr>
          <w:rFonts w:cs="Calibri"/>
          <w:bCs/>
        </w:rPr>
        <w:t xml:space="preserve">However, due to concerns regarding the State Plan’s effectiveness in addressing key </w:t>
      </w:r>
      <w:r w:rsidR="001B4133">
        <w:rPr>
          <w:rFonts w:cs="Calibri"/>
          <w:bCs/>
        </w:rPr>
        <w:t>Finding</w:t>
      </w:r>
      <w:r w:rsidRPr="00A86639">
        <w:rPr>
          <w:rFonts w:cs="Calibri"/>
          <w:bCs/>
        </w:rPr>
        <w:t xml:space="preserve">s and </w:t>
      </w:r>
      <w:r w:rsidR="001B4133">
        <w:rPr>
          <w:rFonts w:cs="Calibri"/>
          <w:bCs/>
        </w:rPr>
        <w:t>Observation</w:t>
      </w:r>
      <w:r w:rsidRPr="00A86639">
        <w:rPr>
          <w:rFonts w:cs="Calibri"/>
          <w:bCs/>
        </w:rPr>
        <w:t>s, OSHA conducted interviews with management and supervisors during the week of January 13, 2025. These discussions focused on reviewing SAMM data and assessing management controls implemented to address identified issues. The interviews provided valuable insights into the State Plan's strategies for improving performance metrics and ensuring timely and effective enforcement actions.</w:t>
      </w:r>
    </w:p>
    <w:p w14:paraId="345FD8FE" w14:textId="77777777" w:rsidR="00A86639" w:rsidRPr="00A86639" w:rsidRDefault="00A86639" w:rsidP="00F72CE5">
      <w:pPr>
        <w:widowControl/>
        <w:autoSpaceDE/>
        <w:autoSpaceDN/>
        <w:adjustRightInd/>
        <w:jc w:val="both"/>
        <w:rPr>
          <w:rFonts w:cs="Calibri"/>
          <w:bCs/>
        </w:rPr>
      </w:pPr>
    </w:p>
    <w:p w14:paraId="618B8944" w14:textId="77E4A44F" w:rsidR="0061177B" w:rsidRDefault="00A86639" w:rsidP="00F72CE5">
      <w:pPr>
        <w:widowControl/>
        <w:autoSpaceDE/>
        <w:autoSpaceDN/>
        <w:adjustRightInd/>
        <w:jc w:val="both"/>
        <w:rPr>
          <w:rFonts w:cs="Calibri"/>
          <w:bCs/>
        </w:rPr>
      </w:pPr>
      <w:r w:rsidRPr="00A86639">
        <w:rPr>
          <w:rFonts w:cs="Calibri"/>
          <w:bCs/>
        </w:rPr>
        <w:t xml:space="preserve">As part of the FAME review, South Carolina OSHA's High Hazard Industry Planning Guide (HHPG) was also evaluated. The HHPG serves as a management tool to assist in prioritizing and scheduling programmed inspections statewide. It ranks manufacturing and non-manufacturing industries based on Total Recordable Case (TRC) rates and Days Away from Work, Restrictions, or Transfers (DART) rates, </w:t>
      </w:r>
      <w:r w:rsidR="00D21063">
        <w:rPr>
          <w:rFonts w:cs="Calibri"/>
          <w:bCs/>
        </w:rPr>
        <w:t>which are</w:t>
      </w:r>
      <w:r w:rsidRPr="00A86639">
        <w:rPr>
          <w:rFonts w:cs="Calibri"/>
          <w:bCs/>
        </w:rPr>
        <w:t xml:space="preserve"> equal to or greater than the statewide </w:t>
      </w:r>
      <w:r w:rsidRPr="00BF363B">
        <w:rPr>
          <w:rFonts w:cs="Calibri"/>
          <w:bCs/>
        </w:rPr>
        <w:t>averages of 2.4 and 1.7 for manufacturing and non-manufacturing, and 1.3 and 0.7 for construction.</w:t>
      </w:r>
      <w:r w:rsidR="00451441" w:rsidRPr="00BF363B">
        <w:rPr>
          <w:rFonts w:cs="Calibri"/>
          <w:bCs/>
        </w:rPr>
        <w:t xml:space="preserve">  </w:t>
      </w:r>
      <w:r w:rsidR="00ED280B" w:rsidRPr="00BF363B">
        <w:rPr>
          <w:rFonts w:cs="Calibri"/>
          <w:bCs/>
        </w:rPr>
        <w:t xml:space="preserve">SC OSHA </w:t>
      </w:r>
      <w:r w:rsidR="00156402" w:rsidRPr="00BF363B">
        <w:rPr>
          <w:rFonts w:cs="Calibri"/>
          <w:bCs/>
        </w:rPr>
        <w:t>will</w:t>
      </w:r>
      <w:r w:rsidR="00ED280B" w:rsidRPr="00BF363B">
        <w:rPr>
          <w:rFonts w:cs="Calibri"/>
          <w:bCs/>
        </w:rPr>
        <w:t xml:space="preserve"> incorporate </w:t>
      </w:r>
      <w:r w:rsidR="00BC06BA">
        <w:rPr>
          <w:rFonts w:cs="Calibri"/>
          <w:bCs/>
        </w:rPr>
        <w:t xml:space="preserve">aspects of </w:t>
      </w:r>
      <w:r w:rsidR="00ED280B" w:rsidRPr="00BF363B">
        <w:rPr>
          <w:rFonts w:cs="Calibri"/>
          <w:bCs/>
        </w:rPr>
        <w:t xml:space="preserve">the </w:t>
      </w:r>
      <w:r w:rsidR="008F5A8F" w:rsidRPr="00BF363B">
        <w:rPr>
          <w:rFonts w:cs="Calibri"/>
          <w:bCs/>
        </w:rPr>
        <w:t>Site-Specific</w:t>
      </w:r>
      <w:r w:rsidR="00451441" w:rsidRPr="00BF363B">
        <w:rPr>
          <w:rFonts w:cs="Calibri"/>
          <w:bCs/>
        </w:rPr>
        <w:t xml:space="preserve"> Targeting (</w:t>
      </w:r>
      <w:r w:rsidR="00ED280B" w:rsidRPr="00BF363B">
        <w:rPr>
          <w:rFonts w:cs="Calibri"/>
          <w:bCs/>
        </w:rPr>
        <w:t>SST</w:t>
      </w:r>
      <w:r w:rsidR="00451441" w:rsidRPr="00BF363B">
        <w:rPr>
          <w:rFonts w:cs="Calibri"/>
          <w:bCs/>
        </w:rPr>
        <w:t>)</w:t>
      </w:r>
      <w:r w:rsidR="00ED280B" w:rsidRPr="00BF363B">
        <w:rPr>
          <w:rFonts w:cs="Calibri"/>
          <w:bCs/>
        </w:rPr>
        <w:t xml:space="preserve"> program into </w:t>
      </w:r>
      <w:r w:rsidRPr="00BF363B">
        <w:rPr>
          <w:rFonts w:cs="Calibri"/>
          <w:bCs/>
        </w:rPr>
        <w:t>the</w:t>
      </w:r>
      <w:r w:rsidR="00ED280B" w:rsidRPr="00BF363B">
        <w:rPr>
          <w:rFonts w:cs="Calibri"/>
          <w:bCs/>
        </w:rPr>
        <w:t>ir</w:t>
      </w:r>
      <w:r w:rsidRPr="00BF363B">
        <w:rPr>
          <w:rFonts w:cs="Calibri"/>
          <w:bCs/>
        </w:rPr>
        <w:t xml:space="preserve"> HHPG </w:t>
      </w:r>
      <w:r w:rsidR="00ED280B" w:rsidRPr="00BF363B">
        <w:rPr>
          <w:rFonts w:cs="Calibri"/>
          <w:bCs/>
        </w:rPr>
        <w:t xml:space="preserve">during </w:t>
      </w:r>
      <w:r w:rsidR="00BC06BA">
        <w:rPr>
          <w:rFonts w:cs="Calibri"/>
          <w:bCs/>
        </w:rPr>
        <w:t xml:space="preserve">Fiscal Year 2025 to include </w:t>
      </w:r>
      <w:r w:rsidR="00A717E4">
        <w:rPr>
          <w:rFonts w:cs="Calibri"/>
          <w:bCs/>
        </w:rPr>
        <w:t>non-responders</w:t>
      </w:r>
      <w:r w:rsidR="00BC06BA">
        <w:rPr>
          <w:rFonts w:cs="Calibri"/>
          <w:bCs/>
        </w:rPr>
        <w:t xml:space="preserve"> and those sites with increased trending rates. These modifications </w:t>
      </w:r>
      <w:r w:rsidR="00A717E4">
        <w:rPr>
          <w:rFonts w:cs="Calibri"/>
          <w:bCs/>
        </w:rPr>
        <w:t xml:space="preserve">will </w:t>
      </w:r>
      <w:r w:rsidR="00A717E4" w:rsidRPr="00A86639">
        <w:rPr>
          <w:rFonts w:cs="Calibri"/>
          <w:bCs/>
        </w:rPr>
        <w:t>improve</w:t>
      </w:r>
      <w:r w:rsidR="008129C1" w:rsidRPr="00A86639">
        <w:rPr>
          <w:rFonts w:cs="Calibri"/>
          <w:bCs/>
        </w:rPr>
        <w:t xml:space="preserve"> focus on </w:t>
      </w:r>
      <w:r w:rsidR="008129C1">
        <w:rPr>
          <w:rFonts w:cs="Calibri"/>
          <w:bCs/>
        </w:rPr>
        <w:t xml:space="preserve">various </w:t>
      </w:r>
      <w:r w:rsidR="008129C1" w:rsidRPr="00A86639">
        <w:rPr>
          <w:rFonts w:cs="Calibri"/>
          <w:bCs/>
        </w:rPr>
        <w:t xml:space="preserve">industries </w:t>
      </w:r>
      <w:r w:rsidR="008129C1">
        <w:rPr>
          <w:rFonts w:cs="Calibri"/>
          <w:bCs/>
        </w:rPr>
        <w:t xml:space="preserve">and </w:t>
      </w:r>
      <w:r w:rsidR="008129C1" w:rsidRPr="00A86639">
        <w:rPr>
          <w:rFonts w:cs="Calibri"/>
          <w:bCs/>
        </w:rPr>
        <w:t>strengthen</w:t>
      </w:r>
      <w:r w:rsidR="008129C1">
        <w:rPr>
          <w:rFonts w:cs="Calibri"/>
          <w:bCs/>
        </w:rPr>
        <w:t xml:space="preserve"> their</w:t>
      </w:r>
      <w:r w:rsidR="008129C1" w:rsidRPr="00A86639">
        <w:rPr>
          <w:rFonts w:cs="Calibri"/>
          <w:bCs/>
        </w:rPr>
        <w:t xml:space="preserve"> enforcement efforts.</w:t>
      </w:r>
    </w:p>
    <w:p w14:paraId="2793E2C5" w14:textId="77777777" w:rsidR="00B034BE" w:rsidRDefault="00B034BE" w:rsidP="00F72CE5">
      <w:pPr>
        <w:widowControl/>
        <w:autoSpaceDE/>
        <w:autoSpaceDN/>
        <w:adjustRightInd/>
        <w:jc w:val="both"/>
        <w:rPr>
          <w:rFonts w:cs="Calibri"/>
          <w:bCs/>
        </w:rPr>
      </w:pPr>
    </w:p>
    <w:p w14:paraId="67EE3570" w14:textId="77777777" w:rsidR="00C12FB5" w:rsidRPr="001C1E47" w:rsidRDefault="00C12FB5" w:rsidP="00C12FB5">
      <w:pPr>
        <w:widowControl/>
        <w:autoSpaceDE/>
        <w:autoSpaceDN/>
        <w:adjustRightInd/>
        <w:jc w:val="both"/>
        <w:rPr>
          <w:rFonts w:cs="Calibri"/>
          <w:bCs/>
        </w:rPr>
      </w:pPr>
      <w:r w:rsidRPr="001C1E47">
        <w:rPr>
          <w:rFonts w:cs="Calibri"/>
          <w:bCs/>
        </w:rPr>
        <w:t>The analyses and conclusions described in this report are based on information obtained from a variety of monitoring sources, including:</w:t>
      </w:r>
    </w:p>
    <w:p w14:paraId="3884FF8D" w14:textId="77777777" w:rsidR="00C12FB5" w:rsidRPr="001C1E47" w:rsidRDefault="00C12FB5" w:rsidP="00C12FB5">
      <w:pPr>
        <w:widowControl/>
        <w:autoSpaceDE/>
        <w:autoSpaceDN/>
        <w:adjustRightInd/>
        <w:rPr>
          <w:rFonts w:cs="Calibri"/>
          <w:bCs/>
        </w:rPr>
      </w:pPr>
    </w:p>
    <w:p w14:paraId="614C9358" w14:textId="77777777" w:rsidR="00C12FB5" w:rsidRPr="001C1E47" w:rsidRDefault="00C12FB5" w:rsidP="00C12FB5">
      <w:pPr>
        <w:pStyle w:val="ListParagraph"/>
        <w:numPr>
          <w:ilvl w:val="0"/>
          <w:numId w:val="7"/>
        </w:numPr>
        <w:spacing w:after="0" w:line="240" w:lineRule="auto"/>
        <w:rPr>
          <w:bCs/>
        </w:rPr>
      </w:pPr>
      <w:r w:rsidRPr="001C1E47">
        <w:rPr>
          <w:bCs/>
          <w:sz w:val="24"/>
          <w:szCs w:val="24"/>
        </w:rPr>
        <w:t xml:space="preserve">State Activity Mandated Measures (SAMM) Report </w:t>
      </w:r>
    </w:p>
    <w:p w14:paraId="51BD8FFA" w14:textId="77777777" w:rsidR="00C12FB5" w:rsidRPr="001C1E47" w:rsidRDefault="00C12FB5" w:rsidP="00C12FB5">
      <w:pPr>
        <w:pStyle w:val="ListParagraph"/>
        <w:numPr>
          <w:ilvl w:val="0"/>
          <w:numId w:val="7"/>
        </w:numPr>
        <w:spacing w:after="0" w:line="240" w:lineRule="auto"/>
        <w:rPr>
          <w:bCs/>
        </w:rPr>
      </w:pPr>
      <w:r w:rsidRPr="001C1E47">
        <w:rPr>
          <w:bCs/>
          <w:sz w:val="24"/>
          <w:szCs w:val="24"/>
        </w:rPr>
        <w:t>State Information Report (SIR)</w:t>
      </w:r>
    </w:p>
    <w:p w14:paraId="70495112" w14:textId="77777777" w:rsidR="00C12FB5" w:rsidRPr="001C1E47" w:rsidRDefault="00C12FB5" w:rsidP="00C12FB5">
      <w:pPr>
        <w:pStyle w:val="ListParagraph"/>
        <w:numPr>
          <w:ilvl w:val="0"/>
          <w:numId w:val="7"/>
        </w:numPr>
        <w:spacing w:after="0" w:line="240" w:lineRule="auto"/>
        <w:rPr>
          <w:bCs/>
        </w:rPr>
      </w:pPr>
      <w:r w:rsidRPr="001C1E47">
        <w:rPr>
          <w:bCs/>
          <w:sz w:val="24"/>
          <w:szCs w:val="24"/>
        </w:rPr>
        <w:t>Mandated Activities Report for Consultation (MARC)</w:t>
      </w:r>
    </w:p>
    <w:p w14:paraId="47B804EB" w14:textId="77777777" w:rsidR="00C12FB5" w:rsidRPr="001C1E47" w:rsidRDefault="00C12FB5" w:rsidP="00C12FB5">
      <w:pPr>
        <w:pStyle w:val="ListParagraph"/>
        <w:numPr>
          <w:ilvl w:val="0"/>
          <w:numId w:val="7"/>
        </w:numPr>
        <w:spacing w:after="0" w:line="240" w:lineRule="auto"/>
        <w:rPr>
          <w:bCs/>
        </w:rPr>
      </w:pPr>
      <w:r w:rsidRPr="001C1E47">
        <w:rPr>
          <w:bCs/>
          <w:sz w:val="24"/>
          <w:szCs w:val="24"/>
        </w:rPr>
        <w:t xml:space="preserve">State OSHA Annual Report </w:t>
      </w:r>
      <w:r>
        <w:rPr>
          <w:bCs/>
          <w:sz w:val="24"/>
          <w:szCs w:val="24"/>
        </w:rPr>
        <w:t>(SOAR)</w:t>
      </w:r>
    </w:p>
    <w:p w14:paraId="79A17C11" w14:textId="77777777" w:rsidR="00C12FB5" w:rsidRPr="001C1E47" w:rsidRDefault="00C12FB5" w:rsidP="00C12FB5">
      <w:pPr>
        <w:pStyle w:val="ListParagraph"/>
        <w:numPr>
          <w:ilvl w:val="0"/>
          <w:numId w:val="7"/>
        </w:numPr>
        <w:spacing w:after="0" w:line="240" w:lineRule="auto"/>
        <w:rPr>
          <w:bCs/>
        </w:rPr>
      </w:pPr>
      <w:r w:rsidRPr="001C1E47">
        <w:rPr>
          <w:bCs/>
          <w:sz w:val="24"/>
          <w:szCs w:val="24"/>
        </w:rPr>
        <w:t>State Plan Annual Performance Plan</w:t>
      </w:r>
      <w:r>
        <w:rPr>
          <w:bCs/>
          <w:sz w:val="24"/>
          <w:szCs w:val="24"/>
        </w:rPr>
        <w:t xml:space="preserve"> (APP)</w:t>
      </w:r>
    </w:p>
    <w:p w14:paraId="43218A11" w14:textId="77777777" w:rsidR="00C12FB5" w:rsidRPr="001C1E47" w:rsidRDefault="00C12FB5" w:rsidP="00C12FB5">
      <w:pPr>
        <w:pStyle w:val="ListParagraph"/>
        <w:numPr>
          <w:ilvl w:val="0"/>
          <w:numId w:val="7"/>
        </w:numPr>
        <w:spacing w:after="0" w:line="240" w:lineRule="auto"/>
        <w:rPr>
          <w:bCs/>
        </w:rPr>
      </w:pPr>
      <w:r w:rsidRPr="001C1E47">
        <w:rPr>
          <w:bCs/>
          <w:sz w:val="24"/>
          <w:szCs w:val="24"/>
        </w:rPr>
        <w:t xml:space="preserve">State Plan Grant Application </w:t>
      </w:r>
    </w:p>
    <w:p w14:paraId="78BA8B9C" w14:textId="77777777" w:rsidR="00C12FB5" w:rsidRPr="001C1E47" w:rsidRDefault="00C12FB5" w:rsidP="00C12FB5">
      <w:pPr>
        <w:pStyle w:val="ListParagraph"/>
        <w:numPr>
          <w:ilvl w:val="0"/>
          <w:numId w:val="7"/>
        </w:numPr>
        <w:spacing w:after="0" w:line="240" w:lineRule="auto"/>
        <w:rPr>
          <w:bCs/>
        </w:rPr>
      </w:pPr>
      <w:r w:rsidRPr="001C1E47">
        <w:rPr>
          <w:bCs/>
          <w:sz w:val="24"/>
          <w:szCs w:val="24"/>
        </w:rPr>
        <w:t>Quarterly monitoring meetings between OSHA and the State Plan</w:t>
      </w:r>
    </w:p>
    <w:p w14:paraId="48DE7555" w14:textId="77777777" w:rsidR="00783189" w:rsidRPr="001C1E47" w:rsidRDefault="00783189" w:rsidP="00783189">
      <w:pPr>
        <w:widowControl/>
        <w:autoSpaceDE/>
        <w:autoSpaceDN/>
        <w:adjustRightInd/>
        <w:rPr>
          <w:rFonts w:cs="Calibri"/>
          <w:bCs/>
          <w:i/>
        </w:rPr>
      </w:pPr>
    </w:p>
    <w:p w14:paraId="5E67DDEC" w14:textId="3894EC23" w:rsidR="000A134A" w:rsidRPr="001C1E47" w:rsidRDefault="001B4133" w:rsidP="0061362E">
      <w:pPr>
        <w:pStyle w:val="Heading3"/>
      </w:pPr>
      <w:bookmarkStart w:id="18" w:name="_Toc118900174"/>
      <w:bookmarkStart w:id="19" w:name="_Toc118905013"/>
      <w:bookmarkStart w:id="20" w:name="_Toc119418667"/>
      <w:r>
        <w:t>Finding</w:t>
      </w:r>
      <w:r w:rsidR="000A134A" w:rsidRPr="001C1E47">
        <w:t xml:space="preserve">s and </w:t>
      </w:r>
      <w:r>
        <w:t>Observation</w:t>
      </w:r>
      <w:r w:rsidR="000A134A" w:rsidRPr="001C1E47">
        <w:t>s</w:t>
      </w:r>
      <w:bookmarkEnd w:id="18"/>
      <w:bookmarkEnd w:id="19"/>
      <w:bookmarkEnd w:id="20"/>
    </w:p>
    <w:p w14:paraId="51B991F5" w14:textId="77777777" w:rsidR="000A134A" w:rsidRPr="001C1E47" w:rsidRDefault="000A134A" w:rsidP="00783189">
      <w:pPr>
        <w:widowControl/>
        <w:autoSpaceDE/>
        <w:autoSpaceDN/>
        <w:adjustRightInd/>
        <w:rPr>
          <w:rFonts w:cs="Calibri"/>
        </w:rPr>
      </w:pPr>
    </w:p>
    <w:p w14:paraId="2789CCA0" w14:textId="100E5429" w:rsidR="00E71FB7" w:rsidRPr="001C1E47" w:rsidRDefault="001B4133" w:rsidP="00151F3B">
      <w:pPr>
        <w:pStyle w:val="Heading4"/>
        <w:rPr>
          <w:highlight w:val="yellow"/>
        </w:rPr>
      </w:pPr>
      <w:bookmarkStart w:id="21" w:name="_Toc118900175"/>
      <w:bookmarkStart w:id="22" w:name="_Toc118905014"/>
      <w:r>
        <w:t>Finding</w:t>
      </w:r>
      <w:r w:rsidR="00433E1A">
        <w:t>s (</w:t>
      </w:r>
      <w:r w:rsidR="00443054" w:rsidRPr="001C1E47">
        <w:t>Status of Previous and New Items)</w:t>
      </w:r>
      <w:bookmarkEnd w:id="21"/>
      <w:bookmarkEnd w:id="22"/>
    </w:p>
    <w:p w14:paraId="6C7BE9F8" w14:textId="77777777" w:rsidR="00E71FB7" w:rsidRPr="00725F2C" w:rsidRDefault="00E71FB7" w:rsidP="00783189">
      <w:pPr>
        <w:widowControl/>
        <w:autoSpaceDE/>
        <w:autoSpaceDN/>
        <w:adjustRightInd/>
        <w:rPr>
          <w:rFonts w:cs="Calibri"/>
          <w:u w:val="single"/>
        </w:rPr>
      </w:pPr>
    </w:p>
    <w:p w14:paraId="68CBB2BF" w14:textId="24CFDAE1" w:rsidR="004E505A" w:rsidRPr="00B478D4" w:rsidRDefault="00456C45" w:rsidP="00E3304F">
      <w:pPr>
        <w:widowControl/>
        <w:autoSpaceDE/>
        <w:autoSpaceDN/>
        <w:adjustRightInd/>
        <w:jc w:val="both"/>
        <w:rPr>
          <w:rFonts w:asciiTheme="minorHAnsi" w:hAnsiTheme="minorHAnsi" w:cstheme="minorHAnsi"/>
        </w:rPr>
      </w:pPr>
      <w:r w:rsidRPr="00725F2C">
        <w:rPr>
          <w:rFonts w:asciiTheme="minorHAnsi" w:hAnsiTheme="minorHAnsi" w:cstheme="minorHAnsi"/>
        </w:rPr>
        <w:t>The State Plan</w:t>
      </w:r>
      <w:r w:rsidR="005D5383" w:rsidRPr="00725F2C">
        <w:rPr>
          <w:rFonts w:asciiTheme="minorHAnsi" w:hAnsiTheme="minorHAnsi" w:cstheme="minorHAnsi"/>
        </w:rPr>
        <w:t xml:space="preserve"> made </w:t>
      </w:r>
      <w:r w:rsidR="004E505A" w:rsidRPr="00725F2C">
        <w:rPr>
          <w:rFonts w:asciiTheme="minorHAnsi" w:hAnsiTheme="minorHAnsi" w:cstheme="minorHAnsi"/>
        </w:rPr>
        <w:t>progre</w:t>
      </w:r>
      <w:r w:rsidR="00443054" w:rsidRPr="00725F2C">
        <w:rPr>
          <w:rFonts w:asciiTheme="minorHAnsi" w:hAnsiTheme="minorHAnsi" w:cstheme="minorHAnsi"/>
        </w:rPr>
        <w:t>ss to address</w:t>
      </w:r>
      <w:r w:rsidRPr="00725F2C">
        <w:rPr>
          <w:rFonts w:asciiTheme="minorHAnsi" w:hAnsiTheme="minorHAnsi" w:cstheme="minorHAnsi"/>
        </w:rPr>
        <w:t xml:space="preserve"> the previous </w:t>
      </w:r>
      <w:r w:rsidR="001B4133" w:rsidRPr="00725F2C">
        <w:rPr>
          <w:rFonts w:asciiTheme="minorHAnsi" w:hAnsiTheme="minorHAnsi" w:cstheme="minorHAnsi"/>
        </w:rPr>
        <w:t>Observation</w:t>
      </w:r>
      <w:r w:rsidRPr="00725F2C">
        <w:rPr>
          <w:rFonts w:asciiTheme="minorHAnsi" w:hAnsiTheme="minorHAnsi" w:cstheme="minorHAnsi"/>
        </w:rPr>
        <w:t xml:space="preserve">s from the FY </w:t>
      </w:r>
      <w:r w:rsidR="00512339" w:rsidRPr="00725F2C">
        <w:rPr>
          <w:rFonts w:asciiTheme="minorHAnsi" w:hAnsiTheme="minorHAnsi" w:cstheme="minorHAnsi"/>
        </w:rPr>
        <w:t>20</w:t>
      </w:r>
      <w:r w:rsidR="00433E1A" w:rsidRPr="00725F2C">
        <w:rPr>
          <w:rFonts w:asciiTheme="minorHAnsi" w:hAnsiTheme="minorHAnsi" w:cstheme="minorHAnsi"/>
        </w:rPr>
        <w:t xml:space="preserve">23 </w:t>
      </w:r>
      <w:r w:rsidRPr="00725F2C">
        <w:rPr>
          <w:rFonts w:asciiTheme="minorHAnsi" w:hAnsiTheme="minorHAnsi" w:cstheme="minorHAnsi"/>
        </w:rPr>
        <w:t>Comprehensive FAME R</w:t>
      </w:r>
      <w:r w:rsidR="004E505A" w:rsidRPr="00725F2C">
        <w:rPr>
          <w:rFonts w:asciiTheme="minorHAnsi" w:hAnsiTheme="minorHAnsi" w:cstheme="minorHAnsi"/>
        </w:rPr>
        <w:t xml:space="preserve">eport.  This follow-up FAME report contains </w:t>
      </w:r>
      <w:r w:rsidR="00433E1A" w:rsidRPr="00725F2C">
        <w:rPr>
          <w:rFonts w:asciiTheme="minorHAnsi" w:hAnsiTheme="minorHAnsi" w:cstheme="minorHAnsi"/>
        </w:rPr>
        <w:t>five continued</w:t>
      </w:r>
      <w:r w:rsidR="005D5383" w:rsidRPr="00725F2C">
        <w:rPr>
          <w:rFonts w:asciiTheme="minorHAnsi" w:hAnsiTheme="minorHAnsi" w:cstheme="minorHAnsi"/>
        </w:rPr>
        <w:t xml:space="preserve"> </w:t>
      </w:r>
      <w:r w:rsidR="001B4133" w:rsidRPr="00725F2C">
        <w:rPr>
          <w:rFonts w:asciiTheme="minorHAnsi" w:hAnsiTheme="minorHAnsi" w:cstheme="minorHAnsi"/>
        </w:rPr>
        <w:t>Finding</w:t>
      </w:r>
      <w:r w:rsidR="005D5383" w:rsidRPr="00725F2C">
        <w:rPr>
          <w:rFonts w:asciiTheme="minorHAnsi" w:hAnsiTheme="minorHAnsi" w:cstheme="minorHAnsi"/>
        </w:rPr>
        <w:t xml:space="preserve">s </w:t>
      </w:r>
      <w:r w:rsidR="004E505A" w:rsidRPr="00725F2C">
        <w:rPr>
          <w:rFonts w:asciiTheme="minorHAnsi" w:hAnsiTheme="minorHAnsi" w:cstheme="minorHAnsi"/>
        </w:rPr>
        <w:t xml:space="preserve">and </w:t>
      </w:r>
      <w:r w:rsidR="00E3304F">
        <w:rPr>
          <w:rFonts w:asciiTheme="minorHAnsi" w:hAnsiTheme="minorHAnsi" w:cstheme="minorHAnsi"/>
        </w:rPr>
        <w:t xml:space="preserve">eight </w:t>
      </w:r>
      <w:r w:rsidR="001B4133" w:rsidRPr="00725F2C">
        <w:rPr>
          <w:rFonts w:asciiTheme="minorHAnsi" w:hAnsiTheme="minorHAnsi" w:cstheme="minorHAnsi"/>
        </w:rPr>
        <w:t>Observation</w:t>
      </w:r>
      <w:r w:rsidR="004E505A" w:rsidRPr="00725F2C">
        <w:rPr>
          <w:rFonts w:asciiTheme="minorHAnsi" w:hAnsiTheme="minorHAnsi" w:cstheme="minorHAnsi"/>
        </w:rPr>
        <w:t>s</w:t>
      </w:r>
      <w:r w:rsidR="005D5383" w:rsidRPr="00725F2C">
        <w:rPr>
          <w:rFonts w:asciiTheme="minorHAnsi" w:hAnsiTheme="minorHAnsi" w:cstheme="minorHAnsi"/>
        </w:rPr>
        <w:t xml:space="preserve"> (</w:t>
      </w:r>
      <w:r w:rsidR="00E3304F">
        <w:rPr>
          <w:rFonts w:asciiTheme="minorHAnsi" w:hAnsiTheme="minorHAnsi" w:cstheme="minorHAnsi"/>
        </w:rPr>
        <w:t>seven</w:t>
      </w:r>
      <w:r w:rsidR="005D5383" w:rsidRPr="00725F2C">
        <w:rPr>
          <w:rFonts w:asciiTheme="minorHAnsi" w:hAnsiTheme="minorHAnsi" w:cstheme="minorHAnsi"/>
        </w:rPr>
        <w:t xml:space="preserve"> continued and </w:t>
      </w:r>
      <w:r w:rsidR="00433E1A" w:rsidRPr="00725F2C">
        <w:rPr>
          <w:rFonts w:asciiTheme="minorHAnsi" w:hAnsiTheme="minorHAnsi" w:cstheme="minorHAnsi"/>
        </w:rPr>
        <w:t>one</w:t>
      </w:r>
      <w:r w:rsidR="005D5383" w:rsidRPr="00725F2C">
        <w:rPr>
          <w:rFonts w:asciiTheme="minorHAnsi" w:hAnsiTheme="minorHAnsi" w:cstheme="minorHAnsi"/>
        </w:rPr>
        <w:t xml:space="preserve"> new).  </w:t>
      </w:r>
      <w:r w:rsidR="00E3304F">
        <w:rPr>
          <w:rFonts w:asciiTheme="minorHAnsi" w:hAnsiTheme="minorHAnsi" w:cstheme="minorHAnsi"/>
        </w:rPr>
        <w:t>Three</w:t>
      </w:r>
      <w:r w:rsidR="004E505A" w:rsidRPr="00725F2C">
        <w:rPr>
          <w:rFonts w:asciiTheme="minorHAnsi" w:hAnsiTheme="minorHAnsi" w:cstheme="minorHAnsi"/>
        </w:rPr>
        <w:t xml:space="preserve"> </w:t>
      </w:r>
      <w:r w:rsidR="001B4133" w:rsidRPr="00725F2C">
        <w:rPr>
          <w:rFonts w:asciiTheme="minorHAnsi" w:hAnsiTheme="minorHAnsi" w:cstheme="minorHAnsi"/>
        </w:rPr>
        <w:t>Observation</w:t>
      </w:r>
      <w:r w:rsidR="00E3304F">
        <w:rPr>
          <w:rFonts w:asciiTheme="minorHAnsi" w:hAnsiTheme="minorHAnsi" w:cstheme="minorHAnsi"/>
        </w:rPr>
        <w:t>s</w:t>
      </w:r>
      <w:r w:rsidR="004E505A" w:rsidRPr="00725F2C">
        <w:rPr>
          <w:rFonts w:asciiTheme="minorHAnsi" w:hAnsiTheme="minorHAnsi" w:cstheme="minorHAnsi"/>
        </w:rPr>
        <w:t xml:space="preserve"> </w:t>
      </w:r>
      <w:r w:rsidR="00E3304F">
        <w:rPr>
          <w:rFonts w:asciiTheme="minorHAnsi" w:hAnsiTheme="minorHAnsi" w:cstheme="minorHAnsi"/>
        </w:rPr>
        <w:t>were</w:t>
      </w:r>
      <w:r w:rsidR="004E505A" w:rsidRPr="00725F2C">
        <w:rPr>
          <w:rFonts w:asciiTheme="minorHAnsi" w:hAnsiTheme="minorHAnsi" w:cstheme="minorHAnsi"/>
        </w:rPr>
        <w:t xml:space="preserve"> </w:t>
      </w:r>
      <w:r w:rsidR="00D97421" w:rsidRPr="00725F2C">
        <w:rPr>
          <w:rFonts w:asciiTheme="minorHAnsi" w:hAnsiTheme="minorHAnsi" w:cstheme="minorHAnsi"/>
        </w:rPr>
        <w:t xml:space="preserve">closed and </w:t>
      </w:r>
      <w:r w:rsidR="00E3304F">
        <w:rPr>
          <w:rFonts w:asciiTheme="minorHAnsi" w:hAnsiTheme="minorHAnsi" w:cstheme="minorHAnsi"/>
        </w:rPr>
        <w:t>seven</w:t>
      </w:r>
      <w:r w:rsidR="00D97421" w:rsidRPr="00725F2C">
        <w:rPr>
          <w:rFonts w:asciiTheme="minorHAnsi" w:hAnsiTheme="minorHAnsi" w:cstheme="minorHAnsi"/>
        </w:rPr>
        <w:t xml:space="preserve"> </w:t>
      </w:r>
      <w:r w:rsidR="004E505A" w:rsidRPr="00725F2C">
        <w:rPr>
          <w:rFonts w:asciiTheme="minorHAnsi" w:hAnsiTheme="minorHAnsi" w:cstheme="minorHAnsi"/>
        </w:rPr>
        <w:t>continued</w:t>
      </w:r>
      <w:r w:rsidR="00E3304F">
        <w:rPr>
          <w:rFonts w:asciiTheme="minorHAnsi" w:hAnsiTheme="minorHAnsi" w:cstheme="minorHAnsi"/>
        </w:rPr>
        <w:t>.</w:t>
      </w:r>
      <w:r w:rsidR="004E505A" w:rsidRPr="00725F2C">
        <w:rPr>
          <w:rFonts w:asciiTheme="minorHAnsi" w:hAnsiTheme="minorHAnsi" w:cstheme="minorHAnsi"/>
        </w:rPr>
        <w:t xml:space="preserve">  Appendix A describes the new and continued </w:t>
      </w:r>
      <w:r w:rsidR="001B4133" w:rsidRPr="00725F2C">
        <w:rPr>
          <w:rFonts w:asciiTheme="minorHAnsi" w:hAnsiTheme="minorHAnsi" w:cstheme="minorHAnsi"/>
        </w:rPr>
        <w:t>Finding</w:t>
      </w:r>
      <w:r w:rsidR="004E505A" w:rsidRPr="00725F2C">
        <w:rPr>
          <w:rFonts w:asciiTheme="minorHAnsi" w:hAnsiTheme="minorHAnsi" w:cstheme="minorHAnsi"/>
        </w:rPr>
        <w:t xml:space="preserve">s and recommendations.  Appendix B describes </w:t>
      </w:r>
      <w:r w:rsidR="001B4133" w:rsidRPr="00725F2C">
        <w:rPr>
          <w:rFonts w:asciiTheme="minorHAnsi" w:hAnsiTheme="minorHAnsi" w:cstheme="minorHAnsi"/>
        </w:rPr>
        <w:t>Observation</w:t>
      </w:r>
      <w:r w:rsidR="004E505A" w:rsidRPr="00725F2C">
        <w:rPr>
          <w:rFonts w:asciiTheme="minorHAnsi" w:hAnsiTheme="minorHAnsi" w:cstheme="minorHAnsi"/>
        </w:rPr>
        <w:t>s subject to continued monitoring</w:t>
      </w:r>
      <w:r w:rsidR="001E4F8A" w:rsidRPr="00725F2C">
        <w:rPr>
          <w:rFonts w:asciiTheme="minorHAnsi" w:hAnsiTheme="minorHAnsi" w:cstheme="minorHAnsi"/>
        </w:rPr>
        <w:t xml:space="preserve"> and the related federal monitoring plan</w:t>
      </w:r>
      <w:r w:rsidR="004E505A" w:rsidRPr="00725F2C">
        <w:rPr>
          <w:rFonts w:asciiTheme="minorHAnsi" w:hAnsiTheme="minorHAnsi" w:cstheme="minorHAnsi"/>
        </w:rPr>
        <w:t>.  Appendix C describes the status of each FY 20</w:t>
      </w:r>
      <w:r w:rsidR="00B66C2A" w:rsidRPr="00725F2C">
        <w:rPr>
          <w:rFonts w:asciiTheme="minorHAnsi" w:hAnsiTheme="minorHAnsi" w:cstheme="minorHAnsi"/>
        </w:rPr>
        <w:t>2</w:t>
      </w:r>
      <w:r w:rsidR="00E35E8A" w:rsidRPr="00725F2C">
        <w:rPr>
          <w:rFonts w:asciiTheme="minorHAnsi" w:hAnsiTheme="minorHAnsi" w:cstheme="minorHAnsi"/>
        </w:rPr>
        <w:t>3</w:t>
      </w:r>
      <w:r w:rsidR="004E505A" w:rsidRPr="00725F2C">
        <w:rPr>
          <w:rFonts w:asciiTheme="minorHAnsi" w:hAnsiTheme="minorHAnsi" w:cstheme="minorHAnsi"/>
        </w:rPr>
        <w:t xml:space="preserve"> </w:t>
      </w:r>
      <w:r w:rsidR="001B4133" w:rsidRPr="00725F2C">
        <w:rPr>
          <w:rFonts w:asciiTheme="minorHAnsi" w:hAnsiTheme="minorHAnsi" w:cstheme="minorHAnsi"/>
        </w:rPr>
        <w:t>Finding</w:t>
      </w:r>
      <w:r w:rsidR="00B66C2A" w:rsidRPr="00725F2C">
        <w:rPr>
          <w:rFonts w:asciiTheme="minorHAnsi" w:hAnsiTheme="minorHAnsi" w:cstheme="minorHAnsi"/>
        </w:rPr>
        <w:t xml:space="preserve"> and </w:t>
      </w:r>
      <w:r w:rsidR="004E505A" w:rsidRPr="00725F2C">
        <w:rPr>
          <w:rFonts w:asciiTheme="minorHAnsi" w:hAnsiTheme="minorHAnsi" w:cstheme="minorHAnsi"/>
        </w:rPr>
        <w:t>recommendation in detail.</w:t>
      </w:r>
    </w:p>
    <w:p w14:paraId="6975C73F" w14:textId="77777777" w:rsidR="00733729" w:rsidRPr="00B478D4" w:rsidRDefault="00733729" w:rsidP="00783189">
      <w:pPr>
        <w:widowControl/>
        <w:autoSpaceDE/>
        <w:autoSpaceDN/>
        <w:adjustRightInd/>
        <w:rPr>
          <w:rFonts w:asciiTheme="minorHAnsi" w:hAnsiTheme="minorHAnsi" w:cstheme="minorHAnsi"/>
          <w:u w:val="single"/>
        </w:rPr>
      </w:pPr>
    </w:p>
    <w:p w14:paraId="3BB9CC7E" w14:textId="20E85C0D" w:rsidR="00371016" w:rsidRPr="00B478D4" w:rsidRDefault="00371016" w:rsidP="00371016">
      <w:pPr>
        <w:widowControl/>
        <w:autoSpaceDE/>
        <w:autoSpaceDN/>
        <w:adjustRightInd/>
        <w:rPr>
          <w:rFonts w:asciiTheme="minorHAnsi" w:hAnsiTheme="minorHAnsi" w:cstheme="minorHAnsi"/>
          <w:b/>
        </w:rPr>
      </w:pPr>
      <w:r w:rsidRPr="00B478D4">
        <w:rPr>
          <w:rFonts w:asciiTheme="minorHAnsi" w:hAnsiTheme="minorHAnsi" w:cstheme="minorHAnsi"/>
          <w:b/>
        </w:rPr>
        <w:t xml:space="preserve">Continued FY 2024 </w:t>
      </w:r>
      <w:r w:rsidR="001B4133">
        <w:rPr>
          <w:rFonts w:asciiTheme="minorHAnsi" w:hAnsiTheme="minorHAnsi" w:cstheme="minorHAnsi"/>
          <w:b/>
        </w:rPr>
        <w:t>Finding</w:t>
      </w:r>
      <w:r w:rsidRPr="00B478D4">
        <w:rPr>
          <w:rFonts w:asciiTheme="minorHAnsi" w:hAnsiTheme="minorHAnsi" w:cstheme="minorHAnsi"/>
          <w:b/>
        </w:rPr>
        <w:t>s</w:t>
      </w:r>
    </w:p>
    <w:p w14:paraId="7C96273F" w14:textId="77777777" w:rsidR="00A33959" w:rsidRPr="00B478D4" w:rsidRDefault="00A33959" w:rsidP="00783189">
      <w:pPr>
        <w:widowControl/>
        <w:tabs>
          <w:tab w:val="center" w:pos="270"/>
          <w:tab w:val="left" w:pos="360"/>
        </w:tabs>
        <w:autoSpaceDE/>
        <w:autoSpaceDN/>
        <w:adjustRightInd/>
        <w:rPr>
          <w:rFonts w:asciiTheme="minorHAnsi" w:eastAsia="Calibri" w:hAnsiTheme="minorHAnsi" w:cstheme="minorHAnsi"/>
          <w:b/>
        </w:rPr>
      </w:pPr>
    </w:p>
    <w:p w14:paraId="1BFD3508" w14:textId="7C86BC75" w:rsidR="00A33959" w:rsidRPr="00B478D4" w:rsidRDefault="001B4133" w:rsidP="004F36C8">
      <w:pPr>
        <w:widowControl/>
        <w:autoSpaceDE/>
        <w:autoSpaceDN/>
        <w:adjustRightInd/>
        <w:jc w:val="both"/>
        <w:rPr>
          <w:rFonts w:asciiTheme="minorHAnsi" w:eastAsia="Calibri" w:hAnsiTheme="minorHAnsi" w:cstheme="minorHAnsi"/>
        </w:rPr>
      </w:pPr>
      <w:r>
        <w:rPr>
          <w:rFonts w:asciiTheme="minorHAnsi" w:hAnsiTheme="minorHAnsi" w:cstheme="minorHAnsi"/>
          <w:b/>
          <w:bCs/>
        </w:rPr>
        <w:t>Finding</w:t>
      </w:r>
      <w:r w:rsidR="00F94DD6" w:rsidRPr="00B478D4">
        <w:rPr>
          <w:rFonts w:asciiTheme="minorHAnsi" w:hAnsiTheme="minorHAnsi" w:cstheme="minorHAnsi"/>
          <w:b/>
          <w:bCs/>
        </w:rPr>
        <w:t xml:space="preserve"> FY 2024-01</w:t>
      </w:r>
      <w:r w:rsidR="00675471" w:rsidRPr="00B478D4">
        <w:rPr>
          <w:rFonts w:asciiTheme="minorHAnsi" w:hAnsiTheme="minorHAnsi" w:cstheme="minorHAnsi"/>
          <w:b/>
          <w:bCs/>
        </w:rPr>
        <w:t xml:space="preserve"> (previous </w:t>
      </w:r>
      <w:r>
        <w:rPr>
          <w:rFonts w:asciiTheme="minorHAnsi" w:hAnsiTheme="minorHAnsi" w:cstheme="minorHAnsi"/>
          <w:b/>
          <w:bCs/>
        </w:rPr>
        <w:t>Finding</w:t>
      </w:r>
      <w:r w:rsidR="00675471" w:rsidRPr="00B478D4">
        <w:rPr>
          <w:rFonts w:asciiTheme="minorHAnsi" w:hAnsiTheme="minorHAnsi" w:cstheme="minorHAnsi"/>
          <w:b/>
          <w:bCs/>
        </w:rPr>
        <w:t>s FY 202</w:t>
      </w:r>
      <w:r w:rsidR="00E13119" w:rsidRPr="00B478D4">
        <w:rPr>
          <w:rFonts w:asciiTheme="minorHAnsi" w:hAnsiTheme="minorHAnsi" w:cstheme="minorHAnsi"/>
          <w:b/>
          <w:bCs/>
        </w:rPr>
        <w:t>3</w:t>
      </w:r>
      <w:r w:rsidR="00675471" w:rsidRPr="00B478D4">
        <w:rPr>
          <w:rFonts w:asciiTheme="minorHAnsi" w:hAnsiTheme="minorHAnsi" w:cstheme="minorHAnsi"/>
          <w:b/>
          <w:bCs/>
        </w:rPr>
        <w:t>-01</w:t>
      </w:r>
      <w:r w:rsidR="00E13119" w:rsidRPr="00B478D4">
        <w:rPr>
          <w:rFonts w:asciiTheme="minorHAnsi" w:hAnsiTheme="minorHAnsi" w:cstheme="minorHAnsi"/>
          <w:b/>
          <w:bCs/>
        </w:rPr>
        <w:t>)</w:t>
      </w:r>
      <w:r w:rsidR="00F94DD6" w:rsidRPr="00B478D4">
        <w:rPr>
          <w:rFonts w:asciiTheme="minorHAnsi" w:hAnsiTheme="minorHAnsi" w:cstheme="minorHAnsi"/>
          <w:b/>
          <w:bCs/>
        </w:rPr>
        <w:t>:</w:t>
      </w:r>
      <w:r w:rsidR="00F94DD6" w:rsidRPr="00B478D4">
        <w:rPr>
          <w:rFonts w:asciiTheme="minorHAnsi" w:hAnsiTheme="minorHAnsi" w:cstheme="minorHAnsi"/>
        </w:rPr>
        <w:t xml:space="preserve"> The SAMM data (SAMM 1a) shows the average number of working days to initiate formal complaint inspections was </w:t>
      </w:r>
      <w:r w:rsidR="006B0D8F" w:rsidRPr="00B478D4">
        <w:rPr>
          <w:rFonts w:asciiTheme="minorHAnsi" w:hAnsiTheme="minorHAnsi" w:cstheme="minorHAnsi"/>
        </w:rPr>
        <w:t>69.97</w:t>
      </w:r>
      <w:r w:rsidR="00F94DD6" w:rsidRPr="00B478D4">
        <w:rPr>
          <w:rFonts w:asciiTheme="minorHAnsi" w:hAnsiTheme="minorHAnsi" w:cstheme="minorHAnsi"/>
        </w:rPr>
        <w:t xml:space="preserve"> days, which was outside the FRL of seven (7) days.</w:t>
      </w:r>
    </w:p>
    <w:p w14:paraId="708FDCCB" w14:textId="6902102F" w:rsidR="006B0D8F" w:rsidRPr="00B478D4" w:rsidRDefault="006B0D8F" w:rsidP="004F36C8">
      <w:pPr>
        <w:widowControl/>
        <w:autoSpaceDE/>
        <w:autoSpaceDN/>
        <w:adjustRightInd/>
        <w:jc w:val="both"/>
        <w:rPr>
          <w:rFonts w:asciiTheme="minorHAnsi" w:hAnsiTheme="minorHAnsi" w:cstheme="minorHAnsi"/>
        </w:rPr>
      </w:pPr>
      <w:bookmarkStart w:id="23" w:name="_Hlk188880765"/>
      <w:r w:rsidRPr="00B478D4">
        <w:rPr>
          <w:rFonts w:asciiTheme="minorHAnsi" w:hAnsiTheme="minorHAnsi" w:cstheme="minorHAnsi"/>
          <w:b/>
        </w:rPr>
        <w:t>Status:</w:t>
      </w:r>
      <w:r w:rsidRPr="00B478D4">
        <w:rPr>
          <w:rFonts w:asciiTheme="minorHAnsi" w:hAnsiTheme="minorHAnsi" w:cstheme="minorHAnsi"/>
        </w:rPr>
        <w:t xml:space="preserve"> This </w:t>
      </w:r>
      <w:r w:rsidR="001B4133">
        <w:rPr>
          <w:rFonts w:asciiTheme="minorHAnsi" w:hAnsiTheme="minorHAnsi" w:cstheme="minorHAnsi"/>
        </w:rPr>
        <w:t>Finding</w:t>
      </w:r>
      <w:r w:rsidRPr="00B478D4">
        <w:rPr>
          <w:rFonts w:asciiTheme="minorHAnsi" w:hAnsiTheme="minorHAnsi" w:cstheme="minorHAnsi"/>
        </w:rPr>
        <w:t xml:space="preserve"> is continued as</w:t>
      </w:r>
      <w:r w:rsidR="00087B24">
        <w:rPr>
          <w:rFonts w:asciiTheme="minorHAnsi" w:hAnsiTheme="minorHAnsi" w:cstheme="minorHAnsi"/>
        </w:rPr>
        <w:t xml:space="preserve"> </w:t>
      </w:r>
      <w:r w:rsidR="001B4133">
        <w:rPr>
          <w:rFonts w:asciiTheme="minorHAnsi" w:hAnsiTheme="minorHAnsi" w:cstheme="minorHAnsi"/>
        </w:rPr>
        <w:t>Finding</w:t>
      </w:r>
      <w:r w:rsidRPr="00B478D4">
        <w:rPr>
          <w:rFonts w:asciiTheme="minorHAnsi" w:hAnsiTheme="minorHAnsi" w:cstheme="minorHAnsi"/>
        </w:rPr>
        <w:t xml:space="preserve"> FY </w:t>
      </w:r>
      <w:r w:rsidR="003276DD" w:rsidRPr="00B478D4">
        <w:rPr>
          <w:rFonts w:asciiTheme="minorHAnsi" w:hAnsiTheme="minorHAnsi" w:cstheme="minorHAnsi"/>
        </w:rPr>
        <w:t>2024-01</w:t>
      </w:r>
      <w:r w:rsidR="003276DD">
        <w:rPr>
          <w:rFonts w:asciiTheme="minorHAnsi" w:hAnsiTheme="minorHAnsi" w:cstheme="minorHAnsi"/>
        </w:rPr>
        <w:t xml:space="preserve"> but</w:t>
      </w:r>
      <w:r w:rsidRPr="00B478D4">
        <w:rPr>
          <w:rFonts w:asciiTheme="minorHAnsi" w:hAnsiTheme="minorHAnsi" w:cstheme="minorHAnsi"/>
        </w:rPr>
        <w:t xml:space="preserve"> </w:t>
      </w:r>
      <w:r w:rsidR="00414FD7" w:rsidRPr="00B478D4">
        <w:rPr>
          <w:rFonts w:asciiTheme="minorHAnsi" w:hAnsiTheme="minorHAnsi" w:cstheme="minorHAnsi"/>
        </w:rPr>
        <w:t>was</w:t>
      </w:r>
      <w:r w:rsidRPr="00B478D4">
        <w:rPr>
          <w:rFonts w:asciiTheme="minorHAnsi" w:hAnsiTheme="minorHAnsi" w:cstheme="minorHAnsi"/>
        </w:rPr>
        <w:t xml:space="preserve"> amended to reflect the new SAMM data from FY 20</w:t>
      </w:r>
      <w:r w:rsidR="00F32E9B" w:rsidRPr="00B478D4">
        <w:rPr>
          <w:rFonts w:asciiTheme="minorHAnsi" w:hAnsiTheme="minorHAnsi" w:cstheme="minorHAnsi"/>
        </w:rPr>
        <w:t>24</w:t>
      </w:r>
      <w:r w:rsidRPr="00B478D4">
        <w:rPr>
          <w:rFonts w:asciiTheme="minorHAnsi" w:hAnsiTheme="minorHAnsi" w:cstheme="minorHAnsi"/>
        </w:rPr>
        <w:t>.</w:t>
      </w:r>
      <w:r w:rsidR="000A0F3B" w:rsidRPr="00B478D4">
        <w:rPr>
          <w:rFonts w:asciiTheme="minorHAnsi" w:hAnsiTheme="minorHAnsi" w:cstheme="minorHAnsi"/>
        </w:rPr>
        <w:t xml:space="preserve">  SC OSHA should continue </w:t>
      </w:r>
      <w:r w:rsidR="005D21B7">
        <w:rPr>
          <w:rFonts w:asciiTheme="minorHAnsi" w:hAnsiTheme="minorHAnsi" w:cstheme="minorHAnsi"/>
        </w:rPr>
        <w:t xml:space="preserve">to </w:t>
      </w:r>
      <w:r w:rsidR="000A0F3B" w:rsidRPr="00B478D4">
        <w:rPr>
          <w:rFonts w:asciiTheme="minorHAnsi" w:hAnsiTheme="minorHAnsi" w:cstheme="minorHAnsi"/>
        </w:rPr>
        <w:t xml:space="preserve">develop a management plan to ensure complaint inspections are initiated timely to meet the negotiated goal.  </w:t>
      </w:r>
      <w:r w:rsidRPr="00B478D4">
        <w:rPr>
          <w:rFonts w:asciiTheme="minorHAnsi" w:hAnsiTheme="minorHAnsi" w:cstheme="minorHAnsi"/>
        </w:rPr>
        <w:t xml:space="preserve">This </w:t>
      </w:r>
      <w:r w:rsidR="001B4133">
        <w:rPr>
          <w:rFonts w:asciiTheme="minorHAnsi" w:hAnsiTheme="minorHAnsi" w:cstheme="minorHAnsi"/>
        </w:rPr>
        <w:t>Finding</w:t>
      </w:r>
      <w:r w:rsidRPr="00B478D4">
        <w:rPr>
          <w:rFonts w:asciiTheme="minorHAnsi" w:hAnsiTheme="minorHAnsi" w:cstheme="minorHAnsi"/>
        </w:rPr>
        <w:t xml:space="preserve"> remains open.</w:t>
      </w:r>
    </w:p>
    <w:bookmarkEnd w:id="23"/>
    <w:p w14:paraId="7646D4BC" w14:textId="5A164CA2" w:rsidR="007C0A36" w:rsidRPr="00B478D4" w:rsidRDefault="007C0A36" w:rsidP="004F36C8">
      <w:pPr>
        <w:widowControl/>
        <w:autoSpaceDE/>
        <w:autoSpaceDN/>
        <w:adjustRightInd/>
        <w:jc w:val="both"/>
        <w:rPr>
          <w:rFonts w:asciiTheme="minorHAnsi" w:hAnsiTheme="minorHAnsi" w:cstheme="minorHAnsi"/>
          <w:b/>
          <w:color w:val="0070C0"/>
        </w:rPr>
      </w:pPr>
    </w:p>
    <w:p w14:paraId="57025612" w14:textId="24A6A8EF" w:rsidR="00F94DD6" w:rsidRPr="00B478D4" w:rsidRDefault="001B4133" w:rsidP="004F36C8">
      <w:pPr>
        <w:widowControl/>
        <w:autoSpaceDE/>
        <w:autoSpaceDN/>
        <w:adjustRightInd/>
        <w:jc w:val="both"/>
        <w:rPr>
          <w:rFonts w:asciiTheme="minorHAnsi" w:hAnsiTheme="minorHAnsi" w:cstheme="minorHAnsi"/>
        </w:rPr>
      </w:pPr>
      <w:r>
        <w:rPr>
          <w:rFonts w:asciiTheme="minorHAnsi" w:hAnsiTheme="minorHAnsi" w:cstheme="minorHAnsi"/>
          <w:b/>
          <w:bCs/>
        </w:rPr>
        <w:t>Finding</w:t>
      </w:r>
      <w:r w:rsidR="00F94DD6" w:rsidRPr="00B478D4">
        <w:rPr>
          <w:rFonts w:asciiTheme="minorHAnsi" w:hAnsiTheme="minorHAnsi" w:cstheme="minorHAnsi"/>
          <w:b/>
          <w:bCs/>
        </w:rPr>
        <w:t xml:space="preserve"> FY 2024-02</w:t>
      </w:r>
      <w:r w:rsidR="00E13119" w:rsidRPr="00B478D4">
        <w:rPr>
          <w:rFonts w:asciiTheme="minorHAnsi" w:hAnsiTheme="minorHAnsi" w:cstheme="minorHAnsi"/>
          <w:b/>
          <w:bCs/>
        </w:rPr>
        <w:t xml:space="preserve"> (previous </w:t>
      </w:r>
      <w:r>
        <w:rPr>
          <w:rFonts w:asciiTheme="minorHAnsi" w:hAnsiTheme="minorHAnsi" w:cstheme="minorHAnsi"/>
          <w:b/>
          <w:bCs/>
        </w:rPr>
        <w:t>Finding</w:t>
      </w:r>
      <w:r w:rsidR="00E13119" w:rsidRPr="00B478D4">
        <w:rPr>
          <w:rFonts w:asciiTheme="minorHAnsi" w:hAnsiTheme="minorHAnsi" w:cstheme="minorHAnsi"/>
          <w:b/>
          <w:bCs/>
        </w:rPr>
        <w:t>s FY 2023-02):</w:t>
      </w:r>
      <w:r w:rsidR="00F94DD6" w:rsidRPr="00B478D4">
        <w:rPr>
          <w:rFonts w:asciiTheme="minorHAnsi" w:hAnsiTheme="minorHAnsi" w:cstheme="minorHAnsi"/>
        </w:rPr>
        <w:t xml:space="preserve"> The SAMM data (SAMM 2a) shows the average number of working days to initiate formal complaint inspections was </w:t>
      </w:r>
      <w:r w:rsidR="006B0D8F" w:rsidRPr="00B478D4">
        <w:rPr>
          <w:rFonts w:asciiTheme="minorHAnsi" w:hAnsiTheme="minorHAnsi" w:cstheme="minorHAnsi"/>
        </w:rPr>
        <w:t>63.60</w:t>
      </w:r>
      <w:r w:rsidR="00F94DD6" w:rsidRPr="00B478D4">
        <w:rPr>
          <w:rFonts w:asciiTheme="minorHAnsi" w:hAnsiTheme="minorHAnsi" w:cstheme="minorHAnsi"/>
        </w:rPr>
        <w:t xml:space="preserve"> days, which was outside the FRL of five (5) days.</w:t>
      </w:r>
    </w:p>
    <w:p w14:paraId="38F8CECC" w14:textId="04DB9C50" w:rsidR="00B42919" w:rsidRPr="00B478D4" w:rsidRDefault="00F32E9B" w:rsidP="004F36C8">
      <w:pPr>
        <w:widowControl/>
        <w:autoSpaceDE/>
        <w:autoSpaceDN/>
        <w:adjustRightInd/>
        <w:jc w:val="both"/>
        <w:rPr>
          <w:rFonts w:asciiTheme="minorHAnsi" w:hAnsiTheme="minorHAnsi" w:cstheme="minorHAnsi"/>
        </w:rPr>
      </w:pPr>
      <w:r w:rsidRPr="00B478D4">
        <w:rPr>
          <w:rFonts w:asciiTheme="minorHAnsi" w:hAnsiTheme="minorHAnsi" w:cstheme="minorHAnsi"/>
          <w:b/>
        </w:rPr>
        <w:t>Status</w:t>
      </w:r>
      <w:r w:rsidR="003276DD" w:rsidRPr="00B478D4">
        <w:rPr>
          <w:rFonts w:asciiTheme="minorHAnsi" w:hAnsiTheme="minorHAnsi" w:cstheme="minorHAnsi"/>
          <w:b/>
        </w:rPr>
        <w:t>:</w:t>
      </w:r>
      <w:r w:rsidR="003276DD" w:rsidRPr="00B478D4">
        <w:rPr>
          <w:rFonts w:asciiTheme="minorHAnsi" w:hAnsiTheme="minorHAnsi" w:cstheme="minorHAnsi"/>
        </w:rPr>
        <w:t xml:space="preserve"> This</w:t>
      </w:r>
      <w:r w:rsidR="00B42919" w:rsidRPr="00B478D4">
        <w:rPr>
          <w:rFonts w:asciiTheme="minorHAnsi" w:hAnsiTheme="minorHAnsi" w:cstheme="minorHAnsi"/>
        </w:rPr>
        <w:t xml:space="preserve"> </w:t>
      </w:r>
      <w:r w:rsidR="001B4133">
        <w:rPr>
          <w:rFonts w:asciiTheme="minorHAnsi" w:hAnsiTheme="minorHAnsi" w:cstheme="minorHAnsi"/>
        </w:rPr>
        <w:t>Finding</w:t>
      </w:r>
      <w:r w:rsidR="00B42919" w:rsidRPr="00B478D4">
        <w:rPr>
          <w:rFonts w:asciiTheme="minorHAnsi" w:hAnsiTheme="minorHAnsi" w:cstheme="minorHAnsi"/>
        </w:rPr>
        <w:t xml:space="preserve"> is continued as </w:t>
      </w:r>
      <w:r w:rsidR="001B4133">
        <w:rPr>
          <w:rFonts w:asciiTheme="minorHAnsi" w:hAnsiTheme="minorHAnsi" w:cstheme="minorHAnsi"/>
        </w:rPr>
        <w:t>Finding</w:t>
      </w:r>
      <w:r w:rsidR="00B42919" w:rsidRPr="00B478D4">
        <w:rPr>
          <w:rFonts w:asciiTheme="minorHAnsi" w:hAnsiTheme="minorHAnsi" w:cstheme="minorHAnsi"/>
        </w:rPr>
        <w:t xml:space="preserve"> FY </w:t>
      </w:r>
      <w:r w:rsidR="00414FD7" w:rsidRPr="00B478D4">
        <w:rPr>
          <w:rFonts w:asciiTheme="minorHAnsi" w:hAnsiTheme="minorHAnsi" w:cstheme="minorHAnsi"/>
        </w:rPr>
        <w:t>2024-02</w:t>
      </w:r>
      <w:r w:rsidR="005D21B7">
        <w:rPr>
          <w:rFonts w:asciiTheme="minorHAnsi" w:hAnsiTheme="minorHAnsi" w:cstheme="minorHAnsi"/>
        </w:rPr>
        <w:t>,</w:t>
      </w:r>
      <w:r w:rsidR="00414FD7" w:rsidRPr="00B478D4">
        <w:rPr>
          <w:rFonts w:asciiTheme="minorHAnsi" w:hAnsiTheme="minorHAnsi" w:cstheme="minorHAnsi"/>
        </w:rPr>
        <w:t xml:space="preserve"> but</w:t>
      </w:r>
      <w:r w:rsidR="005D21B7">
        <w:rPr>
          <w:rFonts w:asciiTheme="minorHAnsi" w:hAnsiTheme="minorHAnsi" w:cstheme="minorHAnsi"/>
        </w:rPr>
        <w:t xml:space="preserve"> it</w:t>
      </w:r>
      <w:r w:rsidR="00B42919" w:rsidRPr="00B478D4">
        <w:rPr>
          <w:rFonts w:asciiTheme="minorHAnsi" w:hAnsiTheme="minorHAnsi" w:cstheme="minorHAnsi"/>
        </w:rPr>
        <w:t xml:space="preserve"> </w:t>
      </w:r>
      <w:r w:rsidR="00414FD7" w:rsidRPr="00B478D4">
        <w:rPr>
          <w:rFonts w:asciiTheme="minorHAnsi" w:hAnsiTheme="minorHAnsi" w:cstheme="minorHAnsi"/>
        </w:rPr>
        <w:t>was</w:t>
      </w:r>
      <w:r w:rsidR="00B42919" w:rsidRPr="00B478D4">
        <w:rPr>
          <w:rFonts w:asciiTheme="minorHAnsi" w:hAnsiTheme="minorHAnsi" w:cstheme="minorHAnsi"/>
        </w:rPr>
        <w:t xml:space="preserve"> amended to reflect the new SAMM data from FY 2024.  SC OSHA should continue </w:t>
      </w:r>
      <w:r w:rsidR="005D21B7">
        <w:rPr>
          <w:rFonts w:asciiTheme="minorHAnsi" w:hAnsiTheme="minorHAnsi" w:cstheme="minorHAnsi"/>
        </w:rPr>
        <w:t xml:space="preserve">to </w:t>
      </w:r>
      <w:r w:rsidR="00B42919" w:rsidRPr="00B478D4">
        <w:rPr>
          <w:rFonts w:asciiTheme="minorHAnsi" w:hAnsiTheme="minorHAnsi" w:cstheme="minorHAnsi"/>
        </w:rPr>
        <w:t xml:space="preserve">develop a management plan to ensure complaint inspections are initiated timely to meet the negotiated goal.  This </w:t>
      </w:r>
      <w:r w:rsidR="001B4133">
        <w:rPr>
          <w:rFonts w:asciiTheme="minorHAnsi" w:hAnsiTheme="minorHAnsi" w:cstheme="minorHAnsi"/>
        </w:rPr>
        <w:t>Finding</w:t>
      </w:r>
      <w:r w:rsidR="00B42919" w:rsidRPr="00B478D4">
        <w:rPr>
          <w:rFonts w:asciiTheme="minorHAnsi" w:hAnsiTheme="minorHAnsi" w:cstheme="minorHAnsi"/>
        </w:rPr>
        <w:t xml:space="preserve"> remains open.</w:t>
      </w:r>
    </w:p>
    <w:p w14:paraId="4EE86DD1" w14:textId="3C224339" w:rsidR="007C0A36" w:rsidRPr="00B478D4" w:rsidRDefault="007C0A36" w:rsidP="004F36C8">
      <w:pPr>
        <w:jc w:val="both"/>
        <w:rPr>
          <w:rFonts w:asciiTheme="minorHAnsi" w:hAnsiTheme="minorHAnsi" w:cstheme="minorHAnsi"/>
          <w:b/>
        </w:rPr>
      </w:pPr>
    </w:p>
    <w:p w14:paraId="3A2A7588" w14:textId="2FE1171B" w:rsidR="00F94DD6" w:rsidRPr="00B478D4" w:rsidRDefault="001B4133" w:rsidP="004F36C8">
      <w:pPr>
        <w:jc w:val="both"/>
        <w:rPr>
          <w:rFonts w:asciiTheme="minorHAnsi" w:hAnsiTheme="minorHAnsi" w:cstheme="minorHAnsi"/>
        </w:rPr>
      </w:pPr>
      <w:r>
        <w:rPr>
          <w:rFonts w:asciiTheme="minorHAnsi" w:hAnsiTheme="minorHAnsi" w:cstheme="minorHAnsi"/>
          <w:b/>
          <w:bCs/>
        </w:rPr>
        <w:t>Finding</w:t>
      </w:r>
      <w:r w:rsidR="00F94DD6" w:rsidRPr="00B478D4">
        <w:rPr>
          <w:rFonts w:asciiTheme="minorHAnsi" w:hAnsiTheme="minorHAnsi" w:cstheme="minorHAnsi"/>
          <w:b/>
          <w:bCs/>
        </w:rPr>
        <w:t xml:space="preserve"> FY 2024-03</w:t>
      </w:r>
      <w:r w:rsidR="00E13119" w:rsidRPr="00B478D4">
        <w:rPr>
          <w:rFonts w:asciiTheme="minorHAnsi" w:hAnsiTheme="minorHAnsi" w:cstheme="minorHAnsi"/>
          <w:b/>
          <w:bCs/>
        </w:rPr>
        <w:t xml:space="preserve"> (previous </w:t>
      </w:r>
      <w:r>
        <w:rPr>
          <w:rFonts w:asciiTheme="minorHAnsi" w:hAnsiTheme="minorHAnsi" w:cstheme="minorHAnsi"/>
          <w:b/>
          <w:bCs/>
        </w:rPr>
        <w:t>Finding</w:t>
      </w:r>
      <w:r w:rsidR="00E13119" w:rsidRPr="00B478D4">
        <w:rPr>
          <w:rFonts w:asciiTheme="minorHAnsi" w:hAnsiTheme="minorHAnsi" w:cstheme="minorHAnsi"/>
          <w:b/>
          <w:bCs/>
        </w:rPr>
        <w:t>s FY 2023-03, FY 202</w:t>
      </w:r>
      <w:r w:rsidR="00882C12" w:rsidRPr="00B478D4">
        <w:rPr>
          <w:rFonts w:asciiTheme="minorHAnsi" w:hAnsiTheme="minorHAnsi" w:cstheme="minorHAnsi"/>
          <w:b/>
          <w:bCs/>
        </w:rPr>
        <w:t>2</w:t>
      </w:r>
      <w:r w:rsidR="00E13119" w:rsidRPr="00B478D4">
        <w:rPr>
          <w:rFonts w:asciiTheme="minorHAnsi" w:hAnsiTheme="minorHAnsi" w:cstheme="minorHAnsi"/>
          <w:b/>
          <w:bCs/>
        </w:rPr>
        <w:t>-0</w:t>
      </w:r>
      <w:r w:rsidR="00882C12" w:rsidRPr="00B478D4">
        <w:rPr>
          <w:rFonts w:asciiTheme="minorHAnsi" w:hAnsiTheme="minorHAnsi" w:cstheme="minorHAnsi"/>
          <w:b/>
          <w:bCs/>
        </w:rPr>
        <w:t>1</w:t>
      </w:r>
      <w:r w:rsidR="00E13119" w:rsidRPr="00B478D4">
        <w:rPr>
          <w:rFonts w:asciiTheme="minorHAnsi" w:hAnsiTheme="minorHAnsi" w:cstheme="minorHAnsi"/>
          <w:b/>
          <w:bCs/>
        </w:rPr>
        <w:t>, FY 202</w:t>
      </w:r>
      <w:r w:rsidR="00882C12" w:rsidRPr="00B478D4">
        <w:rPr>
          <w:rFonts w:asciiTheme="minorHAnsi" w:hAnsiTheme="minorHAnsi" w:cstheme="minorHAnsi"/>
          <w:b/>
          <w:bCs/>
        </w:rPr>
        <w:t>1</w:t>
      </w:r>
      <w:r w:rsidR="00E13119" w:rsidRPr="00B478D4">
        <w:rPr>
          <w:rFonts w:asciiTheme="minorHAnsi" w:hAnsiTheme="minorHAnsi" w:cstheme="minorHAnsi"/>
          <w:b/>
          <w:bCs/>
        </w:rPr>
        <w:t>-0</w:t>
      </w:r>
      <w:r w:rsidR="00882C12" w:rsidRPr="00B478D4">
        <w:rPr>
          <w:rFonts w:asciiTheme="minorHAnsi" w:hAnsiTheme="minorHAnsi" w:cstheme="minorHAnsi"/>
          <w:b/>
          <w:bCs/>
        </w:rPr>
        <w:t>1</w:t>
      </w:r>
      <w:r w:rsidR="00E13119" w:rsidRPr="00B478D4">
        <w:rPr>
          <w:rFonts w:asciiTheme="minorHAnsi" w:hAnsiTheme="minorHAnsi" w:cstheme="minorHAnsi"/>
          <w:b/>
          <w:bCs/>
        </w:rPr>
        <w:t>, FY 202</w:t>
      </w:r>
      <w:r w:rsidR="00882C12" w:rsidRPr="00B478D4">
        <w:rPr>
          <w:rFonts w:asciiTheme="minorHAnsi" w:hAnsiTheme="minorHAnsi" w:cstheme="minorHAnsi"/>
          <w:b/>
          <w:bCs/>
        </w:rPr>
        <w:t>0</w:t>
      </w:r>
      <w:r w:rsidR="00E13119" w:rsidRPr="00B478D4">
        <w:rPr>
          <w:rFonts w:asciiTheme="minorHAnsi" w:hAnsiTheme="minorHAnsi" w:cstheme="minorHAnsi"/>
          <w:b/>
          <w:bCs/>
        </w:rPr>
        <w:t>-0</w:t>
      </w:r>
      <w:r w:rsidR="00882C12" w:rsidRPr="00B478D4">
        <w:rPr>
          <w:rFonts w:asciiTheme="minorHAnsi" w:hAnsiTheme="minorHAnsi" w:cstheme="minorHAnsi"/>
          <w:b/>
          <w:bCs/>
        </w:rPr>
        <w:t>2</w:t>
      </w:r>
      <w:r w:rsidR="00E13119" w:rsidRPr="00B478D4">
        <w:rPr>
          <w:rFonts w:asciiTheme="minorHAnsi" w:hAnsiTheme="minorHAnsi" w:cstheme="minorHAnsi"/>
          <w:b/>
          <w:bCs/>
        </w:rPr>
        <w:t>, FY 20</w:t>
      </w:r>
      <w:r w:rsidR="00882C12" w:rsidRPr="00B478D4">
        <w:rPr>
          <w:rFonts w:asciiTheme="minorHAnsi" w:hAnsiTheme="minorHAnsi" w:cstheme="minorHAnsi"/>
          <w:b/>
          <w:bCs/>
        </w:rPr>
        <w:t>19</w:t>
      </w:r>
      <w:r w:rsidR="00E13119" w:rsidRPr="00B478D4">
        <w:rPr>
          <w:rFonts w:asciiTheme="minorHAnsi" w:hAnsiTheme="minorHAnsi" w:cstheme="minorHAnsi"/>
          <w:b/>
          <w:bCs/>
        </w:rPr>
        <w:t>-0</w:t>
      </w:r>
      <w:r w:rsidR="00882C12" w:rsidRPr="00B478D4">
        <w:rPr>
          <w:rFonts w:asciiTheme="minorHAnsi" w:hAnsiTheme="minorHAnsi" w:cstheme="minorHAnsi"/>
          <w:b/>
          <w:bCs/>
        </w:rPr>
        <w:t>2</w:t>
      </w:r>
      <w:r w:rsidR="00F94DD6" w:rsidRPr="00B478D4">
        <w:rPr>
          <w:rFonts w:asciiTheme="minorHAnsi" w:hAnsiTheme="minorHAnsi" w:cstheme="minorHAnsi"/>
          <w:b/>
          <w:bCs/>
        </w:rPr>
        <w:t>:</w:t>
      </w:r>
      <w:r w:rsidR="00F94DD6" w:rsidRPr="00B478D4">
        <w:rPr>
          <w:rFonts w:asciiTheme="minorHAnsi" w:hAnsiTheme="minorHAnsi" w:cstheme="minorHAnsi"/>
        </w:rPr>
        <w:t xml:space="preserve"> The percentage of health (</w:t>
      </w:r>
      <w:r w:rsidR="00784129" w:rsidRPr="00B478D4">
        <w:rPr>
          <w:rFonts w:asciiTheme="minorHAnsi" w:hAnsiTheme="minorHAnsi" w:cstheme="minorHAnsi"/>
        </w:rPr>
        <w:t>69.23</w:t>
      </w:r>
      <w:r w:rsidR="00F94DD6" w:rsidRPr="00B478D4">
        <w:rPr>
          <w:rFonts w:asciiTheme="minorHAnsi" w:hAnsiTheme="minorHAnsi" w:cstheme="minorHAnsi"/>
        </w:rPr>
        <w:t xml:space="preserve">%) inspections that were in-compliance was higher than the FRL range of </w:t>
      </w:r>
      <w:r w:rsidR="00784129" w:rsidRPr="00B478D4">
        <w:rPr>
          <w:rFonts w:asciiTheme="minorHAnsi" w:hAnsiTheme="minorHAnsi" w:cstheme="minorHAnsi"/>
        </w:rPr>
        <w:t>35.34</w:t>
      </w:r>
      <w:r w:rsidR="00F94DD6" w:rsidRPr="00B478D4">
        <w:rPr>
          <w:rFonts w:asciiTheme="minorHAnsi" w:hAnsiTheme="minorHAnsi" w:cstheme="minorHAnsi"/>
        </w:rPr>
        <w:t xml:space="preserve">% to </w:t>
      </w:r>
      <w:r w:rsidR="00784129" w:rsidRPr="00B478D4">
        <w:rPr>
          <w:rFonts w:asciiTheme="minorHAnsi" w:hAnsiTheme="minorHAnsi" w:cstheme="minorHAnsi"/>
        </w:rPr>
        <w:t>53.01</w:t>
      </w:r>
      <w:r w:rsidR="00F94DD6" w:rsidRPr="00B478D4">
        <w:rPr>
          <w:rFonts w:asciiTheme="minorHAnsi" w:hAnsiTheme="minorHAnsi" w:cstheme="minorHAnsi"/>
        </w:rPr>
        <w:t>% (SAMM 9b).</w:t>
      </w:r>
    </w:p>
    <w:p w14:paraId="4B1E2904" w14:textId="759077C2" w:rsidR="00F825D9" w:rsidRPr="00B478D4" w:rsidRDefault="00F825D9" w:rsidP="004F36C8">
      <w:pPr>
        <w:jc w:val="both"/>
        <w:rPr>
          <w:rFonts w:asciiTheme="minorHAnsi" w:hAnsiTheme="minorHAnsi" w:cstheme="minorHAnsi"/>
        </w:rPr>
      </w:pPr>
      <w:r w:rsidRPr="00B478D4">
        <w:rPr>
          <w:rFonts w:asciiTheme="minorHAnsi" w:hAnsiTheme="minorHAnsi" w:cstheme="minorHAnsi"/>
          <w:b/>
        </w:rPr>
        <w:t>Status</w:t>
      </w:r>
      <w:r w:rsidR="003276DD" w:rsidRPr="00B478D4">
        <w:rPr>
          <w:rFonts w:asciiTheme="minorHAnsi" w:hAnsiTheme="minorHAnsi" w:cstheme="minorHAnsi"/>
          <w:b/>
        </w:rPr>
        <w:t>:</w:t>
      </w:r>
      <w:r w:rsidR="003276DD" w:rsidRPr="00B478D4">
        <w:rPr>
          <w:rFonts w:asciiTheme="minorHAnsi" w:hAnsiTheme="minorHAnsi" w:cstheme="minorHAnsi"/>
        </w:rPr>
        <w:t xml:space="preserve"> This</w:t>
      </w:r>
      <w:r w:rsidRPr="00B478D4">
        <w:rPr>
          <w:rFonts w:asciiTheme="minorHAnsi" w:hAnsiTheme="minorHAnsi" w:cstheme="minorHAnsi"/>
        </w:rPr>
        <w:t xml:space="preserve"> </w:t>
      </w:r>
      <w:r w:rsidR="001B4133">
        <w:rPr>
          <w:rFonts w:asciiTheme="minorHAnsi" w:hAnsiTheme="minorHAnsi" w:cstheme="minorHAnsi"/>
        </w:rPr>
        <w:t>Finding</w:t>
      </w:r>
      <w:r w:rsidRPr="00B478D4">
        <w:rPr>
          <w:rFonts w:asciiTheme="minorHAnsi" w:hAnsiTheme="minorHAnsi" w:cstheme="minorHAnsi"/>
        </w:rPr>
        <w:t xml:space="preserve"> is continued as </w:t>
      </w:r>
      <w:r w:rsidR="001B4133">
        <w:rPr>
          <w:rFonts w:asciiTheme="minorHAnsi" w:hAnsiTheme="minorHAnsi" w:cstheme="minorHAnsi"/>
        </w:rPr>
        <w:t>Finding</w:t>
      </w:r>
      <w:r w:rsidRPr="00B478D4">
        <w:rPr>
          <w:rFonts w:asciiTheme="minorHAnsi" w:hAnsiTheme="minorHAnsi" w:cstheme="minorHAnsi"/>
        </w:rPr>
        <w:t xml:space="preserve"> FY </w:t>
      </w:r>
      <w:r w:rsidR="00414FD7" w:rsidRPr="00B478D4">
        <w:rPr>
          <w:rFonts w:asciiTheme="minorHAnsi" w:hAnsiTheme="minorHAnsi" w:cstheme="minorHAnsi"/>
        </w:rPr>
        <w:t>2024-03</w:t>
      </w:r>
      <w:r w:rsidR="005D21B7">
        <w:rPr>
          <w:rFonts w:asciiTheme="minorHAnsi" w:hAnsiTheme="minorHAnsi" w:cstheme="minorHAnsi"/>
        </w:rPr>
        <w:t>,</w:t>
      </w:r>
      <w:r w:rsidR="00414FD7" w:rsidRPr="00B478D4">
        <w:rPr>
          <w:rFonts w:asciiTheme="minorHAnsi" w:hAnsiTheme="minorHAnsi" w:cstheme="minorHAnsi"/>
        </w:rPr>
        <w:t xml:space="preserve"> but</w:t>
      </w:r>
      <w:r w:rsidRPr="00B478D4">
        <w:rPr>
          <w:rFonts w:asciiTheme="minorHAnsi" w:hAnsiTheme="minorHAnsi" w:cstheme="minorHAnsi"/>
        </w:rPr>
        <w:t xml:space="preserve"> </w:t>
      </w:r>
      <w:r w:rsidR="005D21B7">
        <w:rPr>
          <w:rFonts w:asciiTheme="minorHAnsi" w:hAnsiTheme="minorHAnsi" w:cstheme="minorHAnsi"/>
        </w:rPr>
        <w:t xml:space="preserve">it </w:t>
      </w:r>
      <w:r w:rsidR="00414FD7" w:rsidRPr="00B478D4">
        <w:rPr>
          <w:rFonts w:asciiTheme="minorHAnsi" w:hAnsiTheme="minorHAnsi" w:cstheme="minorHAnsi"/>
        </w:rPr>
        <w:t>was</w:t>
      </w:r>
      <w:r w:rsidRPr="00B478D4">
        <w:rPr>
          <w:rFonts w:asciiTheme="minorHAnsi" w:hAnsiTheme="minorHAnsi" w:cstheme="minorHAnsi"/>
        </w:rPr>
        <w:t xml:space="preserve"> amended to reflect the new SAMM data from FY 2024. </w:t>
      </w:r>
      <w:r w:rsidR="00683610" w:rsidRPr="00B478D4">
        <w:rPr>
          <w:rFonts w:asciiTheme="minorHAnsi" w:hAnsiTheme="minorHAnsi" w:cstheme="minorHAnsi"/>
        </w:rPr>
        <w:t xml:space="preserve">SC OSHA should ensure inspection resources are spent in workplaces that are exposing workers to hazards by implementing corrective actions in the most hazardous worksites.  </w:t>
      </w:r>
      <w:r w:rsidR="00C52170">
        <w:t xml:space="preserve">Efforts should focus on creating targeted lists and gaining access to high-hazard sites to maximize employee protection. </w:t>
      </w:r>
      <w:r w:rsidR="00683610" w:rsidRPr="00B478D4">
        <w:rPr>
          <w:rFonts w:asciiTheme="minorHAnsi" w:hAnsiTheme="minorHAnsi" w:cstheme="minorHAnsi"/>
        </w:rPr>
        <w:t xml:space="preserve">Training should continue to address hazard recognition skills with health compliance staff.  </w:t>
      </w:r>
      <w:r w:rsidRPr="00B478D4">
        <w:rPr>
          <w:rFonts w:asciiTheme="minorHAnsi" w:hAnsiTheme="minorHAnsi" w:cstheme="minorHAnsi"/>
        </w:rPr>
        <w:t xml:space="preserve">This </w:t>
      </w:r>
      <w:r w:rsidR="001B4133">
        <w:rPr>
          <w:rFonts w:asciiTheme="minorHAnsi" w:hAnsiTheme="minorHAnsi" w:cstheme="minorHAnsi"/>
        </w:rPr>
        <w:t>Finding</w:t>
      </w:r>
      <w:r w:rsidRPr="00B478D4">
        <w:rPr>
          <w:rFonts w:asciiTheme="minorHAnsi" w:hAnsiTheme="minorHAnsi" w:cstheme="minorHAnsi"/>
        </w:rPr>
        <w:t xml:space="preserve"> remains open.</w:t>
      </w:r>
    </w:p>
    <w:p w14:paraId="6338BA7C" w14:textId="77777777" w:rsidR="00F825D9" w:rsidRPr="00B478D4" w:rsidRDefault="00F825D9" w:rsidP="004F36C8">
      <w:pPr>
        <w:jc w:val="both"/>
        <w:rPr>
          <w:rFonts w:asciiTheme="minorHAnsi" w:hAnsiTheme="minorHAnsi" w:cstheme="minorHAnsi"/>
          <w:b/>
          <w:bCs/>
        </w:rPr>
      </w:pPr>
    </w:p>
    <w:p w14:paraId="2899493E" w14:textId="739849AB" w:rsidR="00512339" w:rsidRPr="00B478D4" w:rsidRDefault="001B4133" w:rsidP="004F36C8">
      <w:pPr>
        <w:jc w:val="both"/>
        <w:rPr>
          <w:rFonts w:asciiTheme="minorHAnsi" w:hAnsiTheme="minorHAnsi" w:cstheme="minorHAnsi"/>
        </w:rPr>
      </w:pPr>
      <w:r>
        <w:rPr>
          <w:rFonts w:asciiTheme="minorHAnsi" w:hAnsiTheme="minorHAnsi" w:cstheme="minorHAnsi"/>
          <w:b/>
          <w:bCs/>
        </w:rPr>
        <w:t>Finding</w:t>
      </w:r>
      <w:r w:rsidR="00F94DD6" w:rsidRPr="00B478D4">
        <w:rPr>
          <w:rFonts w:asciiTheme="minorHAnsi" w:hAnsiTheme="minorHAnsi" w:cstheme="minorHAnsi"/>
          <w:b/>
          <w:bCs/>
        </w:rPr>
        <w:t xml:space="preserve"> FY 2024-04</w:t>
      </w:r>
      <w:r w:rsidR="003276DD" w:rsidRPr="00B478D4">
        <w:rPr>
          <w:rFonts w:asciiTheme="minorHAnsi" w:hAnsiTheme="minorHAnsi" w:cstheme="minorHAnsi"/>
          <w:b/>
          <w:bCs/>
        </w:rPr>
        <w:t xml:space="preserve">: </w:t>
      </w:r>
      <w:r w:rsidR="003276DD" w:rsidRPr="003D7117">
        <w:rPr>
          <w:rFonts w:asciiTheme="minorHAnsi" w:hAnsiTheme="minorHAnsi" w:cstheme="minorHAnsi"/>
        </w:rPr>
        <w:t>Six</w:t>
      </w:r>
      <w:r w:rsidR="00F94DD6" w:rsidRPr="00B478D4">
        <w:rPr>
          <w:rFonts w:asciiTheme="minorHAnsi" w:hAnsiTheme="minorHAnsi" w:cstheme="minorHAnsi"/>
        </w:rPr>
        <w:t xml:space="preserve"> (6) case files had OTS violations that were not cited.</w:t>
      </w:r>
    </w:p>
    <w:p w14:paraId="6769E047" w14:textId="02631C19" w:rsidR="00F94DD6" w:rsidRPr="00B478D4" w:rsidRDefault="00F94DD6" w:rsidP="004F36C8">
      <w:pPr>
        <w:widowControl/>
        <w:autoSpaceDE/>
        <w:autoSpaceDN/>
        <w:adjustRightInd/>
        <w:jc w:val="both"/>
        <w:rPr>
          <w:rFonts w:asciiTheme="minorHAnsi" w:hAnsiTheme="minorHAnsi" w:cstheme="minorHAnsi"/>
        </w:rPr>
      </w:pPr>
      <w:r w:rsidRPr="00B478D4">
        <w:rPr>
          <w:rFonts w:asciiTheme="minorHAnsi" w:hAnsiTheme="minorHAnsi" w:cstheme="minorHAnsi"/>
          <w:b/>
        </w:rPr>
        <w:t>Status:</w:t>
      </w:r>
      <w:r w:rsidRPr="00B478D4">
        <w:rPr>
          <w:rFonts w:asciiTheme="minorHAnsi" w:hAnsiTheme="minorHAnsi" w:cstheme="minorHAnsi"/>
        </w:rPr>
        <w:t xml:space="preserve"> </w:t>
      </w:r>
      <w:r w:rsidR="001919B8" w:rsidRPr="00B478D4">
        <w:rPr>
          <w:rFonts w:asciiTheme="minorHAnsi" w:hAnsiTheme="minorHAnsi" w:cstheme="minorHAnsi"/>
        </w:rPr>
        <w:t xml:space="preserve">This </w:t>
      </w:r>
      <w:r w:rsidR="001B4133">
        <w:rPr>
          <w:rFonts w:asciiTheme="minorHAnsi" w:hAnsiTheme="minorHAnsi" w:cstheme="minorHAnsi"/>
        </w:rPr>
        <w:t>Finding</w:t>
      </w:r>
      <w:r w:rsidR="001919B8" w:rsidRPr="00B478D4">
        <w:rPr>
          <w:rFonts w:asciiTheme="minorHAnsi" w:hAnsiTheme="minorHAnsi" w:cstheme="minorHAnsi"/>
        </w:rPr>
        <w:t xml:space="preserve"> is continued as </w:t>
      </w:r>
      <w:r w:rsidR="001B4133">
        <w:rPr>
          <w:rFonts w:asciiTheme="minorHAnsi" w:hAnsiTheme="minorHAnsi" w:cstheme="minorHAnsi"/>
        </w:rPr>
        <w:t>Finding</w:t>
      </w:r>
      <w:r w:rsidR="001919B8" w:rsidRPr="00B478D4">
        <w:rPr>
          <w:rFonts w:asciiTheme="minorHAnsi" w:hAnsiTheme="minorHAnsi" w:cstheme="minorHAnsi"/>
        </w:rPr>
        <w:t xml:space="preserve"> FY 2024-04, but a</w:t>
      </w:r>
      <w:r w:rsidRPr="00B478D4">
        <w:rPr>
          <w:rFonts w:asciiTheme="minorHAnsi" w:hAnsiTheme="minorHAnsi" w:cstheme="minorHAnsi"/>
        </w:rPr>
        <w:t xml:space="preserve"> case file review is necessary to gather the facts needed to evaluate progress on this </w:t>
      </w:r>
      <w:r w:rsidR="001B4133">
        <w:rPr>
          <w:rFonts w:asciiTheme="minorHAnsi" w:hAnsiTheme="minorHAnsi" w:cstheme="minorHAnsi"/>
        </w:rPr>
        <w:t>Finding</w:t>
      </w:r>
      <w:r w:rsidRPr="00B478D4">
        <w:rPr>
          <w:rFonts w:asciiTheme="minorHAnsi" w:hAnsiTheme="minorHAnsi" w:cstheme="minorHAnsi"/>
        </w:rPr>
        <w:t xml:space="preserve">. </w:t>
      </w:r>
      <w:r w:rsidR="00683610" w:rsidRPr="00B478D4">
        <w:rPr>
          <w:rFonts w:asciiTheme="minorHAnsi" w:hAnsiTheme="minorHAnsi" w:cstheme="minorHAnsi"/>
        </w:rPr>
        <w:t>SC OSHA should ensure that hazards identified during inspections that have sufficient prima facie evidence are addressed through a citation. This</w:t>
      </w:r>
      <w:r w:rsidRPr="00B478D4">
        <w:rPr>
          <w:rFonts w:asciiTheme="minorHAnsi" w:hAnsiTheme="minorHAnsi" w:cstheme="minorHAnsi"/>
        </w:rPr>
        <w:t xml:space="preserve"> </w:t>
      </w:r>
      <w:r w:rsidR="001B4133">
        <w:rPr>
          <w:rFonts w:asciiTheme="minorHAnsi" w:hAnsiTheme="minorHAnsi" w:cstheme="minorHAnsi"/>
        </w:rPr>
        <w:t>Finding</w:t>
      </w:r>
      <w:r w:rsidRPr="00B478D4">
        <w:rPr>
          <w:rFonts w:asciiTheme="minorHAnsi" w:hAnsiTheme="minorHAnsi" w:cstheme="minorHAnsi"/>
        </w:rPr>
        <w:t xml:space="preserve"> will be a focus of next year’s on-site case file review during the FY 20</w:t>
      </w:r>
      <w:r w:rsidR="00F825D9" w:rsidRPr="00B478D4">
        <w:rPr>
          <w:rFonts w:asciiTheme="minorHAnsi" w:hAnsiTheme="minorHAnsi" w:cstheme="minorHAnsi"/>
        </w:rPr>
        <w:t xml:space="preserve">25 </w:t>
      </w:r>
      <w:r w:rsidRPr="00B478D4">
        <w:rPr>
          <w:rFonts w:asciiTheme="minorHAnsi" w:hAnsiTheme="minorHAnsi" w:cstheme="minorHAnsi"/>
        </w:rPr>
        <w:t>comprehensive FAME and remains open.</w:t>
      </w:r>
    </w:p>
    <w:p w14:paraId="48401625" w14:textId="77777777" w:rsidR="00F94DD6" w:rsidRPr="00B478D4" w:rsidRDefault="00F94DD6" w:rsidP="004F36C8">
      <w:pPr>
        <w:jc w:val="both"/>
        <w:rPr>
          <w:rFonts w:asciiTheme="minorHAnsi" w:hAnsiTheme="minorHAnsi" w:cstheme="minorHAnsi"/>
          <w:color w:val="0070C0"/>
        </w:rPr>
      </w:pPr>
    </w:p>
    <w:p w14:paraId="202874C5" w14:textId="70B3388F" w:rsidR="00F94DD6" w:rsidRPr="00B478D4" w:rsidRDefault="001B4133" w:rsidP="004F36C8">
      <w:pPr>
        <w:jc w:val="both"/>
        <w:rPr>
          <w:rFonts w:asciiTheme="minorHAnsi" w:hAnsiTheme="minorHAnsi" w:cstheme="minorHAnsi"/>
        </w:rPr>
      </w:pPr>
      <w:r>
        <w:rPr>
          <w:rFonts w:asciiTheme="minorHAnsi" w:hAnsiTheme="minorHAnsi" w:cstheme="minorHAnsi"/>
          <w:b/>
          <w:bCs/>
        </w:rPr>
        <w:t>Finding</w:t>
      </w:r>
      <w:r w:rsidR="00F94DD6" w:rsidRPr="00B478D4">
        <w:rPr>
          <w:rFonts w:asciiTheme="minorHAnsi" w:hAnsiTheme="minorHAnsi" w:cstheme="minorHAnsi"/>
          <w:b/>
          <w:bCs/>
        </w:rPr>
        <w:t xml:space="preserve"> FY 2024-05</w:t>
      </w:r>
      <w:r w:rsidR="00882C12" w:rsidRPr="00B478D4">
        <w:rPr>
          <w:rFonts w:asciiTheme="minorHAnsi" w:hAnsiTheme="minorHAnsi" w:cstheme="minorHAnsi"/>
          <w:b/>
          <w:bCs/>
        </w:rPr>
        <w:t xml:space="preserve"> (previous </w:t>
      </w:r>
      <w:r>
        <w:rPr>
          <w:rFonts w:asciiTheme="minorHAnsi" w:hAnsiTheme="minorHAnsi" w:cstheme="minorHAnsi"/>
          <w:b/>
          <w:bCs/>
        </w:rPr>
        <w:t>Finding</w:t>
      </w:r>
      <w:r w:rsidR="00882C12" w:rsidRPr="00B478D4">
        <w:rPr>
          <w:rFonts w:asciiTheme="minorHAnsi" w:hAnsiTheme="minorHAnsi" w:cstheme="minorHAnsi"/>
          <w:b/>
          <w:bCs/>
        </w:rPr>
        <w:t>s FY 2023-0</w:t>
      </w:r>
      <w:r w:rsidR="00CE1EF8" w:rsidRPr="00B478D4">
        <w:rPr>
          <w:rFonts w:asciiTheme="minorHAnsi" w:hAnsiTheme="minorHAnsi" w:cstheme="minorHAnsi"/>
          <w:b/>
          <w:bCs/>
        </w:rPr>
        <w:t>5</w:t>
      </w:r>
      <w:r w:rsidR="00882C12" w:rsidRPr="00B478D4">
        <w:rPr>
          <w:rFonts w:asciiTheme="minorHAnsi" w:hAnsiTheme="minorHAnsi" w:cstheme="minorHAnsi"/>
          <w:b/>
          <w:bCs/>
        </w:rPr>
        <w:t>, FY 2022-0</w:t>
      </w:r>
      <w:r w:rsidR="00CE1EF8" w:rsidRPr="00B478D4">
        <w:rPr>
          <w:rFonts w:asciiTheme="minorHAnsi" w:hAnsiTheme="minorHAnsi" w:cstheme="minorHAnsi"/>
          <w:b/>
          <w:bCs/>
        </w:rPr>
        <w:t>2</w:t>
      </w:r>
      <w:r w:rsidR="00882C12" w:rsidRPr="00B478D4">
        <w:rPr>
          <w:rFonts w:asciiTheme="minorHAnsi" w:hAnsiTheme="minorHAnsi" w:cstheme="minorHAnsi"/>
          <w:b/>
          <w:bCs/>
        </w:rPr>
        <w:t>, FY 2021-0</w:t>
      </w:r>
      <w:r w:rsidR="00CE1EF8" w:rsidRPr="00B478D4">
        <w:rPr>
          <w:rFonts w:asciiTheme="minorHAnsi" w:hAnsiTheme="minorHAnsi" w:cstheme="minorHAnsi"/>
          <w:b/>
          <w:bCs/>
        </w:rPr>
        <w:t>2</w:t>
      </w:r>
      <w:r w:rsidR="00882C12" w:rsidRPr="00B478D4">
        <w:rPr>
          <w:rFonts w:asciiTheme="minorHAnsi" w:hAnsiTheme="minorHAnsi" w:cstheme="minorHAnsi"/>
          <w:b/>
          <w:bCs/>
        </w:rPr>
        <w:t>)</w:t>
      </w:r>
      <w:r w:rsidR="00F94DD6" w:rsidRPr="00B478D4">
        <w:rPr>
          <w:rFonts w:asciiTheme="minorHAnsi" w:hAnsiTheme="minorHAnsi" w:cstheme="minorHAnsi"/>
          <w:b/>
          <w:bCs/>
        </w:rPr>
        <w:t>:</w:t>
      </w:r>
      <w:r w:rsidR="00F94DD6" w:rsidRPr="00B478D4">
        <w:rPr>
          <w:rFonts w:asciiTheme="minorHAnsi" w:hAnsiTheme="minorHAnsi" w:cstheme="minorHAnsi"/>
        </w:rPr>
        <w:t xml:space="preserve"> SC State Plan has failed to adopt OSHA’s initial FY 2016 maximum and minimum penalty increase and subsequent annual penalty amount increases.  </w:t>
      </w:r>
    </w:p>
    <w:p w14:paraId="4837ED9A" w14:textId="5E7EC3E5" w:rsidR="00F94DD6" w:rsidRPr="00B478D4" w:rsidRDefault="001A3B77" w:rsidP="004F36C8">
      <w:pPr>
        <w:jc w:val="both"/>
        <w:rPr>
          <w:rFonts w:asciiTheme="minorHAnsi" w:hAnsiTheme="minorHAnsi" w:cstheme="minorHAnsi"/>
          <w:bCs/>
          <w:i/>
          <w:u w:val="single"/>
        </w:rPr>
      </w:pPr>
      <w:r w:rsidRPr="00B478D4">
        <w:rPr>
          <w:rFonts w:asciiTheme="minorHAnsi" w:hAnsiTheme="minorHAnsi" w:cstheme="minorHAnsi"/>
          <w:b/>
        </w:rPr>
        <w:t xml:space="preserve">Status: </w:t>
      </w:r>
      <w:r w:rsidR="00F94DD6" w:rsidRPr="00B478D4">
        <w:rPr>
          <w:rFonts w:asciiTheme="minorHAnsi" w:hAnsiTheme="minorHAnsi" w:cstheme="minorHAnsi"/>
        </w:rPr>
        <w:t xml:space="preserve">SC OSHA should work with their </w:t>
      </w:r>
      <w:proofErr w:type="gramStart"/>
      <w:r w:rsidR="00F94DD6" w:rsidRPr="00B478D4">
        <w:rPr>
          <w:rFonts w:asciiTheme="minorHAnsi" w:hAnsiTheme="minorHAnsi" w:cstheme="minorHAnsi"/>
        </w:rPr>
        <w:t>State</w:t>
      </w:r>
      <w:proofErr w:type="gramEnd"/>
      <w:r w:rsidR="00F94DD6" w:rsidRPr="00B478D4">
        <w:rPr>
          <w:rFonts w:asciiTheme="minorHAnsi" w:hAnsiTheme="minorHAnsi" w:cstheme="minorHAnsi"/>
        </w:rPr>
        <w:t xml:space="preserve"> authorities to complete the legislative changes necessary to adopt the maximum and minimum penalty increase and subsequent annual increases to be at least as effective as federal OSHA penalty levels.</w:t>
      </w:r>
    </w:p>
    <w:p w14:paraId="5203498B" w14:textId="77777777" w:rsidR="00783189" w:rsidRPr="00B478D4" w:rsidRDefault="00783189" w:rsidP="00783189">
      <w:pPr>
        <w:widowControl/>
        <w:autoSpaceDE/>
        <w:autoSpaceDN/>
        <w:adjustRightInd/>
        <w:rPr>
          <w:rFonts w:asciiTheme="minorHAnsi" w:hAnsiTheme="minorHAnsi" w:cstheme="minorHAnsi"/>
          <w:u w:val="single"/>
        </w:rPr>
      </w:pPr>
    </w:p>
    <w:p w14:paraId="49B482D8" w14:textId="5E44BE73" w:rsidR="00443054" w:rsidRPr="00B478D4" w:rsidRDefault="001B4133" w:rsidP="00151F3B">
      <w:pPr>
        <w:pStyle w:val="Heading4"/>
        <w:rPr>
          <w:rFonts w:asciiTheme="minorHAnsi" w:hAnsiTheme="minorHAnsi" w:cstheme="minorHAnsi"/>
          <w:sz w:val="24"/>
          <w:szCs w:val="24"/>
        </w:rPr>
      </w:pPr>
      <w:bookmarkStart w:id="24" w:name="_Toc118900176"/>
      <w:bookmarkStart w:id="25" w:name="_Toc118905015"/>
      <w:r>
        <w:rPr>
          <w:rFonts w:asciiTheme="minorHAnsi" w:hAnsiTheme="minorHAnsi" w:cstheme="minorHAnsi"/>
          <w:sz w:val="24"/>
          <w:szCs w:val="24"/>
        </w:rPr>
        <w:t>Observation</w:t>
      </w:r>
      <w:r w:rsidR="00443054" w:rsidRPr="00B478D4">
        <w:rPr>
          <w:rFonts w:asciiTheme="minorHAnsi" w:hAnsiTheme="minorHAnsi" w:cstheme="minorHAnsi"/>
          <w:sz w:val="24"/>
          <w:szCs w:val="24"/>
        </w:rPr>
        <w:t>s</w:t>
      </w:r>
      <w:bookmarkEnd w:id="24"/>
      <w:bookmarkEnd w:id="25"/>
      <w:r w:rsidR="00D219D6">
        <w:rPr>
          <w:rFonts w:asciiTheme="minorHAnsi" w:hAnsiTheme="minorHAnsi" w:cstheme="minorHAnsi"/>
          <w:sz w:val="24"/>
          <w:szCs w:val="24"/>
        </w:rPr>
        <w:t>:</w:t>
      </w:r>
    </w:p>
    <w:p w14:paraId="2D0C820B" w14:textId="77777777" w:rsidR="005C1BFC" w:rsidRPr="00B478D4" w:rsidRDefault="005C1BFC" w:rsidP="00783189">
      <w:pPr>
        <w:widowControl/>
        <w:autoSpaceDE/>
        <w:autoSpaceDN/>
        <w:adjustRightInd/>
        <w:rPr>
          <w:rFonts w:asciiTheme="minorHAnsi" w:hAnsiTheme="minorHAnsi" w:cstheme="minorHAnsi"/>
          <w:bCs/>
          <w:highlight w:val="yellow"/>
          <w:u w:val="single"/>
        </w:rPr>
      </w:pPr>
    </w:p>
    <w:p w14:paraId="53E5B736" w14:textId="475E0085" w:rsidR="00D97421" w:rsidRPr="0008602A" w:rsidRDefault="00D97421" w:rsidP="00783189">
      <w:pPr>
        <w:widowControl/>
        <w:autoSpaceDE/>
        <w:autoSpaceDN/>
        <w:adjustRightInd/>
        <w:rPr>
          <w:rFonts w:asciiTheme="minorHAnsi" w:hAnsiTheme="minorHAnsi" w:cstheme="minorHAnsi"/>
          <w:b/>
          <w:bCs/>
          <w:i/>
          <w:iCs/>
          <w:u w:val="single"/>
        </w:rPr>
      </w:pPr>
      <w:r w:rsidRPr="0008602A">
        <w:rPr>
          <w:rFonts w:asciiTheme="minorHAnsi" w:hAnsiTheme="minorHAnsi" w:cstheme="minorHAnsi"/>
          <w:b/>
          <w:bCs/>
          <w:i/>
          <w:iCs/>
          <w:u w:val="single"/>
        </w:rPr>
        <w:t xml:space="preserve">Closed </w:t>
      </w:r>
      <w:r w:rsidR="0061362E" w:rsidRPr="0008602A">
        <w:rPr>
          <w:rFonts w:asciiTheme="minorHAnsi" w:hAnsiTheme="minorHAnsi" w:cstheme="minorHAnsi"/>
          <w:b/>
          <w:bCs/>
          <w:i/>
          <w:iCs/>
          <w:u w:val="single"/>
        </w:rPr>
        <w:t>FY 202</w:t>
      </w:r>
      <w:r w:rsidR="007C35EE" w:rsidRPr="0008602A">
        <w:rPr>
          <w:rFonts w:asciiTheme="minorHAnsi" w:hAnsiTheme="minorHAnsi" w:cstheme="minorHAnsi"/>
          <w:b/>
          <w:bCs/>
          <w:i/>
          <w:iCs/>
          <w:u w:val="single"/>
        </w:rPr>
        <w:t>3</w:t>
      </w:r>
      <w:r w:rsidR="0061362E" w:rsidRPr="0008602A">
        <w:rPr>
          <w:rFonts w:asciiTheme="minorHAnsi" w:hAnsiTheme="minorHAnsi" w:cstheme="minorHAnsi"/>
          <w:b/>
          <w:bCs/>
          <w:i/>
          <w:iCs/>
          <w:u w:val="single"/>
        </w:rPr>
        <w:t xml:space="preserve"> </w:t>
      </w:r>
      <w:r w:rsidR="001B4133" w:rsidRPr="0008602A">
        <w:rPr>
          <w:rFonts w:asciiTheme="minorHAnsi" w:hAnsiTheme="minorHAnsi" w:cstheme="minorHAnsi"/>
          <w:b/>
          <w:bCs/>
          <w:i/>
          <w:iCs/>
          <w:u w:val="single"/>
        </w:rPr>
        <w:t>Observation</w:t>
      </w:r>
      <w:r w:rsidR="00675471" w:rsidRPr="0008602A">
        <w:rPr>
          <w:rFonts w:asciiTheme="minorHAnsi" w:hAnsiTheme="minorHAnsi" w:cstheme="minorHAnsi"/>
          <w:b/>
          <w:bCs/>
          <w:i/>
          <w:iCs/>
          <w:u w:val="single"/>
        </w:rPr>
        <w:t>s</w:t>
      </w:r>
    </w:p>
    <w:p w14:paraId="7AFC1F16" w14:textId="77777777" w:rsidR="007C35EE" w:rsidRPr="00B478D4" w:rsidRDefault="007C35EE" w:rsidP="00783189">
      <w:pPr>
        <w:widowControl/>
        <w:autoSpaceDE/>
        <w:autoSpaceDN/>
        <w:adjustRightInd/>
        <w:rPr>
          <w:rFonts w:asciiTheme="minorHAnsi" w:hAnsiTheme="minorHAnsi" w:cstheme="minorHAnsi"/>
          <w:b/>
          <w:bCs/>
        </w:rPr>
      </w:pPr>
    </w:p>
    <w:p w14:paraId="250B8523" w14:textId="44370428" w:rsidR="00A77D68" w:rsidRPr="00B478D4" w:rsidRDefault="001B4133" w:rsidP="00414FD7">
      <w:pPr>
        <w:widowControl/>
        <w:autoSpaceDE/>
        <w:autoSpaceDN/>
        <w:adjustRightInd/>
        <w:jc w:val="both"/>
        <w:rPr>
          <w:rFonts w:asciiTheme="minorHAnsi" w:hAnsiTheme="minorHAnsi" w:cstheme="minorHAnsi"/>
        </w:rPr>
      </w:pPr>
      <w:r>
        <w:rPr>
          <w:rFonts w:asciiTheme="minorHAnsi" w:hAnsiTheme="minorHAnsi" w:cstheme="minorHAnsi"/>
          <w:b/>
          <w:bCs/>
        </w:rPr>
        <w:t>Observation</w:t>
      </w:r>
      <w:r w:rsidR="0090108A" w:rsidRPr="00B478D4">
        <w:rPr>
          <w:rFonts w:asciiTheme="minorHAnsi" w:hAnsiTheme="minorHAnsi" w:cstheme="minorHAnsi"/>
          <w:b/>
          <w:bCs/>
        </w:rPr>
        <w:t xml:space="preserve"> FY 20</w:t>
      </w:r>
      <w:r w:rsidR="005A3A93" w:rsidRPr="00B478D4">
        <w:rPr>
          <w:rFonts w:asciiTheme="minorHAnsi" w:hAnsiTheme="minorHAnsi" w:cstheme="minorHAnsi"/>
          <w:b/>
          <w:bCs/>
        </w:rPr>
        <w:t>2</w:t>
      </w:r>
      <w:r w:rsidR="00B507D8" w:rsidRPr="00B478D4">
        <w:rPr>
          <w:rFonts w:asciiTheme="minorHAnsi" w:hAnsiTheme="minorHAnsi" w:cstheme="minorHAnsi"/>
          <w:b/>
          <w:bCs/>
        </w:rPr>
        <w:t>3</w:t>
      </w:r>
      <w:r w:rsidR="0090108A" w:rsidRPr="00B478D4">
        <w:rPr>
          <w:rFonts w:asciiTheme="minorHAnsi" w:hAnsiTheme="minorHAnsi" w:cstheme="minorHAnsi"/>
          <w:b/>
          <w:bCs/>
        </w:rPr>
        <w:t>-OB-0</w:t>
      </w:r>
      <w:r w:rsidR="00906FE7" w:rsidRPr="00B478D4">
        <w:rPr>
          <w:rFonts w:asciiTheme="minorHAnsi" w:hAnsiTheme="minorHAnsi" w:cstheme="minorHAnsi"/>
          <w:b/>
          <w:bCs/>
        </w:rPr>
        <w:t>5</w:t>
      </w:r>
      <w:r w:rsidR="0090108A" w:rsidRPr="00B478D4">
        <w:rPr>
          <w:rFonts w:asciiTheme="minorHAnsi" w:hAnsiTheme="minorHAnsi" w:cstheme="minorHAnsi"/>
          <w:b/>
          <w:bCs/>
        </w:rPr>
        <w:t>:</w:t>
      </w:r>
      <w:r w:rsidR="0090108A" w:rsidRPr="00B478D4">
        <w:rPr>
          <w:rFonts w:asciiTheme="minorHAnsi" w:hAnsiTheme="minorHAnsi" w:cstheme="minorHAnsi"/>
          <w:bCs/>
        </w:rPr>
        <w:t xml:space="preserve"> </w:t>
      </w:r>
      <w:r w:rsidR="00A77D68" w:rsidRPr="00B478D4">
        <w:rPr>
          <w:rFonts w:asciiTheme="minorHAnsi" w:hAnsiTheme="minorHAnsi" w:cstheme="minorHAnsi"/>
        </w:rPr>
        <w:t>In FY 2023, SC OSHA did not effectively assign targeting inspections in FY 2023.  For example, SC OSHA conducted only two programmed health inspections in private industry and one programmed inspection in the public sector.</w:t>
      </w:r>
    </w:p>
    <w:p w14:paraId="3D1946E0" w14:textId="32E739AB" w:rsidR="0090108A" w:rsidRPr="00B478D4" w:rsidRDefault="0090108A" w:rsidP="00414FD7">
      <w:pPr>
        <w:widowControl/>
        <w:autoSpaceDE/>
        <w:autoSpaceDN/>
        <w:adjustRightInd/>
        <w:jc w:val="both"/>
        <w:rPr>
          <w:rFonts w:asciiTheme="minorHAnsi" w:hAnsiTheme="minorHAnsi" w:cstheme="minorHAnsi"/>
          <w:bCs/>
        </w:rPr>
      </w:pPr>
      <w:r w:rsidRPr="00B478D4">
        <w:rPr>
          <w:rFonts w:asciiTheme="minorHAnsi" w:hAnsiTheme="minorHAnsi" w:cstheme="minorHAnsi"/>
          <w:b/>
          <w:bCs/>
        </w:rPr>
        <w:t>Status:</w:t>
      </w:r>
      <w:r w:rsidRPr="00B478D4">
        <w:rPr>
          <w:rFonts w:asciiTheme="minorHAnsi" w:hAnsiTheme="minorHAnsi" w:cstheme="minorHAnsi"/>
          <w:bCs/>
        </w:rPr>
        <w:t xml:space="preserve"> </w:t>
      </w:r>
      <w:r w:rsidR="00EA4B05" w:rsidRPr="00B478D4">
        <w:rPr>
          <w:rFonts w:asciiTheme="minorHAnsi" w:hAnsiTheme="minorHAnsi" w:cstheme="minorHAnsi"/>
          <w:bCs/>
        </w:rPr>
        <w:t>In FY 20</w:t>
      </w:r>
      <w:r w:rsidR="007C35EE" w:rsidRPr="00B478D4">
        <w:rPr>
          <w:rFonts w:asciiTheme="minorHAnsi" w:hAnsiTheme="minorHAnsi" w:cstheme="minorHAnsi"/>
          <w:bCs/>
        </w:rPr>
        <w:t>24</w:t>
      </w:r>
      <w:r w:rsidR="00EA4B05" w:rsidRPr="00B478D4">
        <w:rPr>
          <w:rFonts w:asciiTheme="minorHAnsi" w:hAnsiTheme="minorHAnsi" w:cstheme="minorHAnsi"/>
          <w:bCs/>
        </w:rPr>
        <w:t>, the State Plan</w:t>
      </w:r>
      <w:r w:rsidR="005263ED" w:rsidRPr="00B478D4">
        <w:rPr>
          <w:rFonts w:asciiTheme="minorHAnsi" w:hAnsiTheme="minorHAnsi" w:cstheme="minorHAnsi"/>
          <w:bCs/>
        </w:rPr>
        <w:t xml:space="preserve"> showed improvement by</w:t>
      </w:r>
      <w:r w:rsidR="00EA4B05" w:rsidRPr="00B478D4">
        <w:rPr>
          <w:rFonts w:asciiTheme="minorHAnsi" w:hAnsiTheme="minorHAnsi" w:cstheme="minorHAnsi"/>
          <w:bCs/>
        </w:rPr>
        <w:t xml:space="preserve"> </w:t>
      </w:r>
      <w:r w:rsidR="007C35EE" w:rsidRPr="00B478D4">
        <w:rPr>
          <w:rFonts w:asciiTheme="minorHAnsi" w:hAnsiTheme="minorHAnsi" w:cstheme="minorHAnsi"/>
          <w:bCs/>
        </w:rPr>
        <w:t>complet</w:t>
      </w:r>
      <w:r w:rsidR="005263ED" w:rsidRPr="00B478D4">
        <w:rPr>
          <w:rFonts w:asciiTheme="minorHAnsi" w:hAnsiTheme="minorHAnsi" w:cstheme="minorHAnsi"/>
          <w:bCs/>
        </w:rPr>
        <w:t>ing</w:t>
      </w:r>
      <w:r w:rsidR="007C35EE" w:rsidRPr="00B478D4">
        <w:rPr>
          <w:rFonts w:asciiTheme="minorHAnsi" w:hAnsiTheme="minorHAnsi" w:cstheme="minorHAnsi"/>
          <w:bCs/>
        </w:rPr>
        <w:t xml:space="preserve"> 121 programmed planned inspections, 12 of which were health</w:t>
      </w:r>
      <w:r w:rsidR="00087B24">
        <w:rPr>
          <w:rFonts w:asciiTheme="minorHAnsi" w:hAnsiTheme="minorHAnsi" w:cstheme="minorHAnsi"/>
          <w:bCs/>
        </w:rPr>
        <w:t>,</w:t>
      </w:r>
      <w:r w:rsidR="007C35EE" w:rsidRPr="00B478D4">
        <w:rPr>
          <w:rFonts w:asciiTheme="minorHAnsi" w:hAnsiTheme="minorHAnsi" w:cstheme="minorHAnsi"/>
          <w:bCs/>
        </w:rPr>
        <w:t xml:space="preserve"> compared to</w:t>
      </w:r>
      <w:r w:rsidR="005263ED" w:rsidRPr="00B478D4">
        <w:rPr>
          <w:rFonts w:asciiTheme="minorHAnsi" w:hAnsiTheme="minorHAnsi" w:cstheme="minorHAnsi"/>
          <w:bCs/>
        </w:rPr>
        <w:t xml:space="preserve"> a total of</w:t>
      </w:r>
      <w:r w:rsidR="007C35EE" w:rsidRPr="00B478D4">
        <w:rPr>
          <w:rFonts w:asciiTheme="minorHAnsi" w:hAnsiTheme="minorHAnsi" w:cstheme="minorHAnsi"/>
          <w:bCs/>
        </w:rPr>
        <w:t xml:space="preserve"> 57 in FY 2023 with two (2) coded as health</w:t>
      </w:r>
      <w:r w:rsidR="00EA4B05" w:rsidRPr="00B478D4">
        <w:rPr>
          <w:rFonts w:asciiTheme="minorHAnsi" w:hAnsiTheme="minorHAnsi" w:cstheme="minorHAnsi"/>
          <w:bCs/>
        </w:rPr>
        <w:t xml:space="preserve">. This </w:t>
      </w:r>
      <w:r w:rsidR="001B4133">
        <w:rPr>
          <w:rFonts w:asciiTheme="minorHAnsi" w:hAnsiTheme="minorHAnsi" w:cstheme="minorHAnsi"/>
          <w:bCs/>
        </w:rPr>
        <w:t>Observation</w:t>
      </w:r>
      <w:r w:rsidR="00EA4B05" w:rsidRPr="00B478D4">
        <w:rPr>
          <w:rFonts w:asciiTheme="minorHAnsi" w:hAnsiTheme="minorHAnsi" w:cstheme="minorHAnsi"/>
          <w:bCs/>
        </w:rPr>
        <w:t xml:space="preserve"> is closed.</w:t>
      </w:r>
    </w:p>
    <w:p w14:paraId="3962DC13" w14:textId="77777777" w:rsidR="0042591F" w:rsidRPr="00B478D4" w:rsidRDefault="0042591F" w:rsidP="00414FD7">
      <w:pPr>
        <w:widowControl/>
        <w:autoSpaceDE/>
        <w:autoSpaceDN/>
        <w:adjustRightInd/>
        <w:jc w:val="both"/>
        <w:rPr>
          <w:rFonts w:asciiTheme="minorHAnsi" w:hAnsiTheme="minorHAnsi" w:cstheme="minorHAnsi"/>
          <w:bCs/>
        </w:rPr>
      </w:pPr>
    </w:p>
    <w:p w14:paraId="73FD4910" w14:textId="724774BC" w:rsidR="0042591F" w:rsidRPr="00B478D4" w:rsidRDefault="001B4133" w:rsidP="00414FD7">
      <w:pPr>
        <w:widowControl/>
        <w:autoSpaceDE/>
        <w:autoSpaceDN/>
        <w:adjustRightInd/>
        <w:jc w:val="both"/>
        <w:rPr>
          <w:rFonts w:asciiTheme="minorHAnsi" w:hAnsiTheme="minorHAnsi" w:cstheme="minorHAnsi"/>
          <w:bCs/>
        </w:rPr>
      </w:pPr>
      <w:r>
        <w:rPr>
          <w:rFonts w:asciiTheme="minorHAnsi" w:hAnsiTheme="minorHAnsi" w:cstheme="minorHAnsi"/>
          <w:b/>
          <w:bCs/>
        </w:rPr>
        <w:t>Observation</w:t>
      </w:r>
      <w:r w:rsidR="0042591F" w:rsidRPr="00B478D4">
        <w:rPr>
          <w:rFonts w:asciiTheme="minorHAnsi" w:hAnsiTheme="minorHAnsi" w:cstheme="minorHAnsi"/>
          <w:b/>
          <w:bCs/>
        </w:rPr>
        <w:t xml:space="preserve"> FY 202</w:t>
      </w:r>
      <w:r w:rsidR="00906FE7" w:rsidRPr="00B478D4">
        <w:rPr>
          <w:rFonts w:asciiTheme="minorHAnsi" w:hAnsiTheme="minorHAnsi" w:cstheme="minorHAnsi"/>
          <w:b/>
          <w:bCs/>
        </w:rPr>
        <w:t>3</w:t>
      </w:r>
      <w:r w:rsidR="0042591F" w:rsidRPr="00B478D4">
        <w:rPr>
          <w:rFonts w:asciiTheme="minorHAnsi" w:hAnsiTheme="minorHAnsi" w:cstheme="minorHAnsi"/>
          <w:b/>
          <w:bCs/>
        </w:rPr>
        <w:t>-OB-09:</w:t>
      </w:r>
      <w:r w:rsidR="0042591F" w:rsidRPr="00B478D4">
        <w:rPr>
          <w:rFonts w:asciiTheme="minorHAnsi" w:hAnsiTheme="minorHAnsi" w:cstheme="minorHAnsi"/>
          <w:bCs/>
        </w:rPr>
        <w:t xml:space="preserve"> </w:t>
      </w:r>
      <w:bookmarkStart w:id="26" w:name="_Hlk190259481"/>
      <w:r w:rsidR="0042591F" w:rsidRPr="00B478D4">
        <w:rPr>
          <w:rFonts w:asciiTheme="minorHAnsi" w:hAnsiTheme="minorHAnsi" w:cstheme="minorHAnsi"/>
        </w:rPr>
        <w:t xml:space="preserve">SC OSHA </w:t>
      </w:r>
      <w:bookmarkEnd w:id="26"/>
      <w:r w:rsidR="0042591F" w:rsidRPr="00B478D4">
        <w:rPr>
          <w:rFonts w:asciiTheme="minorHAnsi" w:hAnsiTheme="minorHAnsi" w:cstheme="minorHAnsi"/>
        </w:rPr>
        <w:t>conducted 76 health inspections, which was 10.6% below their goal of 85.  The range of acceptable data not requiring further review is from 80.75 to 89.25 for health (SAMM 7b).</w:t>
      </w:r>
    </w:p>
    <w:p w14:paraId="1ED464F3" w14:textId="1A66E6C1" w:rsidR="0042591F" w:rsidRPr="00B478D4" w:rsidRDefault="0042591F" w:rsidP="00414FD7">
      <w:pPr>
        <w:widowControl/>
        <w:autoSpaceDE/>
        <w:autoSpaceDN/>
        <w:adjustRightInd/>
        <w:jc w:val="both"/>
        <w:rPr>
          <w:rFonts w:asciiTheme="minorHAnsi" w:hAnsiTheme="minorHAnsi" w:cstheme="minorHAnsi"/>
          <w:bCs/>
        </w:rPr>
      </w:pPr>
      <w:r w:rsidRPr="00B478D4">
        <w:rPr>
          <w:rFonts w:asciiTheme="minorHAnsi" w:hAnsiTheme="minorHAnsi" w:cstheme="minorHAnsi"/>
          <w:b/>
          <w:bCs/>
        </w:rPr>
        <w:t>Status:</w:t>
      </w:r>
      <w:r w:rsidRPr="00B478D4">
        <w:rPr>
          <w:rFonts w:asciiTheme="minorHAnsi" w:hAnsiTheme="minorHAnsi" w:cstheme="minorHAnsi"/>
          <w:bCs/>
        </w:rPr>
        <w:t xml:space="preserve"> In FY 2024, the State Plan </w:t>
      </w:r>
      <w:r w:rsidR="00630850" w:rsidRPr="00B478D4">
        <w:rPr>
          <w:rFonts w:asciiTheme="minorHAnsi" w:hAnsiTheme="minorHAnsi" w:cstheme="minorHAnsi"/>
        </w:rPr>
        <w:t xml:space="preserve">conducted 120 health inspections, which was 141% above their goal of 85.  The range of acceptable data not requiring further review is from 81 to 89 for health (SAMM 7b).  </w:t>
      </w:r>
      <w:r w:rsidRPr="00B478D4">
        <w:rPr>
          <w:rFonts w:asciiTheme="minorHAnsi" w:hAnsiTheme="minorHAnsi" w:cstheme="minorHAnsi"/>
          <w:bCs/>
        </w:rPr>
        <w:t xml:space="preserve">This </w:t>
      </w:r>
      <w:r w:rsidR="001B4133">
        <w:rPr>
          <w:rFonts w:asciiTheme="minorHAnsi" w:hAnsiTheme="minorHAnsi" w:cstheme="minorHAnsi"/>
          <w:bCs/>
        </w:rPr>
        <w:t>Observation</w:t>
      </w:r>
      <w:r w:rsidRPr="00B478D4">
        <w:rPr>
          <w:rFonts w:asciiTheme="minorHAnsi" w:hAnsiTheme="minorHAnsi" w:cstheme="minorHAnsi"/>
          <w:bCs/>
        </w:rPr>
        <w:t xml:space="preserve"> is closed.</w:t>
      </w:r>
    </w:p>
    <w:p w14:paraId="0F4E71ED" w14:textId="77777777" w:rsidR="00B507D8" w:rsidRPr="00B478D4" w:rsidRDefault="00B507D8" w:rsidP="00414FD7">
      <w:pPr>
        <w:widowControl/>
        <w:autoSpaceDE/>
        <w:autoSpaceDN/>
        <w:adjustRightInd/>
        <w:jc w:val="both"/>
        <w:rPr>
          <w:rFonts w:asciiTheme="minorHAnsi" w:hAnsiTheme="minorHAnsi" w:cstheme="minorHAnsi"/>
          <w:bCs/>
        </w:rPr>
      </w:pPr>
    </w:p>
    <w:p w14:paraId="60DD2CAF" w14:textId="72A8B4B5" w:rsidR="00B507D8" w:rsidRPr="00D42966" w:rsidRDefault="001B4133" w:rsidP="00B478D4">
      <w:pPr>
        <w:widowControl/>
        <w:autoSpaceDE/>
        <w:autoSpaceDN/>
        <w:adjustRightInd/>
        <w:jc w:val="both"/>
        <w:rPr>
          <w:rFonts w:asciiTheme="minorHAnsi" w:hAnsiTheme="minorHAnsi" w:cstheme="minorHAnsi"/>
          <w:bCs/>
        </w:rPr>
      </w:pPr>
      <w:r>
        <w:rPr>
          <w:rFonts w:asciiTheme="minorHAnsi" w:hAnsiTheme="minorHAnsi" w:cstheme="minorHAnsi"/>
          <w:b/>
          <w:bCs/>
        </w:rPr>
        <w:t>Observation</w:t>
      </w:r>
      <w:r w:rsidR="00906FE7" w:rsidRPr="00D42966">
        <w:rPr>
          <w:rFonts w:asciiTheme="minorHAnsi" w:hAnsiTheme="minorHAnsi" w:cstheme="minorHAnsi"/>
          <w:b/>
          <w:bCs/>
        </w:rPr>
        <w:t xml:space="preserve"> FY 2023-OB-10:</w:t>
      </w:r>
      <w:r w:rsidR="00906FE7" w:rsidRPr="00D42966">
        <w:rPr>
          <w:rFonts w:asciiTheme="minorHAnsi" w:hAnsiTheme="minorHAnsi" w:cstheme="minorHAnsi"/>
        </w:rPr>
        <w:t xml:space="preserve"> There was no evidence in the retaliation case files reviewed that SC OSHA was advising complainants of their right to dually file with OSHA.</w:t>
      </w:r>
    </w:p>
    <w:p w14:paraId="3A58AF8B" w14:textId="18EE88BB" w:rsidR="00BA34AC" w:rsidRDefault="00906FE7" w:rsidP="00BA34AC">
      <w:pPr>
        <w:jc w:val="both"/>
      </w:pPr>
      <w:r w:rsidRPr="00D42966">
        <w:rPr>
          <w:rFonts w:asciiTheme="minorHAnsi" w:hAnsiTheme="minorHAnsi" w:cstheme="minorHAnsi"/>
          <w:b/>
          <w:bCs/>
        </w:rPr>
        <w:t>Status:</w:t>
      </w:r>
      <w:r w:rsidR="00B478D4" w:rsidRPr="00D42966">
        <w:rPr>
          <w:rFonts w:asciiTheme="minorHAnsi" w:hAnsiTheme="minorHAnsi" w:cstheme="minorHAnsi"/>
        </w:rPr>
        <w:t xml:space="preserve"> </w:t>
      </w:r>
      <w:r w:rsidR="00BA34AC">
        <w:t>SC OSHA has updated its policy to allow for dual filing, enabling both digital and paper complaints to be processed simultaneously. A brief explanation of this capability will be included on the website. Additionally, SC OSHA confirmed the process for dual filing with Regional OSHA’s Whistleblower Program.</w:t>
      </w:r>
      <w:r w:rsidR="00D1424F">
        <w:t xml:space="preserve"> This Observation is closed.</w:t>
      </w:r>
    </w:p>
    <w:p w14:paraId="652FA7F4" w14:textId="77777777" w:rsidR="00BA34AC" w:rsidRDefault="00BA34AC" w:rsidP="00BA34AC">
      <w:pPr>
        <w:jc w:val="both"/>
      </w:pPr>
    </w:p>
    <w:p w14:paraId="370CCAAD" w14:textId="49A8A0DA" w:rsidR="00602EF3" w:rsidRPr="0008602A" w:rsidRDefault="004E505A" w:rsidP="00BA34AC">
      <w:pPr>
        <w:jc w:val="both"/>
        <w:rPr>
          <w:rFonts w:asciiTheme="minorHAnsi" w:hAnsiTheme="minorHAnsi" w:cstheme="minorHAnsi"/>
          <w:b/>
          <w:i/>
          <w:iCs/>
          <w:u w:val="single"/>
        </w:rPr>
      </w:pPr>
      <w:r w:rsidRPr="0008602A">
        <w:rPr>
          <w:rFonts w:asciiTheme="minorHAnsi" w:hAnsiTheme="minorHAnsi" w:cstheme="minorHAnsi"/>
          <w:b/>
          <w:i/>
          <w:iCs/>
          <w:u w:val="single"/>
        </w:rPr>
        <w:t xml:space="preserve">Continued </w:t>
      </w:r>
      <w:r w:rsidR="00054416" w:rsidRPr="0008602A">
        <w:rPr>
          <w:rFonts w:asciiTheme="minorHAnsi" w:hAnsiTheme="minorHAnsi" w:cstheme="minorHAnsi"/>
          <w:b/>
          <w:i/>
          <w:iCs/>
          <w:u w:val="single"/>
        </w:rPr>
        <w:t xml:space="preserve">FY </w:t>
      </w:r>
      <w:r w:rsidR="007C0A36" w:rsidRPr="0008602A">
        <w:rPr>
          <w:rFonts w:asciiTheme="minorHAnsi" w:hAnsiTheme="minorHAnsi" w:cstheme="minorHAnsi"/>
          <w:b/>
          <w:i/>
          <w:iCs/>
          <w:u w:val="single"/>
        </w:rPr>
        <w:t>20</w:t>
      </w:r>
      <w:r w:rsidR="00C12FB5" w:rsidRPr="0008602A">
        <w:rPr>
          <w:rFonts w:asciiTheme="minorHAnsi" w:hAnsiTheme="minorHAnsi" w:cstheme="minorHAnsi"/>
          <w:b/>
          <w:i/>
          <w:iCs/>
          <w:u w:val="single"/>
        </w:rPr>
        <w:t>24</w:t>
      </w:r>
      <w:r w:rsidR="007C0A36" w:rsidRPr="0008602A">
        <w:rPr>
          <w:rFonts w:asciiTheme="minorHAnsi" w:hAnsiTheme="minorHAnsi" w:cstheme="minorHAnsi"/>
          <w:b/>
          <w:i/>
          <w:iCs/>
          <w:u w:val="single"/>
        </w:rPr>
        <w:t xml:space="preserve"> </w:t>
      </w:r>
      <w:r w:rsidR="001B4133" w:rsidRPr="0008602A">
        <w:rPr>
          <w:rFonts w:asciiTheme="minorHAnsi" w:hAnsiTheme="minorHAnsi" w:cstheme="minorHAnsi"/>
          <w:b/>
          <w:i/>
          <w:iCs/>
          <w:u w:val="single"/>
        </w:rPr>
        <w:t>Observation</w:t>
      </w:r>
      <w:r w:rsidR="00C12FB5" w:rsidRPr="0008602A">
        <w:rPr>
          <w:rFonts w:asciiTheme="minorHAnsi" w:hAnsiTheme="minorHAnsi" w:cstheme="minorHAnsi"/>
          <w:b/>
          <w:i/>
          <w:iCs/>
          <w:u w:val="single"/>
        </w:rPr>
        <w:t>s</w:t>
      </w:r>
    </w:p>
    <w:p w14:paraId="00C81835" w14:textId="77777777" w:rsidR="00602EF3" w:rsidRPr="00B478D4" w:rsidRDefault="00602EF3" w:rsidP="00783189">
      <w:pPr>
        <w:widowControl/>
        <w:autoSpaceDE/>
        <w:autoSpaceDN/>
        <w:adjustRightInd/>
        <w:rPr>
          <w:rFonts w:asciiTheme="minorHAnsi" w:hAnsiTheme="minorHAnsi" w:cstheme="minorHAnsi"/>
          <w:b/>
          <w:bCs/>
          <w:highlight w:val="yellow"/>
        </w:rPr>
      </w:pPr>
    </w:p>
    <w:p w14:paraId="4A5B0257" w14:textId="23D0B2B5" w:rsidR="0026686B" w:rsidRPr="00B478D4" w:rsidRDefault="001B4133" w:rsidP="00F17A16">
      <w:pPr>
        <w:widowControl/>
        <w:autoSpaceDE/>
        <w:autoSpaceDN/>
        <w:adjustRightInd/>
        <w:jc w:val="both"/>
        <w:rPr>
          <w:rFonts w:asciiTheme="minorHAnsi" w:hAnsiTheme="minorHAnsi" w:cstheme="minorHAnsi"/>
        </w:rPr>
      </w:pPr>
      <w:r>
        <w:rPr>
          <w:rFonts w:asciiTheme="minorHAnsi" w:hAnsiTheme="minorHAnsi" w:cstheme="minorHAnsi"/>
          <w:b/>
        </w:rPr>
        <w:t>Observation</w:t>
      </w:r>
      <w:r w:rsidR="00EA4B05" w:rsidRPr="00B478D4">
        <w:rPr>
          <w:rFonts w:asciiTheme="minorHAnsi" w:hAnsiTheme="minorHAnsi" w:cstheme="minorHAnsi"/>
          <w:b/>
        </w:rPr>
        <w:t xml:space="preserve"> </w:t>
      </w:r>
      <w:r w:rsidR="0026686B" w:rsidRPr="00B478D4">
        <w:rPr>
          <w:rFonts w:asciiTheme="minorHAnsi" w:hAnsiTheme="minorHAnsi" w:cstheme="minorHAnsi"/>
          <w:b/>
          <w:iCs/>
        </w:rPr>
        <w:t>FY 2024-OB-0</w:t>
      </w:r>
      <w:r w:rsidR="00151F3B" w:rsidRPr="00B478D4">
        <w:rPr>
          <w:rFonts w:asciiTheme="minorHAnsi" w:hAnsiTheme="minorHAnsi" w:cstheme="minorHAnsi"/>
          <w:b/>
          <w:iCs/>
        </w:rPr>
        <w:t xml:space="preserve">2 </w:t>
      </w:r>
      <w:r w:rsidR="00151F3B" w:rsidRPr="00B478D4">
        <w:rPr>
          <w:rFonts w:asciiTheme="minorHAnsi" w:hAnsiTheme="minorHAnsi" w:cstheme="minorHAnsi"/>
          <w:b/>
        </w:rPr>
        <w:t xml:space="preserve">(previous </w:t>
      </w:r>
      <w:r>
        <w:rPr>
          <w:rFonts w:asciiTheme="minorHAnsi" w:hAnsiTheme="minorHAnsi" w:cstheme="minorHAnsi"/>
          <w:b/>
        </w:rPr>
        <w:t>Observation</w:t>
      </w:r>
      <w:r w:rsidR="00151F3B" w:rsidRPr="00B478D4">
        <w:rPr>
          <w:rFonts w:asciiTheme="minorHAnsi" w:hAnsiTheme="minorHAnsi" w:cstheme="minorHAnsi"/>
          <w:b/>
        </w:rPr>
        <w:t xml:space="preserve"> FY 2023-OB-01)</w:t>
      </w:r>
      <w:r w:rsidR="0026686B" w:rsidRPr="00B478D4">
        <w:rPr>
          <w:rFonts w:asciiTheme="minorHAnsi" w:hAnsiTheme="minorHAnsi" w:cstheme="minorHAnsi"/>
          <w:b/>
          <w:iCs/>
        </w:rPr>
        <w:t>:</w:t>
      </w:r>
      <w:r w:rsidR="00675471" w:rsidRPr="00B478D4">
        <w:rPr>
          <w:rFonts w:asciiTheme="minorHAnsi" w:hAnsiTheme="minorHAnsi" w:cstheme="minorHAnsi"/>
          <w:iCs/>
        </w:rPr>
        <w:t xml:space="preserve"> </w:t>
      </w:r>
      <w:r w:rsidR="0026686B" w:rsidRPr="00B478D4">
        <w:rPr>
          <w:rFonts w:asciiTheme="minorHAnsi" w:hAnsiTheme="minorHAnsi" w:cstheme="minorHAnsi"/>
        </w:rPr>
        <w:t xml:space="preserve">SC OSHA did not validate and process at least three (3) of 17 complaints </w:t>
      </w:r>
      <w:r w:rsidR="003276DD">
        <w:rPr>
          <w:rFonts w:asciiTheme="minorHAnsi" w:hAnsiTheme="minorHAnsi" w:cstheme="minorHAnsi"/>
        </w:rPr>
        <w:t xml:space="preserve">(18%) </w:t>
      </w:r>
      <w:r w:rsidR="0026686B" w:rsidRPr="00B478D4">
        <w:rPr>
          <w:rFonts w:asciiTheme="minorHAnsi" w:hAnsiTheme="minorHAnsi" w:cstheme="minorHAnsi"/>
        </w:rPr>
        <w:t>from former employees and other complainants alleging serious hazards. SC OSHA should adhere to the informal complaint processing procedures and requirements and develop a strategy to ensure that all complaints alleging serious hazards are addressed.</w:t>
      </w:r>
    </w:p>
    <w:p w14:paraId="41EACD85" w14:textId="344F1152" w:rsidR="00EA4B05" w:rsidRPr="00B478D4" w:rsidRDefault="00EA4B05" w:rsidP="00F17A16">
      <w:pPr>
        <w:widowControl/>
        <w:autoSpaceDE/>
        <w:autoSpaceDN/>
        <w:adjustRightInd/>
        <w:jc w:val="both"/>
        <w:rPr>
          <w:rFonts w:asciiTheme="minorHAnsi" w:hAnsiTheme="minorHAnsi" w:cstheme="minorHAnsi"/>
        </w:rPr>
      </w:pPr>
      <w:r w:rsidRPr="00B478D4">
        <w:rPr>
          <w:rFonts w:asciiTheme="minorHAnsi" w:hAnsiTheme="minorHAnsi" w:cstheme="minorHAnsi"/>
          <w:b/>
        </w:rPr>
        <w:t xml:space="preserve">Status: </w:t>
      </w:r>
      <w:r w:rsidRPr="00B478D4">
        <w:rPr>
          <w:rFonts w:asciiTheme="minorHAnsi" w:hAnsiTheme="minorHAnsi" w:cstheme="minorHAnsi"/>
        </w:rPr>
        <w:t xml:space="preserve">A case file review is necessary to gather the facts needed to evaluate performance in relation to this </w:t>
      </w:r>
      <w:r w:rsidR="001B4133">
        <w:rPr>
          <w:rFonts w:asciiTheme="minorHAnsi" w:hAnsiTheme="minorHAnsi" w:cstheme="minorHAnsi"/>
        </w:rPr>
        <w:t>Observation</w:t>
      </w:r>
      <w:r w:rsidRPr="00B478D4">
        <w:rPr>
          <w:rFonts w:asciiTheme="minorHAnsi" w:hAnsiTheme="minorHAnsi" w:cstheme="minorHAnsi"/>
        </w:rPr>
        <w:t xml:space="preserve">. </w:t>
      </w:r>
      <w:r w:rsidR="007A4FC9">
        <w:rPr>
          <w:rFonts w:asciiTheme="minorHAnsi" w:hAnsiTheme="minorHAnsi" w:cstheme="minorHAnsi"/>
        </w:rPr>
        <w:t xml:space="preserve">SC OSHA has implemented a new worksheet to address </w:t>
      </w:r>
      <w:r w:rsidR="00BE156D">
        <w:rPr>
          <w:rFonts w:asciiTheme="minorHAnsi" w:hAnsiTheme="minorHAnsi" w:cstheme="minorHAnsi"/>
        </w:rPr>
        <w:t>processing procedures</w:t>
      </w:r>
      <w:r w:rsidR="004E5A56">
        <w:rPr>
          <w:rFonts w:asciiTheme="minorHAnsi" w:hAnsiTheme="minorHAnsi" w:cstheme="minorHAnsi"/>
        </w:rPr>
        <w:t xml:space="preserve"> for Serious and Other than Serious complaints</w:t>
      </w:r>
      <w:r w:rsidR="00BE156D">
        <w:rPr>
          <w:rFonts w:asciiTheme="minorHAnsi" w:hAnsiTheme="minorHAnsi" w:cstheme="minorHAnsi"/>
        </w:rPr>
        <w:t xml:space="preserve">.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a focus of next year’s on</w:t>
      </w:r>
      <w:r w:rsidR="00976E27" w:rsidRPr="00B478D4">
        <w:rPr>
          <w:rFonts w:asciiTheme="minorHAnsi" w:hAnsiTheme="minorHAnsi" w:cstheme="minorHAnsi"/>
        </w:rPr>
        <w:t>-</w:t>
      </w:r>
      <w:r w:rsidRPr="00B478D4">
        <w:rPr>
          <w:rFonts w:asciiTheme="minorHAnsi" w:hAnsiTheme="minorHAnsi" w:cstheme="minorHAnsi"/>
        </w:rPr>
        <w:t>site case file review during the FY 20</w:t>
      </w:r>
      <w:r w:rsidR="00784129" w:rsidRPr="00B478D4">
        <w:rPr>
          <w:rFonts w:asciiTheme="minorHAnsi" w:hAnsiTheme="minorHAnsi" w:cstheme="minorHAnsi"/>
        </w:rPr>
        <w:t>25</w:t>
      </w:r>
      <w:r w:rsidRPr="00B478D4">
        <w:rPr>
          <w:rFonts w:asciiTheme="minorHAnsi" w:hAnsiTheme="minorHAnsi" w:cstheme="minorHAnsi"/>
        </w:rPr>
        <w:t xml:space="preserve"> </w:t>
      </w:r>
      <w:r w:rsidR="00D41B13" w:rsidRPr="00B478D4">
        <w:rPr>
          <w:rFonts w:asciiTheme="minorHAnsi" w:hAnsiTheme="minorHAnsi" w:cstheme="minorHAnsi"/>
        </w:rPr>
        <w:t>c</w:t>
      </w:r>
      <w:r w:rsidRPr="00B478D4">
        <w:rPr>
          <w:rFonts w:asciiTheme="minorHAnsi" w:hAnsiTheme="minorHAnsi" w:cstheme="minorHAnsi"/>
        </w:rPr>
        <w:t>omprehensive FAME</w:t>
      </w:r>
      <w:r w:rsidR="00EF5378" w:rsidRPr="00B478D4">
        <w:rPr>
          <w:rFonts w:asciiTheme="minorHAnsi" w:hAnsiTheme="minorHAnsi" w:cstheme="minorHAnsi"/>
        </w:rPr>
        <w:t>.</w:t>
      </w:r>
      <w:r w:rsidRPr="00B478D4">
        <w:rPr>
          <w:rFonts w:asciiTheme="minorHAnsi" w:hAnsiTheme="minorHAnsi" w:cstheme="minorHAnsi"/>
          <w:b/>
        </w:rPr>
        <w:t xml:space="preserve">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continued.</w:t>
      </w:r>
    </w:p>
    <w:p w14:paraId="5E6A6A73" w14:textId="77777777" w:rsidR="0026686B" w:rsidRPr="00B478D4" w:rsidRDefault="0026686B" w:rsidP="00783189">
      <w:pPr>
        <w:widowControl/>
        <w:autoSpaceDE/>
        <w:autoSpaceDN/>
        <w:adjustRightInd/>
        <w:rPr>
          <w:rFonts w:asciiTheme="minorHAnsi" w:hAnsiTheme="minorHAnsi" w:cstheme="minorHAnsi"/>
        </w:rPr>
      </w:pPr>
    </w:p>
    <w:p w14:paraId="740C7553" w14:textId="5858355A" w:rsidR="0026686B" w:rsidRPr="00B478D4" w:rsidRDefault="001B4133" w:rsidP="002E69A9">
      <w:pPr>
        <w:widowControl/>
        <w:autoSpaceDE/>
        <w:autoSpaceDN/>
        <w:adjustRightInd/>
        <w:jc w:val="both"/>
        <w:rPr>
          <w:rFonts w:asciiTheme="minorHAnsi" w:hAnsiTheme="minorHAnsi" w:cstheme="minorHAnsi"/>
          <w:iCs/>
        </w:rPr>
      </w:pPr>
      <w:bookmarkStart w:id="27" w:name="_Hlk188959729"/>
      <w:bookmarkStart w:id="28" w:name="_Hlk188960475"/>
      <w:r>
        <w:rPr>
          <w:rFonts w:asciiTheme="minorHAnsi" w:hAnsiTheme="minorHAnsi" w:cstheme="minorHAnsi"/>
          <w:b/>
        </w:rPr>
        <w:t>Observation</w:t>
      </w:r>
      <w:r w:rsidR="0026686B" w:rsidRPr="00B478D4">
        <w:rPr>
          <w:rFonts w:asciiTheme="minorHAnsi" w:hAnsiTheme="minorHAnsi" w:cstheme="minorHAnsi"/>
          <w:b/>
          <w:iCs/>
        </w:rPr>
        <w:t xml:space="preserve"> FY 2024-OB-0</w:t>
      </w:r>
      <w:r w:rsidR="00151F3B" w:rsidRPr="00B478D4">
        <w:rPr>
          <w:rFonts w:asciiTheme="minorHAnsi" w:hAnsiTheme="minorHAnsi" w:cstheme="minorHAnsi"/>
          <w:b/>
          <w:iCs/>
        </w:rPr>
        <w:t>3</w:t>
      </w:r>
      <w:r w:rsidR="00151F3B" w:rsidRPr="00B478D4">
        <w:rPr>
          <w:rFonts w:asciiTheme="minorHAnsi" w:hAnsiTheme="minorHAnsi" w:cstheme="minorHAnsi"/>
          <w:iCs/>
        </w:rPr>
        <w:t xml:space="preserve"> </w:t>
      </w:r>
      <w:r w:rsidR="00151F3B" w:rsidRPr="00B478D4">
        <w:rPr>
          <w:rFonts w:asciiTheme="minorHAnsi" w:hAnsiTheme="minorHAnsi" w:cstheme="minorHAnsi"/>
          <w:b/>
          <w:bCs/>
        </w:rPr>
        <w:t xml:space="preserve">(previous </w:t>
      </w:r>
      <w:r>
        <w:rPr>
          <w:rFonts w:asciiTheme="minorHAnsi" w:hAnsiTheme="minorHAnsi" w:cstheme="minorHAnsi"/>
          <w:b/>
          <w:bCs/>
        </w:rPr>
        <w:t>Observation</w:t>
      </w:r>
      <w:r w:rsidR="00151F3B" w:rsidRPr="00B478D4">
        <w:rPr>
          <w:rFonts w:asciiTheme="minorHAnsi" w:hAnsiTheme="minorHAnsi" w:cstheme="minorHAnsi"/>
          <w:b/>
          <w:bCs/>
        </w:rPr>
        <w:t xml:space="preserve"> FY 2023-OB-02)</w:t>
      </w:r>
      <w:r w:rsidR="00151F3B" w:rsidRPr="00B478D4">
        <w:rPr>
          <w:rFonts w:asciiTheme="minorHAnsi" w:hAnsiTheme="minorHAnsi" w:cstheme="minorHAnsi"/>
          <w:iCs/>
        </w:rPr>
        <w:t>:</w:t>
      </w:r>
      <w:bookmarkEnd w:id="27"/>
      <w:r w:rsidR="0026686B" w:rsidRPr="00B478D4">
        <w:rPr>
          <w:rFonts w:asciiTheme="minorHAnsi" w:hAnsiTheme="minorHAnsi" w:cstheme="minorHAnsi"/>
          <w:iCs/>
        </w:rPr>
        <w:t xml:space="preserve"> </w:t>
      </w:r>
      <w:bookmarkEnd w:id="28"/>
      <w:r w:rsidR="0026686B" w:rsidRPr="00B478D4">
        <w:rPr>
          <w:rFonts w:asciiTheme="minorHAnsi" w:hAnsiTheme="minorHAnsi" w:cstheme="minorHAnsi"/>
        </w:rPr>
        <w:t xml:space="preserve">In three (3) of 17 </w:t>
      </w:r>
      <w:r w:rsidR="003276DD">
        <w:rPr>
          <w:rFonts w:asciiTheme="minorHAnsi" w:hAnsiTheme="minorHAnsi" w:cstheme="minorHAnsi"/>
        </w:rPr>
        <w:t xml:space="preserve">(18%) </w:t>
      </w:r>
      <w:r w:rsidR="0026686B" w:rsidRPr="00B478D4">
        <w:rPr>
          <w:rFonts w:asciiTheme="minorHAnsi" w:hAnsiTheme="minorHAnsi" w:cstheme="minorHAnsi"/>
        </w:rPr>
        <w:t>informal (phone/fax) complaints reviewed complaint items were not adequately addressed prior to closing the case files. The complaint allegations not addressed were in relation to potential health hazards.</w:t>
      </w:r>
      <w:r w:rsidR="0026686B" w:rsidRPr="00B478D4">
        <w:rPr>
          <w:rFonts w:asciiTheme="minorHAnsi" w:hAnsiTheme="minorHAnsi" w:cstheme="minorHAnsi"/>
          <w:b/>
          <w:bCs/>
        </w:rPr>
        <w:t xml:space="preserve">  </w:t>
      </w:r>
    </w:p>
    <w:p w14:paraId="795E38D7" w14:textId="4B03B13C" w:rsidR="0026686B" w:rsidRPr="00B478D4" w:rsidRDefault="0026686B" w:rsidP="002E69A9">
      <w:pPr>
        <w:widowControl/>
        <w:autoSpaceDE/>
        <w:autoSpaceDN/>
        <w:adjustRightInd/>
        <w:jc w:val="both"/>
        <w:rPr>
          <w:rFonts w:asciiTheme="minorHAnsi" w:hAnsiTheme="minorHAnsi" w:cstheme="minorHAnsi"/>
        </w:rPr>
      </w:pPr>
      <w:r w:rsidRPr="00B478D4">
        <w:rPr>
          <w:rFonts w:asciiTheme="minorHAnsi" w:hAnsiTheme="minorHAnsi" w:cstheme="minorHAnsi"/>
          <w:b/>
        </w:rPr>
        <w:t xml:space="preserve">Status: </w:t>
      </w:r>
      <w:r w:rsidRPr="00B478D4">
        <w:rPr>
          <w:rFonts w:asciiTheme="minorHAnsi" w:hAnsiTheme="minorHAnsi" w:cstheme="minorHAnsi"/>
        </w:rPr>
        <w:t xml:space="preserve">A case file review is necessary to gather the facts needed to evaluate performance in relation to this </w:t>
      </w:r>
      <w:r w:rsidR="001B4133">
        <w:rPr>
          <w:rFonts w:asciiTheme="minorHAnsi" w:hAnsiTheme="minorHAnsi" w:cstheme="minorHAnsi"/>
        </w:rPr>
        <w:t>Observation</w:t>
      </w:r>
      <w:r w:rsidRPr="00B478D4">
        <w:rPr>
          <w:rFonts w:asciiTheme="minorHAnsi" w:hAnsiTheme="minorHAnsi" w:cstheme="minorHAnsi"/>
        </w:rPr>
        <w:t xml:space="preserve">. </w:t>
      </w:r>
      <w:r w:rsidR="004E5A56">
        <w:rPr>
          <w:rFonts w:asciiTheme="minorHAnsi" w:hAnsiTheme="minorHAnsi" w:cstheme="minorHAnsi"/>
        </w:rPr>
        <w:t xml:space="preserve">SC OSHA has conducted re-training on </w:t>
      </w:r>
      <w:r w:rsidR="00D359A1">
        <w:rPr>
          <w:rFonts w:asciiTheme="minorHAnsi" w:hAnsiTheme="minorHAnsi" w:cstheme="minorHAnsi"/>
        </w:rPr>
        <w:t xml:space="preserve">abatement documentation requirements.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a focus of next year’s on-site case file review during the FY 20</w:t>
      </w:r>
      <w:r w:rsidR="00784129" w:rsidRPr="00B478D4">
        <w:rPr>
          <w:rFonts w:asciiTheme="minorHAnsi" w:hAnsiTheme="minorHAnsi" w:cstheme="minorHAnsi"/>
        </w:rPr>
        <w:t>25</w:t>
      </w:r>
      <w:r w:rsidRPr="00B478D4">
        <w:rPr>
          <w:rFonts w:asciiTheme="minorHAnsi" w:hAnsiTheme="minorHAnsi" w:cstheme="minorHAnsi"/>
        </w:rPr>
        <w:t xml:space="preserve"> comprehensive FAME.</w:t>
      </w:r>
      <w:r w:rsidRPr="00B478D4">
        <w:rPr>
          <w:rFonts w:asciiTheme="minorHAnsi" w:hAnsiTheme="minorHAnsi" w:cstheme="minorHAnsi"/>
          <w:b/>
        </w:rPr>
        <w:t xml:space="preserve">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continued.</w:t>
      </w:r>
    </w:p>
    <w:p w14:paraId="382F89D5" w14:textId="77777777" w:rsidR="0026686B" w:rsidRPr="00B478D4" w:rsidRDefault="0026686B" w:rsidP="00783189">
      <w:pPr>
        <w:widowControl/>
        <w:autoSpaceDE/>
        <w:autoSpaceDN/>
        <w:adjustRightInd/>
        <w:rPr>
          <w:rFonts w:asciiTheme="minorHAnsi" w:hAnsiTheme="minorHAnsi" w:cstheme="minorHAnsi"/>
          <w:b/>
        </w:rPr>
      </w:pPr>
    </w:p>
    <w:p w14:paraId="26D57348" w14:textId="7EEA53DB" w:rsidR="0026686B" w:rsidRPr="00B478D4" w:rsidRDefault="001B4133" w:rsidP="00236320">
      <w:pPr>
        <w:widowControl/>
        <w:autoSpaceDE/>
        <w:autoSpaceDN/>
        <w:adjustRightInd/>
        <w:jc w:val="both"/>
        <w:rPr>
          <w:rFonts w:asciiTheme="minorHAnsi" w:hAnsiTheme="minorHAnsi" w:cstheme="minorHAnsi"/>
          <w:iCs/>
        </w:rPr>
      </w:pPr>
      <w:bookmarkStart w:id="29" w:name="_Hlk188960640"/>
      <w:r>
        <w:rPr>
          <w:rFonts w:asciiTheme="minorHAnsi" w:hAnsiTheme="minorHAnsi" w:cstheme="minorHAnsi"/>
          <w:b/>
        </w:rPr>
        <w:t>Observation</w:t>
      </w:r>
      <w:r w:rsidR="00151F3B" w:rsidRPr="00B478D4">
        <w:rPr>
          <w:rFonts w:asciiTheme="minorHAnsi" w:hAnsiTheme="minorHAnsi" w:cstheme="minorHAnsi"/>
          <w:b/>
          <w:iCs/>
        </w:rPr>
        <w:t xml:space="preserve"> FY 2024-OB-0</w:t>
      </w:r>
      <w:r w:rsidR="00160815" w:rsidRPr="00B478D4">
        <w:rPr>
          <w:rFonts w:asciiTheme="minorHAnsi" w:hAnsiTheme="minorHAnsi" w:cstheme="minorHAnsi"/>
          <w:b/>
          <w:iCs/>
        </w:rPr>
        <w:t>4</w:t>
      </w:r>
      <w:r w:rsidR="00151F3B" w:rsidRPr="00B478D4">
        <w:rPr>
          <w:rFonts w:asciiTheme="minorHAnsi" w:hAnsiTheme="minorHAnsi" w:cstheme="minorHAnsi"/>
          <w:iCs/>
        </w:rPr>
        <w:t xml:space="preserve"> </w:t>
      </w:r>
      <w:r w:rsidR="00151F3B" w:rsidRPr="00B478D4">
        <w:rPr>
          <w:rFonts w:asciiTheme="minorHAnsi" w:hAnsiTheme="minorHAnsi" w:cstheme="minorHAnsi"/>
          <w:b/>
          <w:bCs/>
        </w:rPr>
        <w:t xml:space="preserve">(previous </w:t>
      </w:r>
      <w:r>
        <w:rPr>
          <w:rFonts w:asciiTheme="minorHAnsi" w:hAnsiTheme="minorHAnsi" w:cstheme="minorHAnsi"/>
          <w:b/>
          <w:bCs/>
        </w:rPr>
        <w:t>Observation</w:t>
      </w:r>
      <w:r w:rsidR="00151F3B" w:rsidRPr="00B478D4">
        <w:rPr>
          <w:rFonts w:asciiTheme="minorHAnsi" w:hAnsiTheme="minorHAnsi" w:cstheme="minorHAnsi"/>
          <w:b/>
          <w:bCs/>
        </w:rPr>
        <w:t xml:space="preserve"> FY 2023-OB-0</w:t>
      </w:r>
      <w:r w:rsidR="00160815" w:rsidRPr="00B478D4">
        <w:rPr>
          <w:rFonts w:asciiTheme="minorHAnsi" w:hAnsiTheme="minorHAnsi" w:cstheme="minorHAnsi"/>
          <w:b/>
          <w:bCs/>
        </w:rPr>
        <w:t>3, FY 2022-OB-01 FY 2021-OB-01</w:t>
      </w:r>
      <w:r w:rsidR="00151F3B" w:rsidRPr="00B478D4">
        <w:rPr>
          <w:rFonts w:asciiTheme="minorHAnsi" w:hAnsiTheme="minorHAnsi" w:cstheme="minorHAnsi"/>
          <w:b/>
          <w:bCs/>
        </w:rPr>
        <w:t>)</w:t>
      </w:r>
      <w:r w:rsidR="00151F3B" w:rsidRPr="00B478D4">
        <w:rPr>
          <w:rFonts w:asciiTheme="minorHAnsi" w:hAnsiTheme="minorHAnsi" w:cstheme="minorHAnsi"/>
          <w:iCs/>
        </w:rPr>
        <w:t xml:space="preserve">: </w:t>
      </w:r>
      <w:bookmarkEnd w:id="29"/>
      <w:r w:rsidR="0026686B" w:rsidRPr="00B478D4">
        <w:rPr>
          <w:rFonts w:asciiTheme="minorHAnsi" w:hAnsiTheme="minorHAnsi" w:cstheme="minorHAnsi"/>
        </w:rPr>
        <w:t xml:space="preserve">Three (3) of 15 </w:t>
      </w:r>
      <w:r w:rsidR="003276DD">
        <w:rPr>
          <w:rFonts w:asciiTheme="minorHAnsi" w:hAnsiTheme="minorHAnsi" w:cstheme="minorHAnsi"/>
        </w:rPr>
        <w:t xml:space="preserve">(18%) </w:t>
      </w:r>
      <w:r w:rsidR="0026686B" w:rsidRPr="00B478D4">
        <w:rPr>
          <w:rFonts w:asciiTheme="minorHAnsi" w:hAnsiTheme="minorHAnsi" w:cstheme="minorHAnsi"/>
        </w:rPr>
        <w:t>fatality investigations reviewed lacked documentation to determine the reason(s) an OSHA standard was not cited.</w:t>
      </w:r>
    </w:p>
    <w:p w14:paraId="4F811A29" w14:textId="5F158CF0" w:rsidR="0026686B" w:rsidRPr="00B478D4" w:rsidRDefault="0026686B" w:rsidP="00236320">
      <w:pPr>
        <w:widowControl/>
        <w:autoSpaceDE/>
        <w:autoSpaceDN/>
        <w:adjustRightInd/>
        <w:jc w:val="both"/>
        <w:rPr>
          <w:rFonts w:asciiTheme="minorHAnsi" w:hAnsiTheme="minorHAnsi" w:cstheme="minorHAnsi"/>
        </w:rPr>
      </w:pPr>
      <w:r w:rsidRPr="00B478D4">
        <w:rPr>
          <w:rFonts w:asciiTheme="minorHAnsi" w:hAnsiTheme="minorHAnsi" w:cstheme="minorHAnsi"/>
          <w:b/>
        </w:rPr>
        <w:t>Status</w:t>
      </w:r>
      <w:r w:rsidR="003276DD" w:rsidRPr="00B478D4">
        <w:rPr>
          <w:rFonts w:asciiTheme="minorHAnsi" w:hAnsiTheme="minorHAnsi" w:cstheme="minorHAnsi"/>
          <w:b/>
        </w:rPr>
        <w:t>: A</w:t>
      </w:r>
      <w:r w:rsidRPr="00B478D4">
        <w:rPr>
          <w:rFonts w:asciiTheme="minorHAnsi" w:hAnsiTheme="minorHAnsi" w:cstheme="minorHAnsi"/>
        </w:rPr>
        <w:t xml:space="preserve"> case file review is necessary to gather the facts needed to evaluate performance in relation to this </w:t>
      </w:r>
      <w:r w:rsidR="001B4133">
        <w:rPr>
          <w:rFonts w:asciiTheme="minorHAnsi" w:hAnsiTheme="minorHAnsi" w:cstheme="minorHAnsi"/>
        </w:rPr>
        <w:t>Observation</w:t>
      </w:r>
      <w:r w:rsidRPr="00B478D4">
        <w:rPr>
          <w:rFonts w:asciiTheme="minorHAnsi" w:hAnsiTheme="minorHAnsi" w:cstheme="minorHAnsi"/>
        </w:rPr>
        <w:t xml:space="preserve">. </w:t>
      </w:r>
      <w:r w:rsidR="00D359A1">
        <w:rPr>
          <w:rFonts w:asciiTheme="minorHAnsi" w:hAnsiTheme="minorHAnsi" w:cstheme="minorHAnsi"/>
        </w:rPr>
        <w:t xml:space="preserve">SC OSHA has conducted training with Supervisors </w:t>
      </w:r>
      <w:r w:rsidR="009C1345">
        <w:rPr>
          <w:rFonts w:asciiTheme="minorHAnsi" w:hAnsiTheme="minorHAnsi" w:cstheme="minorHAnsi"/>
        </w:rPr>
        <w:t>on required documentation.</w:t>
      </w:r>
      <w:r w:rsidR="00D359A1">
        <w:rPr>
          <w:rFonts w:asciiTheme="minorHAnsi" w:hAnsiTheme="minorHAnsi" w:cstheme="minorHAnsi"/>
        </w:rPr>
        <w:t xml:space="preserve">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a focus of next year’s on-site case file review during the FY 20</w:t>
      </w:r>
      <w:r w:rsidR="00784129" w:rsidRPr="00B478D4">
        <w:rPr>
          <w:rFonts w:asciiTheme="minorHAnsi" w:hAnsiTheme="minorHAnsi" w:cstheme="minorHAnsi"/>
        </w:rPr>
        <w:t>25</w:t>
      </w:r>
      <w:r w:rsidRPr="00B478D4">
        <w:rPr>
          <w:rFonts w:asciiTheme="minorHAnsi" w:hAnsiTheme="minorHAnsi" w:cstheme="minorHAnsi"/>
        </w:rPr>
        <w:t xml:space="preserve"> comprehensive FAME.</w:t>
      </w:r>
      <w:r w:rsidRPr="00B478D4">
        <w:rPr>
          <w:rFonts w:asciiTheme="minorHAnsi" w:hAnsiTheme="minorHAnsi" w:cstheme="minorHAnsi"/>
          <w:b/>
        </w:rPr>
        <w:t xml:space="preserve">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continued.</w:t>
      </w:r>
    </w:p>
    <w:p w14:paraId="03FC2695" w14:textId="77777777" w:rsidR="0026686B" w:rsidRPr="00B478D4" w:rsidRDefault="0026686B" w:rsidP="00783189">
      <w:pPr>
        <w:widowControl/>
        <w:autoSpaceDE/>
        <w:autoSpaceDN/>
        <w:adjustRightInd/>
        <w:rPr>
          <w:rFonts w:asciiTheme="minorHAnsi" w:hAnsiTheme="minorHAnsi" w:cstheme="minorHAnsi"/>
        </w:rPr>
      </w:pPr>
    </w:p>
    <w:p w14:paraId="75B0F7C9" w14:textId="26F198A9" w:rsidR="0026686B" w:rsidRPr="00B478D4" w:rsidRDefault="001B4133" w:rsidP="002E69A9">
      <w:pPr>
        <w:pStyle w:val="Default"/>
        <w:jc w:val="both"/>
        <w:rPr>
          <w:rFonts w:asciiTheme="minorHAnsi" w:hAnsiTheme="minorHAnsi" w:cstheme="minorHAnsi"/>
        </w:rPr>
      </w:pPr>
      <w:bookmarkStart w:id="30" w:name="_Hlk188965229"/>
      <w:r>
        <w:rPr>
          <w:rFonts w:asciiTheme="minorHAnsi" w:hAnsiTheme="minorHAnsi" w:cstheme="minorHAnsi"/>
          <w:b/>
        </w:rPr>
        <w:t>Observation</w:t>
      </w:r>
      <w:r w:rsidR="00917A1A" w:rsidRPr="00B478D4">
        <w:rPr>
          <w:rFonts w:asciiTheme="minorHAnsi" w:hAnsiTheme="minorHAnsi" w:cstheme="minorHAnsi"/>
          <w:b/>
          <w:iCs/>
        </w:rPr>
        <w:t xml:space="preserve"> FY 2024-OB-0</w:t>
      </w:r>
      <w:r w:rsidR="00704FC9" w:rsidRPr="00B478D4">
        <w:rPr>
          <w:rFonts w:asciiTheme="minorHAnsi" w:hAnsiTheme="minorHAnsi" w:cstheme="minorHAnsi"/>
          <w:b/>
          <w:iCs/>
        </w:rPr>
        <w:t>5</w:t>
      </w:r>
      <w:r w:rsidR="00917A1A" w:rsidRPr="00B478D4">
        <w:rPr>
          <w:rFonts w:asciiTheme="minorHAnsi" w:hAnsiTheme="minorHAnsi" w:cstheme="minorHAnsi"/>
          <w:iCs/>
        </w:rPr>
        <w:t xml:space="preserve"> </w:t>
      </w:r>
      <w:r w:rsidR="00917A1A" w:rsidRPr="00B478D4">
        <w:rPr>
          <w:rFonts w:asciiTheme="minorHAnsi" w:hAnsiTheme="minorHAnsi" w:cstheme="minorHAnsi"/>
          <w:b/>
          <w:bCs/>
        </w:rPr>
        <w:t xml:space="preserve">(previous </w:t>
      </w:r>
      <w:r>
        <w:rPr>
          <w:rFonts w:asciiTheme="minorHAnsi" w:hAnsiTheme="minorHAnsi" w:cstheme="minorHAnsi"/>
          <w:b/>
          <w:bCs/>
        </w:rPr>
        <w:t>Observation</w:t>
      </w:r>
      <w:r w:rsidR="00917A1A" w:rsidRPr="00B478D4">
        <w:rPr>
          <w:rFonts w:asciiTheme="minorHAnsi" w:hAnsiTheme="minorHAnsi" w:cstheme="minorHAnsi"/>
          <w:b/>
          <w:bCs/>
        </w:rPr>
        <w:t xml:space="preserve"> FY 2023-OB-0</w:t>
      </w:r>
      <w:r w:rsidR="00704FC9" w:rsidRPr="00B478D4">
        <w:rPr>
          <w:rFonts w:asciiTheme="minorHAnsi" w:hAnsiTheme="minorHAnsi" w:cstheme="minorHAnsi"/>
          <w:b/>
          <w:bCs/>
        </w:rPr>
        <w:t>4</w:t>
      </w:r>
      <w:r w:rsidR="00917A1A" w:rsidRPr="00B478D4">
        <w:rPr>
          <w:rFonts w:asciiTheme="minorHAnsi" w:hAnsiTheme="minorHAnsi" w:cstheme="minorHAnsi"/>
          <w:b/>
          <w:bCs/>
        </w:rPr>
        <w:t>)</w:t>
      </w:r>
      <w:r w:rsidR="00917A1A" w:rsidRPr="00B478D4">
        <w:rPr>
          <w:rFonts w:asciiTheme="minorHAnsi" w:hAnsiTheme="minorHAnsi" w:cstheme="minorHAnsi"/>
          <w:iCs/>
        </w:rPr>
        <w:t>:</w:t>
      </w:r>
      <w:r w:rsidR="0026686B" w:rsidRPr="00B478D4">
        <w:rPr>
          <w:rFonts w:asciiTheme="minorHAnsi" w:hAnsiTheme="minorHAnsi" w:cstheme="minorHAnsi"/>
        </w:rPr>
        <w:t xml:space="preserve"> </w:t>
      </w:r>
      <w:bookmarkEnd w:id="30"/>
      <w:r w:rsidR="0026686B" w:rsidRPr="00B478D4">
        <w:rPr>
          <w:rFonts w:asciiTheme="minorHAnsi" w:hAnsiTheme="minorHAnsi" w:cstheme="minorHAnsi"/>
        </w:rPr>
        <w:t xml:space="preserve">Four (4) out of 21 </w:t>
      </w:r>
      <w:r w:rsidR="003276DD">
        <w:rPr>
          <w:rFonts w:asciiTheme="minorHAnsi" w:hAnsiTheme="minorHAnsi" w:cstheme="minorHAnsi"/>
        </w:rPr>
        <w:t xml:space="preserve">(19%) </w:t>
      </w:r>
      <w:r w:rsidR="0026686B" w:rsidRPr="00B478D4">
        <w:rPr>
          <w:rFonts w:asciiTheme="minorHAnsi" w:hAnsiTheme="minorHAnsi" w:cstheme="minorHAnsi"/>
        </w:rPr>
        <w:t xml:space="preserve">fatality and severe injury investigations reviewed identified a delay in conducting interviews. </w:t>
      </w:r>
    </w:p>
    <w:p w14:paraId="3ABF9896" w14:textId="58CCAED3" w:rsidR="0026686B" w:rsidRPr="00B478D4" w:rsidRDefault="0026686B" w:rsidP="002E69A9">
      <w:pPr>
        <w:widowControl/>
        <w:autoSpaceDE/>
        <w:autoSpaceDN/>
        <w:adjustRightInd/>
        <w:jc w:val="both"/>
        <w:rPr>
          <w:rFonts w:asciiTheme="minorHAnsi" w:hAnsiTheme="minorHAnsi" w:cstheme="minorHAnsi"/>
        </w:rPr>
      </w:pPr>
      <w:r w:rsidRPr="00B478D4">
        <w:rPr>
          <w:rFonts w:asciiTheme="minorHAnsi" w:hAnsiTheme="minorHAnsi" w:cstheme="minorHAnsi"/>
          <w:b/>
        </w:rPr>
        <w:t xml:space="preserve">Status: </w:t>
      </w:r>
      <w:r w:rsidRPr="00B478D4">
        <w:rPr>
          <w:rFonts w:asciiTheme="minorHAnsi" w:hAnsiTheme="minorHAnsi" w:cstheme="minorHAnsi"/>
        </w:rPr>
        <w:t xml:space="preserve">A case file review is necessary to gather the facts needed to evaluate performance in relation to this </w:t>
      </w:r>
      <w:r w:rsidR="001B4133">
        <w:rPr>
          <w:rFonts w:asciiTheme="minorHAnsi" w:hAnsiTheme="minorHAnsi" w:cstheme="minorHAnsi"/>
        </w:rPr>
        <w:t>Observation</w:t>
      </w:r>
      <w:r w:rsidRPr="00B478D4">
        <w:rPr>
          <w:rFonts w:asciiTheme="minorHAnsi" w:hAnsiTheme="minorHAnsi" w:cstheme="minorHAnsi"/>
        </w:rPr>
        <w:t xml:space="preserve">. </w:t>
      </w:r>
      <w:r w:rsidR="009C1345">
        <w:rPr>
          <w:rFonts w:asciiTheme="minorHAnsi" w:hAnsiTheme="minorHAnsi" w:cstheme="minorHAnsi"/>
        </w:rPr>
        <w:t xml:space="preserve">SC OSHA has conducted training with staff to ensure that interviews are conducted timely.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a focus of next year’s on-site case file review during the FY 20</w:t>
      </w:r>
      <w:r w:rsidR="00784129" w:rsidRPr="00B478D4">
        <w:rPr>
          <w:rFonts w:asciiTheme="minorHAnsi" w:hAnsiTheme="minorHAnsi" w:cstheme="minorHAnsi"/>
        </w:rPr>
        <w:t>25</w:t>
      </w:r>
      <w:r w:rsidRPr="00B478D4">
        <w:rPr>
          <w:rFonts w:asciiTheme="minorHAnsi" w:hAnsiTheme="minorHAnsi" w:cstheme="minorHAnsi"/>
        </w:rPr>
        <w:t xml:space="preserve"> comprehensive FAME.</w:t>
      </w:r>
      <w:r w:rsidRPr="00B478D4">
        <w:rPr>
          <w:rFonts w:asciiTheme="minorHAnsi" w:hAnsiTheme="minorHAnsi" w:cstheme="minorHAnsi"/>
          <w:b/>
        </w:rPr>
        <w:t xml:space="preserve">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continued.</w:t>
      </w:r>
    </w:p>
    <w:p w14:paraId="689EADF9" w14:textId="211ECF6F" w:rsidR="0026686B" w:rsidRPr="00B478D4" w:rsidRDefault="0026686B" w:rsidP="0026686B">
      <w:pPr>
        <w:widowControl/>
        <w:autoSpaceDE/>
        <w:autoSpaceDN/>
        <w:adjustRightInd/>
        <w:rPr>
          <w:rFonts w:asciiTheme="minorHAnsi" w:hAnsiTheme="minorHAnsi" w:cstheme="minorHAnsi"/>
          <w:iCs/>
        </w:rPr>
      </w:pPr>
    </w:p>
    <w:p w14:paraId="3C843E86" w14:textId="4FE82842" w:rsidR="009070B9" w:rsidRPr="00B478D4" w:rsidRDefault="001B4133" w:rsidP="00383A3B">
      <w:pPr>
        <w:tabs>
          <w:tab w:val="left" w:pos="1890"/>
          <w:tab w:val="left" w:pos="2430"/>
        </w:tabs>
        <w:contextualSpacing/>
        <w:jc w:val="both"/>
        <w:rPr>
          <w:rFonts w:asciiTheme="minorHAnsi" w:hAnsiTheme="minorHAnsi" w:cstheme="minorHAnsi"/>
        </w:rPr>
      </w:pPr>
      <w:r>
        <w:rPr>
          <w:rFonts w:asciiTheme="minorHAnsi" w:hAnsiTheme="minorHAnsi" w:cstheme="minorHAnsi"/>
          <w:b/>
        </w:rPr>
        <w:t>Observation</w:t>
      </w:r>
      <w:r w:rsidR="00704FC9" w:rsidRPr="00B478D4">
        <w:rPr>
          <w:rFonts w:asciiTheme="minorHAnsi" w:hAnsiTheme="minorHAnsi" w:cstheme="minorHAnsi"/>
          <w:b/>
          <w:iCs/>
        </w:rPr>
        <w:t xml:space="preserve"> FY 2024-OB-06</w:t>
      </w:r>
      <w:r w:rsidR="00704FC9" w:rsidRPr="00B478D4">
        <w:rPr>
          <w:rFonts w:asciiTheme="minorHAnsi" w:hAnsiTheme="minorHAnsi" w:cstheme="minorHAnsi"/>
          <w:iCs/>
        </w:rPr>
        <w:t xml:space="preserve"> </w:t>
      </w:r>
      <w:r w:rsidR="00704FC9" w:rsidRPr="00B478D4">
        <w:rPr>
          <w:rFonts w:asciiTheme="minorHAnsi" w:hAnsiTheme="minorHAnsi" w:cstheme="minorHAnsi"/>
          <w:b/>
          <w:bCs/>
        </w:rPr>
        <w:t xml:space="preserve">(previous </w:t>
      </w:r>
      <w:r>
        <w:rPr>
          <w:rFonts w:asciiTheme="minorHAnsi" w:hAnsiTheme="minorHAnsi" w:cstheme="minorHAnsi"/>
          <w:b/>
          <w:bCs/>
        </w:rPr>
        <w:t>Observation</w:t>
      </w:r>
      <w:r w:rsidR="00704FC9" w:rsidRPr="00B478D4">
        <w:rPr>
          <w:rFonts w:asciiTheme="minorHAnsi" w:hAnsiTheme="minorHAnsi" w:cstheme="minorHAnsi"/>
          <w:b/>
          <w:bCs/>
        </w:rPr>
        <w:t xml:space="preserve"> FY 2023-OB-06, FY 2022-OB-03 FY 2021-OB-03)</w:t>
      </w:r>
      <w:r w:rsidR="00704FC9" w:rsidRPr="00B478D4">
        <w:rPr>
          <w:rFonts w:asciiTheme="minorHAnsi" w:hAnsiTheme="minorHAnsi" w:cstheme="minorHAnsi"/>
          <w:iCs/>
        </w:rPr>
        <w:t>:</w:t>
      </w:r>
      <w:r w:rsidR="009070B9" w:rsidRPr="00B478D4">
        <w:rPr>
          <w:rFonts w:asciiTheme="minorHAnsi" w:hAnsiTheme="minorHAnsi" w:cstheme="minorHAnsi"/>
          <w:iCs/>
        </w:rPr>
        <w:t xml:space="preserve"> </w:t>
      </w:r>
      <w:r w:rsidR="009070B9" w:rsidRPr="00B478D4">
        <w:rPr>
          <w:rFonts w:asciiTheme="minorHAnsi" w:hAnsiTheme="minorHAnsi" w:cstheme="minorHAnsi"/>
        </w:rPr>
        <w:t>In at least five (5) inspections</w:t>
      </w:r>
      <w:r w:rsidR="00D62F4F">
        <w:rPr>
          <w:rFonts w:asciiTheme="minorHAnsi" w:hAnsiTheme="minorHAnsi" w:cstheme="minorHAnsi"/>
        </w:rPr>
        <w:t xml:space="preserve"> it was </w:t>
      </w:r>
      <w:r w:rsidR="00C50524">
        <w:rPr>
          <w:rFonts w:asciiTheme="minorHAnsi" w:hAnsiTheme="minorHAnsi" w:cstheme="minorHAnsi"/>
        </w:rPr>
        <w:t>identified</w:t>
      </w:r>
      <w:r w:rsidR="009070B9" w:rsidRPr="00B478D4">
        <w:rPr>
          <w:rFonts w:asciiTheme="minorHAnsi" w:hAnsiTheme="minorHAnsi" w:cstheme="minorHAnsi"/>
        </w:rPr>
        <w:t xml:space="preserve"> </w:t>
      </w:r>
      <w:r w:rsidR="00D62F4F">
        <w:rPr>
          <w:rFonts w:asciiTheme="minorHAnsi" w:hAnsiTheme="minorHAnsi" w:cstheme="minorHAnsi"/>
        </w:rPr>
        <w:t xml:space="preserve">that </w:t>
      </w:r>
      <w:r w:rsidR="00901D43">
        <w:rPr>
          <w:rFonts w:asciiTheme="minorHAnsi" w:hAnsiTheme="minorHAnsi" w:cstheme="minorHAnsi"/>
        </w:rPr>
        <w:t>SC OSHA could have used the</w:t>
      </w:r>
      <w:r w:rsidR="00D62F4F">
        <w:rPr>
          <w:rFonts w:asciiTheme="minorHAnsi" w:hAnsiTheme="minorHAnsi" w:cstheme="minorHAnsi"/>
        </w:rPr>
        <w:t xml:space="preserve"> </w:t>
      </w:r>
      <w:r w:rsidR="00D62F4F" w:rsidRPr="00B478D4">
        <w:rPr>
          <w:rFonts w:asciiTheme="minorHAnsi" w:hAnsiTheme="minorHAnsi" w:cstheme="minorHAnsi"/>
        </w:rPr>
        <w:t>$7,000</w:t>
      </w:r>
      <w:r w:rsidR="009070B9" w:rsidRPr="00B478D4">
        <w:rPr>
          <w:rFonts w:asciiTheme="minorHAnsi" w:hAnsiTheme="minorHAnsi" w:cstheme="minorHAnsi"/>
        </w:rPr>
        <w:t xml:space="preserve"> Gravity Based Penalty (</w:t>
      </w:r>
      <w:r w:rsidR="009C045E" w:rsidRPr="00B478D4">
        <w:rPr>
          <w:rFonts w:asciiTheme="minorHAnsi" w:hAnsiTheme="minorHAnsi" w:cstheme="minorHAnsi"/>
        </w:rPr>
        <w:t>GBP) to</w:t>
      </w:r>
      <w:r w:rsidR="009070B9" w:rsidRPr="00B478D4">
        <w:rPr>
          <w:rFonts w:asciiTheme="minorHAnsi" w:hAnsiTheme="minorHAnsi" w:cstheme="minorHAnsi"/>
        </w:rPr>
        <w:t xml:space="preserve"> achieve the necessary deterrent effect.</w:t>
      </w:r>
    </w:p>
    <w:p w14:paraId="66C349CE" w14:textId="3F5BB41D" w:rsidR="009070B9" w:rsidRPr="00B478D4" w:rsidRDefault="009070B9" w:rsidP="00383A3B">
      <w:pPr>
        <w:widowControl/>
        <w:autoSpaceDE/>
        <w:autoSpaceDN/>
        <w:adjustRightInd/>
        <w:jc w:val="both"/>
        <w:rPr>
          <w:rFonts w:asciiTheme="minorHAnsi" w:hAnsiTheme="minorHAnsi" w:cstheme="minorHAnsi"/>
        </w:rPr>
      </w:pPr>
      <w:r w:rsidRPr="00B478D4">
        <w:rPr>
          <w:rFonts w:asciiTheme="minorHAnsi" w:hAnsiTheme="minorHAnsi" w:cstheme="minorHAnsi"/>
          <w:b/>
        </w:rPr>
        <w:t xml:space="preserve">Status: </w:t>
      </w:r>
      <w:r w:rsidRPr="00B478D4">
        <w:rPr>
          <w:rFonts w:asciiTheme="minorHAnsi" w:hAnsiTheme="minorHAnsi" w:cstheme="minorHAnsi"/>
        </w:rPr>
        <w:t xml:space="preserve">A case file review is necessary to gather the facts needed to evaluate performance in relation to this </w:t>
      </w:r>
      <w:r w:rsidR="001B4133">
        <w:rPr>
          <w:rFonts w:asciiTheme="minorHAnsi" w:hAnsiTheme="minorHAnsi" w:cstheme="minorHAnsi"/>
        </w:rPr>
        <w:t>Observation</w:t>
      </w:r>
      <w:r w:rsidRPr="00B478D4">
        <w:rPr>
          <w:rFonts w:asciiTheme="minorHAnsi" w:hAnsiTheme="minorHAnsi" w:cstheme="minorHAnsi"/>
        </w:rPr>
        <w:t xml:space="preserve">. </w:t>
      </w:r>
      <w:r w:rsidR="009C1345">
        <w:rPr>
          <w:rFonts w:asciiTheme="minorHAnsi" w:hAnsiTheme="minorHAnsi" w:cstheme="minorHAnsi"/>
        </w:rPr>
        <w:t xml:space="preserve">SC OSHA has agreed to revisit their internal policy on the application of a </w:t>
      </w:r>
      <w:r w:rsidR="009C1345" w:rsidRPr="00B478D4">
        <w:rPr>
          <w:rFonts w:asciiTheme="minorHAnsi" w:hAnsiTheme="minorHAnsi" w:cstheme="minorHAnsi"/>
        </w:rPr>
        <w:t xml:space="preserve">Gravity Based Penalty </w:t>
      </w:r>
      <w:r w:rsidR="009C1345">
        <w:rPr>
          <w:rFonts w:asciiTheme="minorHAnsi" w:hAnsiTheme="minorHAnsi" w:cstheme="minorHAnsi"/>
        </w:rPr>
        <w:t xml:space="preserve">of $7,000.  </w:t>
      </w:r>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a focus of next year’s on-site case file review during the FY 20</w:t>
      </w:r>
      <w:r w:rsidR="00784129" w:rsidRPr="00B478D4">
        <w:rPr>
          <w:rFonts w:asciiTheme="minorHAnsi" w:hAnsiTheme="minorHAnsi" w:cstheme="minorHAnsi"/>
        </w:rPr>
        <w:t>25</w:t>
      </w:r>
      <w:r w:rsidRPr="00B478D4">
        <w:rPr>
          <w:rFonts w:asciiTheme="minorHAnsi" w:hAnsiTheme="minorHAnsi" w:cstheme="minorHAnsi"/>
        </w:rPr>
        <w:t xml:space="preserve"> comprehensive FAME.</w:t>
      </w:r>
      <w:r w:rsidRPr="00B478D4">
        <w:rPr>
          <w:rFonts w:asciiTheme="minorHAnsi" w:hAnsiTheme="minorHAnsi" w:cstheme="minorHAnsi"/>
          <w:b/>
        </w:rPr>
        <w:t xml:space="preserve"> </w:t>
      </w:r>
      <w:bookmarkStart w:id="31" w:name="_Hlk190777905"/>
      <w:r w:rsidRPr="00B478D4">
        <w:rPr>
          <w:rFonts w:asciiTheme="minorHAnsi" w:hAnsiTheme="minorHAnsi" w:cstheme="minorHAnsi"/>
        </w:rPr>
        <w:t xml:space="preserve">This </w:t>
      </w:r>
      <w:r w:rsidR="001B4133">
        <w:rPr>
          <w:rFonts w:asciiTheme="minorHAnsi" w:hAnsiTheme="minorHAnsi" w:cstheme="minorHAnsi"/>
        </w:rPr>
        <w:t>Observation</w:t>
      </w:r>
      <w:r w:rsidRPr="00B478D4">
        <w:rPr>
          <w:rFonts w:asciiTheme="minorHAnsi" w:hAnsiTheme="minorHAnsi" w:cstheme="minorHAnsi"/>
        </w:rPr>
        <w:t xml:space="preserve"> will be continued.</w:t>
      </w:r>
      <w:bookmarkEnd w:id="31"/>
    </w:p>
    <w:p w14:paraId="337DF7C8" w14:textId="385F60E3" w:rsidR="0026686B" w:rsidRPr="00B478D4" w:rsidRDefault="0026686B" w:rsidP="00383A3B">
      <w:pPr>
        <w:widowControl/>
        <w:autoSpaceDE/>
        <w:autoSpaceDN/>
        <w:adjustRightInd/>
        <w:jc w:val="both"/>
        <w:rPr>
          <w:rFonts w:asciiTheme="minorHAnsi" w:hAnsiTheme="minorHAnsi" w:cstheme="minorHAnsi"/>
          <w:iCs/>
        </w:rPr>
      </w:pPr>
    </w:p>
    <w:p w14:paraId="31C1911C" w14:textId="53D88B04" w:rsidR="009070B9" w:rsidRPr="00B478D4" w:rsidRDefault="001B4133" w:rsidP="00383A3B">
      <w:pPr>
        <w:widowControl/>
        <w:autoSpaceDE/>
        <w:autoSpaceDN/>
        <w:adjustRightInd/>
        <w:jc w:val="both"/>
        <w:rPr>
          <w:rFonts w:asciiTheme="minorHAnsi" w:hAnsiTheme="minorHAnsi" w:cstheme="minorHAnsi"/>
          <w:iCs/>
        </w:rPr>
      </w:pPr>
      <w:bookmarkStart w:id="32" w:name="_Hlk188965799"/>
      <w:r>
        <w:rPr>
          <w:rFonts w:asciiTheme="minorHAnsi" w:hAnsiTheme="minorHAnsi" w:cstheme="minorHAnsi"/>
          <w:b/>
        </w:rPr>
        <w:t>Observation</w:t>
      </w:r>
      <w:r w:rsidR="008418E9" w:rsidRPr="00B478D4">
        <w:rPr>
          <w:rFonts w:asciiTheme="minorHAnsi" w:hAnsiTheme="minorHAnsi" w:cstheme="minorHAnsi"/>
          <w:b/>
          <w:iCs/>
        </w:rPr>
        <w:t xml:space="preserve"> FY 2024-OB-07</w:t>
      </w:r>
      <w:r w:rsidR="008418E9" w:rsidRPr="00B478D4">
        <w:rPr>
          <w:rFonts w:asciiTheme="minorHAnsi" w:hAnsiTheme="minorHAnsi" w:cstheme="minorHAnsi"/>
          <w:iCs/>
        </w:rPr>
        <w:t xml:space="preserve"> </w:t>
      </w:r>
      <w:r w:rsidR="008418E9" w:rsidRPr="00B478D4">
        <w:rPr>
          <w:rFonts w:asciiTheme="minorHAnsi" w:hAnsiTheme="minorHAnsi" w:cstheme="minorHAnsi"/>
          <w:b/>
          <w:bCs/>
        </w:rPr>
        <w:t xml:space="preserve">(previous </w:t>
      </w:r>
      <w:r>
        <w:rPr>
          <w:rFonts w:asciiTheme="minorHAnsi" w:hAnsiTheme="minorHAnsi" w:cstheme="minorHAnsi"/>
          <w:b/>
          <w:bCs/>
        </w:rPr>
        <w:t>Observation</w:t>
      </w:r>
      <w:r w:rsidR="008418E9" w:rsidRPr="00B478D4">
        <w:rPr>
          <w:rFonts w:asciiTheme="minorHAnsi" w:hAnsiTheme="minorHAnsi" w:cstheme="minorHAnsi"/>
          <w:b/>
          <w:bCs/>
        </w:rPr>
        <w:t xml:space="preserve"> FY 2023-OB-07)</w:t>
      </w:r>
      <w:r w:rsidR="009070B9" w:rsidRPr="00B478D4">
        <w:rPr>
          <w:rFonts w:asciiTheme="minorHAnsi" w:hAnsiTheme="minorHAnsi" w:cstheme="minorHAnsi"/>
          <w:iCs/>
        </w:rPr>
        <w:t xml:space="preserve">: </w:t>
      </w:r>
      <w:bookmarkEnd w:id="32"/>
      <w:r w:rsidR="009070B9" w:rsidRPr="00B478D4">
        <w:rPr>
          <w:rFonts w:asciiTheme="minorHAnsi" w:hAnsiTheme="minorHAnsi" w:cstheme="minorHAnsi"/>
          <w:iCs/>
        </w:rPr>
        <w:t>In FY 20</w:t>
      </w:r>
      <w:r w:rsidR="0035480E" w:rsidRPr="00B478D4">
        <w:rPr>
          <w:rFonts w:asciiTheme="minorHAnsi" w:hAnsiTheme="minorHAnsi" w:cstheme="minorHAnsi"/>
          <w:iCs/>
        </w:rPr>
        <w:t>24</w:t>
      </w:r>
      <w:r w:rsidR="009070B9" w:rsidRPr="00B478D4">
        <w:rPr>
          <w:rFonts w:asciiTheme="minorHAnsi" w:hAnsiTheme="minorHAnsi" w:cstheme="minorHAnsi"/>
          <w:iCs/>
        </w:rPr>
        <w:t>, the average safety lapse time (SAMM 11</w:t>
      </w:r>
      <w:r w:rsidR="005B3F89" w:rsidRPr="00B478D4">
        <w:rPr>
          <w:rFonts w:asciiTheme="minorHAnsi" w:hAnsiTheme="minorHAnsi" w:cstheme="minorHAnsi"/>
          <w:iCs/>
        </w:rPr>
        <w:t>a</w:t>
      </w:r>
      <w:r w:rsidR="009070B9" w:rsidRPr="00B478D4">
        <w:rPr>
          <w:rFonts w:asciiTheme="minorHAnsi" w:hAnsiTheme="minorHAnsi" w:cstheme="minorHAnsi"/>
          <w:iCs/>
        </w:rPr>
        <w:t xml:space="preserve">) for citations was calculated at </w:t>
      </w:r>
      <w:r w:rsidR="005B3F89" w:rsidRPr="00B478D4">
        <w:rPr>
          <w:rFonts w:asciiTheme="minorHAnsi" w:hAnsiTheme="minorHAnsi" w:cstheme="minorHAnsi"/>
          <w:iCs/>
        </w:rPr>
        <w:t xml:space="preserve">67.58 </w:t>
      </w:r>
      <w:r w:rsidR="009070B9" w:rsidRPr="00B478D4">
        <w:rPr>
          <w:rFonts w:asciiTheme="minorHAnsi" w:hAnsiTheme="minorHAnsi" w:cstheme="minorHAnsi"/>
          <w:iCs/>
        </w:rPr>
        <w:t>days which is</w:t>
      </w:r>
      <w:r w:rsidR="005B3F89" w:rsidRPr="00B478D4">
        <w:rPr>
          <w:rFonts w:asciiTheme="minorHAnsi" w:hAnsiTheme="minorHAnsi" w:cstheme="minorHAnsi"/>
          <w:iCs/>
        </w:rPr>
        <w:t xml:space="preserve"> slightly</w:t>
      </w:r>
      <w:r w:rsidR="009070B9" w:rsidRPr="00B478D4">
        <w:rPr>
          <w:rFonts w:asciiTheme="minorHAnsi" w:hAnsiTheme="minorHAnsi" w:cstheme="minorHAnsi"/>
          <w:iCs/>
        </w:rPr>
        <w:t xml:space="preserve"> above the FRL range of </w:t>
      </w:r>
      <w:r w:rsidR="005B3F89" w:rsidRPr="00B478D4">
        <w:rPr>
          <w:rFonts w:asciiTheme="minorHAnsi" w:hAnsiTheme="minorHAnsi" w:cstheme="minorHAnsi"/>
          <w:iCs/>
        </w:rPr>
        <w:t>44.82</w:t>
      </w:r>
      <w:r w:rsidR="009070B9" w:rsidRPr="00B478D4">
        <w:rPr>
          <w:rFonts w:asciiTheme="minorHAnsi" w:hAnsiTheme="minorHAnsi" w:cstheme="minorHAnsi"/>
          <w:iCs/>
        </w:rPr>
        <w:t xml:space="preserve"> to </w:t>
      </w:r>
      <w:r w:rsidR="005B3F89" w:rsidRPr="00B478D4">
        <w:rPr>
          <w:rFonts w:asciiTheme="minorHAnsi" w:hAnsiTheme="minorHAnsi" w:cstheme="minorHAnsi"/>
          <w:iCs/>
        </w:rPr>
        <w:t>67.23</w:t>
      </w:r>
      <w:r w:rsidR="009070B9" w:rsidRPr="00B478D4">
        <w:rPr>
          <w:rFonts w:asciiTheme="minorHAnsi" w:hAnsiTheme="minorHAnsi" w:cstheme="minorHAnsi"/>
          <w:iCs/>
        </w:rPr>
        <w:t xml:space="preserve"> days.</w:t>
      </w:r>
      <w:r w:rsidR="0035480E" w:rsidRPr="00B478D4">
        <w:rPr>
          <w:rFonts w:asciiTheme="minorHAnsi" w:hAnsiTheme="minorHAnsi" w:cstheme="minorHAnsi"/>
          <w:iCs/>
        </w:rPr>
        <w:t xml:space="preserve">  </w:t>
      </w:r>
    </w:p>
    <w:p w14:paraId="2A946138" w14:textId="73A9F9C6" w:rsidR="00396964" w:rsidRPr="00396964" w:rsidRDefault="00DF4704" w:rsidP="00383A3B">
      <w:pPr>
        <w:widowControl/>
        <w:autoSpaceDE/>
        <w:autoSpaceDN/>
        <w:adjustRightInd/>
        <w:jc w:val="both"/>
        <w:rPr>
          <w:rFonts w:asciiTheme="minorHAnsi" w:hAnsiTheme="minorHAnsi" w:cstheme="minorHAnsi"/>
          <w:iCs/>
        </w:rPr>
      </w:pPr>
      <w:r w:rsidRPr="00B478D4">
        <w:rPr>
          <w:rFonts w:asciiTheme="minorHAnsi" w:hAnsiTheme="minorHAnsi" w:cstheme="minorHAnsi"/>
          <w:b/>
          <w:bCs/>
        </w:rPr>
        <w:t>Federal Monitoring Plan</w:t>
      </w:r>
      <w:r w:rsidRPr="00396964">
        <w:rPr>
          <w:rFonts w:asciiTheme="minorHAnsi" w:hAnsiTheme="minorHAnsi" w:cstheme="minorHAnsi"/>
          <w:b/>
          <w:bCs/>
        </w:rPr>
        <w:t>:</w:t>
      </w:r>
      <w:r w:rsidRPr="00396964">
        <w:rPr>
          <w:rFonts w:asciiTheme="minorHAnsi" w:hAnsiTheme="minorHAnsi" w:cstheme="minorHAnsi"/>
          <w:b/>
        </w:rPr>
        <w:t xml:space="preserve"> </w:t>
      </w:r>
      <w:r w:rsidR="00396964" w:rsidRPr="00396964">
        <w:rPr>
          <w:rFonts w:cs="Calibri"/>
        </w:rPr>
        <w:t>OSHA will continue to discuss this metric with</w:t>
      </w:r>
      <w:r w:rsidRPr="00396964">
        <w:rPr>
          <w:rFonts w:asciiTheme="minorHAnsi" w:hAnsiTheme="minorHAnsi" w:cstheme="minorHAnsi"/>
        </w:rPr>
        <w:t xml:space="preserve"> </w:t>
      </w:r>
      <w:r w:rsidR="00396964" w:rsidRPr="00396964">
        <w:rPr>
          <w:rFonts w:asciiTheme="minorHAnsi" w:hAnsiTheme="minorHAnsi" w:cstheme="minorHAnsi"/>
        </w:rPr>
        <w:t>S</w:t>
      </w:r>
      <w:r w:rsidR="005D21B7">
        <w:rPr>
          <w:rFonts w:asciiTheme="minorHAnsi" w:hAnsiTheme="minorHAnsi" w:cstheme="minorHAnsi"/>
        </w:rPr>
        <w:t>C OSHA</w:t>
      </w:r>
      <w:r w:rsidRPr="00396964">
        <w:rPr>
          <w:rFonts w:asciiTheme="minorHAnsi" w:hAnsiTheme="minorHAnsi" w:cstheme="minorHAnsi"/>
        </w:rPr>
        <w:t xml:space="preserve"> </w:t>
      </w:r>
      <w:r w:rsidR="00396964" w:rsidRPr="00396964">
        <w:rPr>
          <w:rFonts w:asciiTheme="minorHAnsi" w:hAnsiTheme="minorHAnsi" w:cstheme="minorHAnsi"/>
        </w:rPr>
        <w:t xml:space="preserve">in FY 2025 </w:t>
      </w:r>
      <w:r w:rsidRPr="00396964">
        <w:rPr>
          <w:rFonts w:asciiTheme="minorHAnsi" w:hAnsiTheme="minorHAnsi" w:cstheme="minorHAnsi"/>
        </w:rPr>
        <w:t xml:space="preserve">during </w:t>
      </w:r>
      <w:r w:rsidR="00396964" w:rsidRPr="00396964">
        <w:rPr>
          <w:rFonts w:cs="Calibri"/>
        </w:rPr>
        <w:t xml:space="preserve">quarterly meetings.  </w:t>
      </w:r>
      <w:r w:rsidR="00396964" w:rsidRPr="00396964">
        <w:rPr>
          <w:rFonts w:asciiTheme="minorHAnsi" w:hAnsiTheme="minorHAnsi" w:cstheme="minorHAnsi"/>
          <w:iCs/>
        </w:rPr>
        <w:t>However, there was a significant improvement from FY 202</w:t>
      </w:r>
      <w:r w:rsidR="009A2A9B">
        <w:rPr>
          <w:rFonts w:asciiTheme="minorHAnsi" w:hAnsiTheme="minorHAnsi" w:cstheme="minorHAnsi"/>
          <w:iCs/>
        </w:rPr>
        <w:t>3</w:t>
      </w:r>
      <w:r w:rsidR="00396964" w:rsidRPr="00396964">
        <w:rPr>
          <w:rFonts w:asciiTheme="minorHAnsi" w:hAnsiTheme="minorHAnsi" w:cstheme="minorHAnsi"/>
          <w:iCs/>
        </w:rPr>
        <w:t xml:space="preserve"> where safety lapse time was 91.18 days.</w:t>
      </w:r>
      <w:r w:rsidR="009A2A9B">
        <w:rPr>
          <w:rFonts w:asciiTheme="minorHAnsi" w:hAnsiTheme="minorHAnsi" w:cstheme="minorHAnsi"/>
          <w:iCs/>
        </w:rPr>
        <w:t xml:space="preserve"> </w:t>
      </w:r>
      <w:r w:rsidR="009A2A9B" w:rsidRPr="00B478D4">
        <w:rPr>
          <w:rFonts w:asciiTheme="minorHAnsi" w:hAnsiTheme="minorHAnsi" w:cstheme="minorHAnsi"/>
        </w:rPr>
        <w:t xml:space="preserve">This </w:t>
      </w:r>
      <w:r w:rsidR="001B4133">
        <w:rPr>
          <w:rFonts w:asciiTheme="minorHAnsi" w:hAnsiTheme="minorHAnsi" w:cstheme="minorHAnsi"/>
        </w:rPr>
        <w:t>Observation</w:t>
      </w:r>
      <w:r w:rsidR="009A2A9B" w:rsidRPr="00B478D4">
        <w:rPr>
          <w:rFonts w:asciiTheme="minorHAnsi" w:hAnsiTheme="minorHAnsi" w:cstheme="minorHAnsi"/>
        </w:rPr>
        <w:t xml:space="preserve"> will be continued.</w:t>
      </w:r>
    </w:p>
    <w:p w14:paraId="11F86A5E" w14:textId="19627D82" w:rsidR="00E10155" w:rsidRPr="00B478D4" w:rsidRDefault="00E10155" w:rsidP="00383A3B">
      <w:pPr>
        <w:widowControl/>
        <w:autoSpaceDE/>
        <w:autoSpaceDN/>
        <w:adjustRightInd/>
        <w:jc w:val="both"/>
        <w:rPr>
          <w:rFonts w:asciiTheme="minorHAnsi" w:hAnsiTheme="minorHAnsi" w:cstheme="minorHAnsi"/>
          <w:b/>
        </w:rPr>
      </w:pPr>
    </w:p>
    <w:p w14:paraId="05EEF0EE" w14:textId="5E0F9A9A" w:rsidR="0035480E" w:rsidRPr="00B478D4" w:rsidRDefault="001B4133" w:rsidP="00383A3B">
      <w:pPr>
        <w:widowControl/>
        <w:autoSpaceDE/>
        <w:autoSpaceDN/>
        <w:adjustRightInd/>
        <w:jc w:val="both"/>
        <w:rPr>
          <w:rFonts w:asciiTheme="minorHAnsi" w:hAnsiTheme="minorHAnsi" w:cstheme="minorHAnsi"/>
          <w:iCs/>
        </w:rPr>
      </w:pPr>
      <w:r>
        <w:rPr>
          <w:rFonts w:asciiTheme="minorHAnsi" w:hAnsiTheme="minorHAnsi" w:cstheme="minorHAnsi"/>
          <w:b/>
        </w:rPr>
        <w:t>Observation</w:t>
      </w:r>
      <w:r w:rsidR="008418E9" w:rsidRPr="00B478D4">
        <w:rPr>
          <w:rFonts w:asciiTheme="minorHAnsi" w:hAnsiTheme="minorHAnsi" w:cstheme="minorHAnsi"/>
          <w:b/>
          <w:iCs/>
        </w:rPr>
        <w:t xml:space="preserve"> FY 2024-OB-08</w:t>
      </w:r>
      <w:r w:rsidR="008418E9" w:rsidRPr="00B478D4">
        <w:rPr>
          <w:rFonts w:asciiTheme="minorHAnsi" w:hAnsiTheme="minorHAnsi" w:cstheme="minorHAnsi"/>
          <w:iCs/>
        </w:rPr>
        <w:t xml:space="preserve"> </w:t>
      </w:r>
      <w:r w:rsidR="008418E9" w:rsidRPr="00B478D4">
        <w:rPr>
          <w:rFonts w:asciiTheme="minorHAnsi" w:hAnsiTheme="minorHAnsi" w:cstheme="minorHAnsi"/>
          <w:b/>
          <w:bCs/>
        </w:rPr>
        <w:t xml:space="preserve">(previous </w:t>
      </w:r>
      <w:r>
        <w:rPr>
          <w:rFonts w:asciiTheme="minorHAnsi" w:hAnsiTheme="minorHAnsi" w:cstheme="minorHAnsi"/>
          <w:b/>
          <w:bCs/>
        </w:rPr>
        <w:t>Observation</w:t>
      </w:r>
      <w:r w:rsidR="008418E9" w:rsidRPr="00B478D4">
        <w:rPr>
          <w:rFonts w:asciiTheme="minorHAnsi" w:hAnsiTheme="minorHAnsi" w:cstheme="minorHAnsi"/>
          <w:b/>
          <w:bCs/>
        </w:rPr>
        <w:t xml:space="preserve"> FY 2023-OB-08)</w:t>
      </w:r>
      <w:r w:rsidR="008418E9" w:rsidRPr="00B478D4">
        <w:rPr>
          <w:rFonts w:asciiTheme="minorHAnsi" w:hAnsiTheme="minorHAnsi" w:cstheme="minorHAnsi"/>
          <w:iCs/>
        </w:rPr>
        <w:t xml:space="preserve">: </w:t>
      </w:r>
      <w:r w:rsidR="00DF4704" w:rsidRPr="00B478D4">
        <w:rPr>
          <w:rFonts w:asciiTheme="minorHAnsi" w:hAnsiTheme="minorHAnsi" w:cstheme="minorHAnsi"/>
        </w:rPr>
        <w:t>In FY 202</w:t>
      </w:r>
      <w:r w:rsidR="0035480E" w:rsidRPr="00B478D4">
        <w:rPr>
          <w:rFonts w:asciiTheme="minorHAnsi" w:hAnsiTheme="minorHAnsi" w:cstheme="minorHAnsi"/>
        </w:rPr>
        <w:t>4</w:t>
      </w:r>
      <w:r w:rsidR="00DF4704" w:rsidRPr="00B478D4">
        <w:rPr>
          <w:rFonts w:asciiTheme="minorHAnsi" w:hAnsiTheme="minorHAnsi" w:cstheme="minorHAnsi"/>
        </w:rPr>
        <w:t>, the average health lapse time (SAMM 11</w:t>
      </w:r>
      <w:r w:rsidR="00E10155" w:rsidRPr="00B478D4">
        <w:rPr>
          <w:rFonts w:asciiTheme="minorHAnsi" w:hAnsiTheme="minorHAnsi" w:cstheme="minorHAnsi"/>
        </w:rPr>
        <w:t>b</w:t>
      </w:r>
      <w:r w:rsidR="00DF4704" w:rsidRPr="00B478D4">
        <w:rPr>
          <w:rFonts w:asciiTheme="minorHAnsi" w:hAnsiTheme="minorHAnsi" w:cstheme="minorHAnsi"/>
        </w:rPr>
        <w:t xml:space="preserve">) for citations was calculated at </w:t>
      </w:r>
      <w:r w:rsidR="00E10155" w:rsidRPr="00B478D4">
        <w:rPr>
          <w:rFonts w:asciiTheme="minorHAnsi" w:hAnsiTheme="minorHAnsi" w:cstheme="minorHAnsi"/>
        </w:rPr>
        <w:t>87.19</w:t>
      </w:r>
      <w:r w:rsidR="00DF4704" w:rsidRPr="00B478D4">
        <w:rPr>
          <w:rFonts w:asciiTheme="minorHAnsi" w:hAnsiTheme="minorHAnsi" w:cstheme="minorHAnsi"/>
        </w:rPr>
        <w:t xml:space="preserve"> days which is above the FRL range of </w:t>
      </w:r>
      <w:r w:rsidR="00E10155" w:rsidRPr="00B478D4">
        <w:rPr>
          <w:rFonts w:asciiTheme="minorHAnsi" w:hAnsiTheme="minorHAnsi" w:cstheme="minorHAnsi"/>
        </w:rPr>
        <w:t>53.77</w:t>
      </w:r>
      <w:r w:rsidR="00DF4704" w:rsidRPr="00B478D4">
        <w:rPr>
          <w:rFonts w:asciiTheme="minorHAnsi" w:hAnsiTheme="minorHAnsi" w:cstheme="minorHAnsi"/>
        </w:rPr>
        <w:t xml:space="preserve"> to </w:t>
      </w:r>
      <w:r w:rsidR="00E10155" w:rsidRPr="00B478D4">
        <w:rPr>
          <w:rFonts w:asciiTheme="minorHAnsi" w:hAnsiTheme="minorHAnsi" w:cstheme="minorHAnsi"/>
        </w:rPr>
        <w:t>80.65</w:t>
      </w:r>
      <w:r w:rsidR="00DF4704" w:rsidRPr="00B478D4">
        <w:rPr>
          <w:rFonts w:asciiTheme="minorHAnsi" w:hAnsiTheme="minorHAnsi" w:cstheme="minorHAnsi"/>
        </w:rPr>
        <w:t xml:space="preserve"> days.</w:t>
      </w:r>
      <w:r w:rsidR="0035480E" w:rsidRPr="00B478D4">
        <w:rPr>
          <w:rFonts w:asciiTheme="minorHAnsi" w:hAnsiTheme="minorHAnsi" w:cstheme="minorHAnsi"/>
        </w:rPr>
        <w:t xml:space="preserve">  </w:t>
      </w:r>
    </w:p>
    <w:p w14:paraId="446225F7" w14:textId="6275E501" w:rsidR="00396964" w:rsidRPr="00B478D4" w:rsidRDefault="00DF4704" w:rsidP="00383A3B">
      <w:pPr>
        <w:widowControl/>
        <w:autoSpaceDE/>
        <w:autoSpaceDN/>
        <w:adjustRightInd/>
        <w:jc w:val="both"/>
        <w:rPr>
          <w:rFonts w:asciiTheme="minorHAnsi" w:hAnsiTheme="minorHAnsi" w:cstheme="minorHAnsi"/>
          <w:iCs/>
        </w:rPr>
      </w:pPr>
      <w:r w:rsidRPr="00B478D4">
        <w:rPr>
          <w:rFonts w:asciiTheme="minorHAnsi" w:hAnsiTheme="minorHAnsi" w:cstheme="minorHAnsi"/>
          <w:b/>
          <w:bCs/>
        </w:rPr>
        <w:t>Federal Monitoring Plan:</w:t>
      </w:r>
      <w:r w:rsidRPr="00B478D4">
        <w:rPr>
          <w:rFonts w:asciiTheme="minorHAnsi" w:hAnsiTheme="minorHAnsi" w:cstheme="minorHAnsi"/>
          <w:b/>
        </w:rPr>
        <w:t xml:space="preserve"> </w:t>
      </w:r>
      <w:r w:rsidR="001B4133">
        <w:t xml:space="preserve">OSHA will continue discussing this metric with </w:t>
      </w:r>
      <w:r w:rsidR="005D21B7">
        <w:t xml:space="preserve">SC OSHA </w:t>
      </w:r>
      <w:r w:rsidR="001B4133">
        <w:t>during quarterly meetings in FY 2025. However, there has been a significant improvement from FY 2023, when the safety lapse time was 95.11 days</w:t>
      </w:r>
      <w:r w:rsidR="00396964" w:rsidRPr="00B478D4">
        <w:rPr>
          <w:rFonts w:asciiTheme="minorHAnsi" w:hAnsiTheme="minorHAnsi" w:cstheme="minorHAnsi"/>
          <w:iCs/>
        </w:rPr>
        <w:t>.</w:t>
      </w:r>
      <w:r w:rsidR="009A2A9B">
        <w:rPr>
          <w:rFonts w:asciiTheme="minorHAnsi" w:hAnsiTheme="minorHAnsi" w:cstheme="minorHAnsi"/>
          <w:iCs/>
        </w:rPr>
        <w:t xml:space="preserve"> </w:t>
      </w:r>
      <w:r w:rsidR="009A2A9B" w:rsidRPr="00B478D4">
        <w:rPr>
          <w:rFonts w:asciiTheme="minorHAnsi" w:hAnsiTheme="minorHAnsi" w:cstheme="minorHAnsi"/>
        </w:rPr>
        <w:t xml:space="preserve">This </w:t>
      </w:r>
      <w:r w:rsidR="001B4133">
        <w:rPr>
          <w:rFonts w:asciiTheme="minorHAnsi" w:hAnsiTheme="minorHAnsi" w:cstheme="minorHAnsi"/>
        </w:rPr>
        <w:t>Observation</w:t>
      </w:r>
      <w:r w:rsidR="009A2A9B" w:rsidRPr="00B478D4">
        <w:rPr>
          <w:rFonts w:asciiTheme="minorHAnsi" w:hAnsiTheme="minorHAnsi" w:cstheme="minorHAnsi"/>
        </w:rPr>
        <w:t xml:space="preserve"> will be continued.</w:t>
      </w:r>
    </w:p>
    <w:p w14:paraId="1294BCBE" w14:textId="77777777" w:rsidR="00DF4704" w:rsidRPr="00B478D4" w:rsidRDefault="00DF4704" w:rsidP="00783189">
      <w:pPr>
        <w:widowControl/>
        <w:autoSpaceDE/>
        <w:autoSpaceDN/>
        <w:adjustRightInd/>
        <w:rPr>
          <w:rFonts w:asciiTheme="minorHAnsi" w:hAnsiTheme="minorHAnsi" w:cstheme="minorHAnsi"/>
          <w:bCs/>
          <w:iCs/>
          <w:color w:val="0070C0"/>
        </w:rPr>
      </w:pPr>
    </w:p>
    <w:p w14:paraId="1D852FF4" w14:textId="6A8E3E1A" w:rsidR="00C12FB5" w:rsidRPr="0008602A" w:rsidRDefault="0035480E" w:rsidP="00783189">
      <w:pPr>
        <w:widowControl/>
        <w:autoSpaceDE/>
        <w:autoSpaceDN/>
        <w:adjustRightInd/>
        <w:rPr>
          <w:rFonts w:asciiTheme="minorHAnsi" w:hAnsiTheme="minorHAnsi" w:cstheme="minorHAnsi"/>
          <w:b/>
          <w:i/>
          <w:iCs/>
          <w:u w:val="single"/>
        </w:rPr>
      </w:pPr>
      <w:r w:rsidRPr="0008602A">
        <w:rPr>
          <w:rFonts w:asciiTheme="minorHAnsi" w:hAnsiTheme="minorHAnsi" w:cstheme="minorHAnsi"/>
          <w:b/>
          <w:i/>
          <w:iCs/>
          <w:u w:val="single"/>
        </w:rPr>
        <w:t xml:space="preserve">New FY 2024 </w:t>
      </w:r>
      <w:r w:rsidR="001B4133" w:rsidRPr="0008602A">
        <w:rPr>
          <w:rFonts w:asciiTheme="minorHAnsi" w:hAnsiTheme="minorHAnsi" w:cstheme="minorHAnsi"/>
          <w:b/>
          <w:i/>
          <w:iCs/>
          <w:u w:val="single"/>
        </w:rPr>
        <w:t>Observation</w:t>
      </w:r>
    </w:p>
    <w:p w14:paraId="6598D40E" w14:textId="77777777" w:rsidR="0008602A" w:rsidRPr="00D219D6" w:rsidRDefault="0008602A" w:rsidP="00783189">
      <w:pPr>
        <w:widowControl/>
        <w:autoSpaceDE/>
        <w:autoSpaceDN/>
        <w:adjustRightInd/>
        <w:rPr>
          <w:rFonts w:asciiTheme="minorHAnsi" w:hAnsiTheme="minorHAnsi" w:cstheme="minorHAnsi"/>
          <w:bCs/>
          <w:iCs/>
          <w:color w:val="0070C0"/>
          <w:u w:val="single"/>
        </w:rPr>
      </w:pPr>
    </w:p>
    <w:p w14:paraId="3628BF04" w14:textId="77777777" w:rsidR="00885812" w:rsidRPr="00885812" w:rsidRDefault="00885812" w:rsidP="00885812">
      <w:pPr>
        <w:pStyle w:val="NoSpacing"/>
        <w:jc w:val="both"/>
        <w:rPr>
          <w:sz w:val="24"/>
          <w:szCs w:val="24"/>
        </w:rPr>
      </w:pPr>
      <w:r w:rsidRPr="00885812">
        <w:rPr>
          <w:b/>
          <w:bCs/>
          <w:sz w:val="24"/>
          <w:szCs w:val="24"/>
        </w:rPr>
        <w:t>Observation FY 2024-01:</w:t>
      </w:r>
      <w:r w:rsidRPr="00885812">
        <w:rPr>
          <w:sz w:val="24"/>
          <w:szCs w:val="24"/>
        </w:rPr>
        <w:t xml:space="preserve"> In FY 2024, the percentage of safety inspections in-compliance (51.89%) exceeded the FRL range of 26.27% to 39.40% for safety (SAMM 9a).</w:t>
      </w:r>
    </w:p>
    <w:p w14:paraId="5434D89D" w14:textId="77777777" w:rsidR="00885812" w:rsidRPr="00885812" w:rsidRDefault="00885812" w:rsidP="00885812">
      <w:pPr>
        <w:pStyle w:val="NoSpacing"/>
        <w:jc w:val="both"/>
        <w:rPr>
          <w:sz w:val="24"/>
          <w:szCs w:val="24"/>
        </w:rPr>
      </w:pPr>
      <w:r w:rsidRPr="00885812">
        <w:rPr>
          <w:b/>
          <w:bCs/>
          <w:sz w:val="24"/>
          <w:szCs w:val="24"/>
        </w:rPr>
        <w:t>Federal Monitoring Plan:</w:t>
      </w:r>
      <w:r w:rsidRPr="00885812">
        <w:rPr>
          <w:sz w:val="24"/>
          <w:szCs w:val="24"/>
        </w:rPr>
        <w:t xml:space="preserve"> OSHA will continue to discuss this metric with the South Carolina State Plan during quarterly meetings in FY 2025.</w:t>
      </w:r>
    </w:p>
    <w:p w14:paraId="0A66E8EA" w14:textId="77777777" w:rsidR="00885812" w:rsidRPr="00885812" w:rsidRDefault="00885812" w:rsidP="00885812">
      <w:pPr>
        <w:pStyle w:val="NoSpacing"/>
        <w:jc w:val="both"/>
        <w:rPr>
          <w:sz w:val="24"/>
          <w:szCs w:val="24"/>
        </w:rPr>
      </w:pPr>
      <w:r w:rsidRPr="00885812">
        <w:rPr>
          <w:b/>
          <w:bCs/>
          <w:sz w:val="24"/>
          <w:szCs w:val="24"/>
        </w:rPr>
        <w:t>Discussion:</w:t>
      </w:r>
      <w:r w:rsidRPr="00885812">
        <w:rPr>
          <w:sz w:val="24"/>
          <w:szCs w:val="24"/>
        </w:rPr>
        <w:t xml:space="preserve"> The FRL for SAMM 9a is ±20% of 32.83%, based on a three-year national average. South Carolina’s in-compliance rate is above the FRL, which could raise concerns. As this is the first year above the FRL, OSHA will monitor the situation as an Observation.</w:t>
      </w:r>
    </w:p>
    <w:p w14:paraId="7C2F3EA1" w14:textId="77777777" w:rsidR="005E038B" w:rsidRPr="00B478D4" w:rsidRDefault="005E038B" w:rsidP="00783189">
      <w:pPr>
        <w:widowControl/>
        <w:autoSpaceDE/>
        <w:autoSpaceDN/>
        <w:adjustRightInd/>
        <w:rPr>
          <w:rFonts w:asciiTheme="minorHAnsi" w:hAnsiTheme="minorHAnsi" w:cstheme="minorHAnsi"/>
          <w:bCs/>
        </w:rPr>
      </w:pPr>
    </w:p>
    <w:p w14:paraId="3B828F9D" w14:textId="6C45BA5D" w:rsidR="00F132A8" w:rsidRPr="0061362E" w:rsidRDefault="00F132A8" w:rsidP="0061362E">
      <w:pPr>
        <w:pStyle w:val="Heading3"/>
      </w:pPr>
      <w:bookmarkStart w:id="33" w:name="_Toc118900177"/>
      <w:bookmarkStart w:id="34" w:name="_Toc118905016"/>
      <w:bookmarkStart w:id="35" w:name="_Toc119418668"/>
      <w:r w:rsidRPr="0061362E">
        <w:t>State Activity Mandated Measures (SAMM)</w:t>
      </w:r>
      <w:r w:rsidR="00A243D6" w:rsidRPr="0061362E">
        <w:t xml:space="preserve"> Highlights</w:t>
      </w:r>
      <w:bookmarkEnd w:id="33"/>
      <w:bookmarkEnd w:id="34"/>
      <w:bookmarkEnd w:id="35"/>
    </w:p>
    <w:p w14:paraId="1ACC4DE2" w14:textId="77777777" w:rsidR="00F132A8" w:rsidRPr="001C1E47" w:rsidRDefault="00F132A8" w:rsidP="00A24D16">
      <w:pPr>
        <w:widowControl/>
        <w:autoSpaceDE/>
        <w:autoSpaceDN/>
        <w:adjustRightInd/>
        <w:ind w:left="720"/>
        <w:contextualSpacing/>
        <w:jc w:val="both"/>
        <w:rPr>
          <w:rFonts w:cs="Calibri"/>
          <w:sz w:val="28"/>
          <w:szCs w:val="28"/>
        </w:rPr>
      </w:pPr>
    </w:p>
    <w:p w14:paraId="502774D6" w14:textId="45904F6B" w:rsidR="002966F6" w:rsidRDefault="00EC7600" w:rsidP="00A24D16">
      <w:pPr>
        <w:widowControl/>
        <w:autoSpaceDE/>
        <w:adjustRightInd/>
        <w:jc w:val="both"/>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2441C0">
        <w:rPr>
          <w:rFonts w:cs="Calibri"/>
        </w:rPr>
        <w:t>24</w:t>
      </w:r>
      <w:r w:rsidR="005D1F76" w:rsidRPr="001C1E47">
        <w:rPr>
          <w:rFonts w:cs="Calibri"/>
        </w:rPr>
        <w:t xml:space="preserve"> State Activity Mandated Measures (SAMM) Report and includes the FRLs for each measure. </w:t>
      </w:r>
    </w:p>
    <w:p w14:paraId="44A3AB01" w14:textId="77777777" w:rsidR="002966F6" w:rsidRDefault="002966F6" w:rsidP="00A24D16">
      <w:pPr>
        <w:widowControl/>
        <w:autoSpaceDE/>
        <w:adjustRightInd/>
        <w:jc w:val="both"/>
        <w:rPr>
          <w:rFonts w:cs="Calibri"/>
        </w:rPr>
      </w:pPr>
    </w:p>
    <w:p w14:paraId="75AF2501" w14:textId="36FA8A98" w:rsidR="00EC7600" w:rsidRDefault="00EC7600" w:rsidP="00783189">
      <w:pPr>
        <w:widowControl/>
        <w:autoSpaceDE/>
        <w:adjustRightInd/>
        <w:rPr>
          <w:rFonts w:cs="Calibri"/>
        </w:rPr>
      </w:pPr>
      <w:r w:rsidRPr="001C1E47">
        <w:rPr>
          <w:rFonts w:cs="Calibri"/>
        </w:rPr>
        <w:t>The State Plan was outside the FRL on the following SAMMs:</w:t>
      </w:r>
    </w:p>
    <w:p w14:paraId="3EAB4CAA" w14:textId="77777777" w:rsidR="00477CFD" w:rsidRDefault="00477CFD" w:rsidP="00783189">
      <w:pPr>
        <w:widowControl/>
        <w:autoSpaceDE/>
        <w:adjustRightInd/>
        <w:rPr>
          <w:rFonts w:cs="Calibri"/>
        </w:rPr>
      </w:pPr>
    </w:p>
    <w:p w14:paraId="1CC5AC9B" w14:textId="77777777" w:rsidR="00477CFD" w:rsidRPr="007E3D81" w:rsidRDefault="00477CFD" w:rsidP="00A24D16">
      <w:pPr>
        <w:widowControl/>
        <w:autoSpaceDE/>
        <w:adjustRightInd/>
        <w:jc w:val="both"/>
        <w:rPr>
          <w:b/>
          <w:bCs/>
        </w:rPr>
      </w:pPr>
      <w:r w:rsidRPr="007E3D81">
        <w:rPr>
          <w:b/>
          <w:bCs/>
        </w:rPr>
        <w:t>SAMM 1a – Average number of workdays to initiate complaint inspections (state formula) and SAMM 2a – Average number of workdays to initiate complaint</w:t>
      </w:r>
      <w:r>
        <w:rPr>
          <w:b/>
          <w:bCs/>
        </w:rPr>
        <w:t xml:space="preserve"> investigations </w:t>
      </w:r>
      <w:r w:rsidRPr="007E3D81">
        <w:rPr>
          <w:b/>
          <w:bCs/>
        </w:rPr>
        <w:t xml:space="preserve">(state formula) </w:t>
      </w:r>
    </w:p>
    <w:p w14:paraId="667B7000" w14:textId="591FC2F0" w:rsidR="00477CFD" w:rsidRDefault="00477CFD" w:rsidP="00A24D16">
      <w:pPr>
        <w:widowControl/>
        <w:autoSpaceDE/>
        <w:adjustRightInd/>
        <w:jc w:val="both"/>
      </w:pPr>
      <w:r w:rsidRPr="00284B8A">
        <w:rPr>
          <w:b/>
          <w:bCs/>
        </w:rPr>
        <w:t>Discussion of State Plan data and FRL:</w:t>
      </w:r>
      <w:r>
        <w:t xml:space="preserve"> In FY 202</w:t>
      </w:r>
      <w:r w:rsidR="00E30F31">
        <w:t>4</w:t>
      </w:r>
      <w:r>
        <w:t xml:space="preserve">, SC OSHA initiated complaint inspections in an average of </w:t>
      </w:r>
      <w:r w:rsidR="00E30F31">
        <w:t>69.97</w:t>
      </w:r>
      <w:r>
        <w:t xml:space="preserve"> days (state formula) and complaint investigations in </w:t>
      </w:r>
      <w:r w:rsidR="00E30F31">
        <w:t>63.60</w:t>
      </w:r>
      <w:r>
        <w:t xml:space="preserve"> days (state formula). For SAMM 1a, the FRL is 7, which is the average number of days to initiate complaint inspections, and for SAMM 2a, the FRL is 5, which is the average number of days to initiate complaint investigations. SC OSHA was outside of the FRLs in SAMM 1a and SAMM 2a. </w:t>
      </w:r>
    </w:p>
    <w:p w14:paraId="4153A25D" w14:textId="77777777" w:rsidR="00A24D16" w:rsidRDefault="00477CFD" w:rsidP="00A24D16">
      <w:pPr>
        <w:jc w:val="both"/>
      </w:pPr>
      <w:r w:rsidRPr="000F38C6">
        <w:rPr>
          <w:b/>
          <w:bCs/>
        </w:rPr>
        <w:t>Explanation:</w:t>
      </w:r>
      <w:r>
        <w:t xml:space="preserve"> </w:t>
      </w:r>
      <w:bookmarkStart w:id="36" w:name="_Hlk188543420"/>
      <w:r>
        <w:t xml:space="preserve">SC OSHA was outside of the State formula’s FRL for inspections (7 days) and investigations (5 days) but </w:t>
      </w:r>
      <w:r w:rsidR="00E30F31">
        <w:t>was at</w:t>
      </w:r>
      <w:r>
        <w:t xml:space="preserve"> the federal formula for </w:t>
      </w:r>
      <w:r w:rsidR="00A24D16">
        <w:t>inspections (SAMM 1b)</w:t>
      </w:r>
      <w:r>
        <w:t xml:space="preserve">. SAMM 1a and 2a calculate the number of days between complaint receipt date and the first action. Under this formula, longer response times may be caused by incomplete complaints. SAMM 1b is for informational purposes only, and is not a mandated measure, but it calculates the number of days between the date the office deems the complaint to be valid (having all information needed to initiate a complaint inspection) and the first action date. Under SAMM 1b, SC OSHA had an average of </w:t>
      </w:r>
      <w:r w:rsidR="00E30F31">
        <w:t>7.13</w:t>
      </w:r>
      <w:r>
        <w:t xml:space="preserve"> days for complaint inspections, and for SAMM 2b, SC OSHA had </w:t>
      </w:r>
      <w:r w:rsidR="00E30F31">
        <w:t>8.37</w:t>
      </w:r>
      <w:r>
        <w:t xml:space="preserve"> days for complaint investigations. </w:t>
      </w:r>
    </w:p>
    <w:p w14:paraId="52E91A98" w14:textId="77777777" w:rsidR="00A24D16" w:rsidRDefault="00A24D16" w:rsidP="00A24D16">
      <w:pPr>
        <w:jc w:val="both"/>
      </w:pPr>
    </w:p>
    <w:p w14:paraId="35F03811" w14:textId="27D15E18" w:rsidR="009A4DCA" w:rsidRDefault="00A24D16" w:rsidP="00A24D16">
      <w:pPr>
        <w:jc w:val="both"/>
        <w:rPr>
          <w:color w:val="000000"/>
        </w:rPr>
      </w:pPr>
      <w:r>
        <w:rPr>
          <w:color w:val="000000"/>
        </w:rPr>
        <w:t>E</w:t>
      </w:r>
      <w:r w:rsidR="009A4DCA">
        <w:rPr>
          <w:color w:val="000000"/>
        </w:rPr>
        <w:t xml:space="preserve">xtended response times were primarily due to an increased volume of </w:t>
      </w:r>
      <w:r w:rsidR="00826AD4">
        <w:rPr>
          <w:color w:val="000000"/>
        </w:rPr>
        <w:t>unprogrammed activity</w:t>
      </w:r>
      <w:r w:rsidR="009A4DCA">
        <w:rPr>
          <w:color w:val="000000"/>
        </w:rPr>
        <w:t xml:space="preserve"> in addition to limited staffing resources managing the complaint desk. </w:t>
      </w:r>
      <w:r w:rsidR="002C4C80">
        <w:rPr>
          <w:color w:val="000000"/>
        </w:rPr>
        <w:t>Also</w:t>
      </w:r>
      <w:r w:rsidR="00087B24">
        <w:rPr>
          <w:color w:val="000000"/>
        </w:rPr>
        <w:t>,</w:t>
      </w:r>
      <w:r w:rsidR="002C4C80">
        <w:rPr>
          <w:color w:val="000000"/>
        </w:rPr>
        <w:t xml:space="preserve"> adding to the response time was the need to get more information on i</w:t>
      </w:r>
      <w:r w:rsidR="009A4DCA">
        <w:rPr>
          <w:color w:val="000000"/>
        </w:rPr>
        <w:t>ncomplete complaints</w:t>
      </w:r>
      <w:r w:rsidR="0029485A">
        <w:rPr>
          <w:color w:val="000000"/>
        </w:rPr>
        <w:t>.</w:t>
      </w:r>
      <w:r w:rsidR="009A4DCA">
        <w:rPr>
          <w:color w:val="000000"/>
        </w:rPr>
        <w:t xml:space="preserve">  SC OSHA has </w:t>
      </w:r>
      <w:r w:rsidR="00826AD4">
        <w:rPr>
          <w:color w:val="000000"/>
        </w:rPr>
        <w:t xml:space="preserve">begun to </w:t>
      </w:r>
      <w:r w:rsidR="009A4DCA">
        <w:rPr>
          <w:color w:val="000000"/>
        </w:rPr>
        <w:t xml:space="preserve">take steps to address these issues by reallocating </w:t>
      </w:r>
      <w:r w:rsidR="00826AD4">
        <w:rPr>
          <w:color w:val="000000"/>
        </w:rPr>
        <w:t>resources and</w:t>
      </w:r>
      <w:r w:rsidR="009A4DCA">
        <w:rPr>
          <w:color w:val="000000"/>
        </w:rPr>
        <w:t xml:space="preserve"> enhancing staff training to better manage the complaint process. These efforts aim to bring response times closer to the prescribed FRLs in future evaluations.</w:t>
      </w:r>
      <w:r>
        <w:rPr>
          <w:color w:val="000000"/>
        </w:rPr>
        <w:t xml:space="preserve">  </w:t>
      </w:r>
      <w:r w:rsidR="001B4133">
        <w:rPr>
          <w:color w:val="000000"/>
        </w:rPr>
        <w:t>Finding</w:t>
      </w:r>
      <w:r>
        <w:t>s FY 2024-01 and FY 2024-02 remain open.</w:t>
      </w:r>
    </w:p>
    <w:p w14:paraId="6FA4555A" w14:textId="5BA3B014" w:rsidR="00477CFD" w:rsidRDefault="00477CFD" w:rsidP="00515320">
      <w:pPr>
        <w:widowControl/>
        <w:autoSpaceDE/>
        <w:adjustRightInd/>
        <w:jc w:val="both"/>
      </w:pPr>
    </w:p>
    <w:bookmarkEnd w:id="36"/>
    <w:p w14:paraId="280A0D7F" w14:textId="5A4E6E56" w:rsidR="00E30F31" w:rsidRPr="00F257CE" w:rsidRDefault="00E30F31" w:rsidP="00A24D1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PMingLiU" w:hAnsiTheme="minorHAnsi" w:cstheme="minorHAnsi"/>
          <w:b/>
          <w:bCs/>
        </w:rPr>
      </w:pPr>
      <w:r w:rsidRPr="00F257CE">
        <w:rPr>
          <w:b/>
          <w:bCs/>
        </w:rPr>
        <w:t xml:space="preserve">SAMM 4 – </w:t>
      </w:r>
      <w:r w:rsidRPr="00F257CE">
        <w:rPr>
          <w:rFonts w:asciiTheme="minorHAnsi" w:hAnsiTheme="minorHAnsi" w:cstheme="minorHAnsi"/>
          <w:b/>
          <w:bCs/>
        </w:rPr>
        <w:t>Number of denials where entry not obtained</w:t>
      </w:r>
    </w:p>
    <w:p w14:paraId="39F6C037" w14:textId="5E2116EC" w:rsidR="00710CEC" w:rsidRDefault="00E30F31" w:rsidP="00A24D16">
      <w:pPr>
        <w:jc w:val="both"/>
        <w:rPr>
          <w:color w:val="000000"/>
        </w:rPr>
      </w:pPr>
      <w:r w:rsidRPr="008C152A">
        <w:rPr>
          <w:b/>
          <w:bCs/>
        </w:rPr>
        <w:t>Discussion of State Plan Data and FRL:</w:t>
      </w:r>
      <w:r w:rsidR="00515320">
        <w:rPr>
          <w:b/>
          <w:bCs/>
        </w:rPr>
        <w:t xml:space="preserve"> </w:t>
      </w:r>
      <w:r w:rsidR="000246A6">
        <w:rPr>
          <w:color w:val="000000"/>
        </w:rPr>
        <w:t>T</w:t>
      </w:r>
      <w:r w:rsidR="00515320">
        <w:rPr>
          <w:color w:val="000000"/>
        </w:rPr>
        <w:t>wo</w:t>
      </w:r>
      <w:r w:rsidR="00F257CE">
        <w:rPr>
          <w:color w:val="000000"/>
        </w:rPr>
        <w:t xml:space="preserve"> (2)</w:t>
      </w:r>
      <w:r w:rsidR="00515320">
        <w:rPr>
          <w:color w:val="000000"/>
        </w:rPr>
        <w:t xml:space="preserve"> outliers were initially identified in Appendix D, indicating instances where denials were not obtained. </w:t>
      </w:r>
    </w:p>
    <w:p w14:paraId="17A97DDF" w14:textId="7E584C04" w:rsidR="00515320" w:rsidRDefault="00710CEC" w:rsidP="00A24D16">
      <w:pPr>
        <w:jc w:val="both"/>
        <w:rPr>
          <w:color w:val="000000"/>
        </w:rPr>
      </w:pPr>
      <w:r w:rsidRPr="00925A66">
        <w:rPr>
          <w:b/>
          <w:bCs/>
        </w:rPr>
        <w:t>Explanation</w:t>
      </w:r>
      <w:r>
        <w:rPr>
          <w:b/>
          <w:bCs/>
        </w:rPr>
        <w:t>:</w:t>
      </w:r>
      <w:r w:rsidRPr="00710CEC">
        <w:t xml:space="preserve"> </w:t>
      </w:r>
      <w:r w:rsidR="00515320">
        <w:rPr>
          <w:color w:val="000000"/>
        </w:rPr>
        <w:t>These outliers were determined to be the result of data entry errors. This has since been corrected, and updated data confirms there are no outliers in this measure.</w:t>
      </w:r>
    </w:p>
    <w:p w14:paraId="6C9B9758" w14:textId="77777777" w:rsidR="00E30F31" w:rsidRDefault="00E30F31" w:rsidP="00A24D16">
      <w:pPr>
        <w:widowControl/>
        <w:autoSpaceDE/>
        <w:adjustRightInd/>
        <w:jc w:val="both"/>
      </w:pPr>
    </w:p>
    <w:p w14:paraId="0E6B5E6D" w14:textId="2CA5CBA8" w:rsidR="00477CFD" w:rsidRDefault="00477CFD" w:rsidP="00AA4FE4">
      <w:pPr>
        <w:widowControl/>
        <w:autoSpaceDE/>
        <w:adjustRightInd/>
        <w:jc w:val="both"/>
        <w:rPr>
          <w:rFonts w:asciiTheme="minorHAnsi" w:hAnsiTheme="minorHAnsi" w:cstheme="minorHAnsi"/>
          <w:b/>
          <w:bCs/>
        </w:rPr>
      </w:pPr>
      <w:r w:rsidRPr="00A76FC0">
        <w:rPr>
          <w:b/>
          <w:bCs/>
        </w:rPr>
        <w:t xml:space="preserve">SAMM </w:t>
      </w:r>
      <w:r>
        <w:rPr>
          <w:b/>
          <w:bCs/>
        </w:rPr>
        <w:t>5</w:t>
      </w:r>
      <w:r w:rsidR="00FA1CA2">
        <w:rPr>
          <w:b/>
          <w:bCs/>
        </w:rPr>
        <w:t>b</w:t>
      </w:r>
      <w:r w:rsidRPr="00A76FC0">
        <w:rPr>
          <w:b/>
          <w:bCs/>
        </w:rPr>
        <w:t xml:space="preserve"> – </w:t>
      </w:r>
      <w:r w:rsidRPr="00DD229F">
        <w:rPr>
          <w:rFonts w:asciiTheme="minorHAnsi" w:hAnsiTheme="minorHAnsi" w:cstheme="minorHAnsi"/>
          <w:b/>
          <w:bCs/>
        </w:rPr>
        <w:t xml:space="preserve">Average number of violations per inspection with violations by violation type </w:t>
      </w:r>
    </w:p>
    <w:p w14:paraId="48123179" w14:textId="1E69B015" w:rsidR="00477CFD" w:rsidRDefault="00477CFD" w:rsidP="00AA4FE4">
      <w:pPr>
        <w:widowControl/>
        <w:autoSpaceDE/>
        <w:adjustRightInd/>
        <w:jc w:val="both"/>
      </w:pPr>
      <w:r w:rsidRPr="008C152A">
        <w:rPr>
          <w:b/>
          <w:bCs/>
        </w:rPr>
        <w:t>Discussion of State Plan Data and FRL:</w:t>
      </w:r>
      <w:bookmarkStart w:id="37" w:name="_Hlk188970113"/>
      <w:r w:rsidR="00FA1CA2">
        <w:rPr>
          <w:b/>
          <w:bCs/>
        </w:rPr>
        <w:t xml:space="preserve"> </w:t>
      </w:r>
      <w:r w:rsidR="00FA1CA2" w:rsidRPr="00FA1CA2">
        <w:t>In FY</w:t>
      </w:r>
      <w:r>
        <w:t xml:space="preserve"> 202</w:t>
      </w:r>
      <w:r w:rsidR="00FA1CA2">
        <w:t>4</w:t>
      </w:r>
      <w:r>
        <w:t xml:space="preserve"> </w:t>
      </w:r>
      <w:r w:rsidR="00FA1CA2">
        <w:t xml:space="preserve">the national </w:t>
      </w:r>
      <w:r>
        <w:t>average for other-than-serious (OTS) violations</w:t>
      </w:r>
      <w:r w:rsidR="00FA1CA2">
        <w:t xml:space="preserve"> was 0.94, within the</w:t>
      </w:r>
      <w:r>
        <w:t xml:space="preserve"> FRL range of </w:t>
      </w:r>
      <w:r w:rsidR="00FA1CA2">
        <w:t>0.75 to 1.12</w:t>
      </w:r>
      <w:r>
        <w:t xml:space="preserve">. </w:t>
      </w:r>
      <w:r w:rsidR="00FA1CA2">
        <w:t xml:space="preserve"> SC OSHA’s average for OTS violations</w:t>
      </w:r>
      <w:r w:rsidR="00710CEC">
        <w:t xml:space="preserve"> per inspection</w:t>
      </w:r>
      <w:r w:rsidR="00FA1CA2">
        <w:t xml:space="preserve"> was 0.29, which falls below the FRL</w:t>
      </w:r>
      <w:r w:rsidR="006665E1">
        <w:t xml:space="preserve">.  Although the State was within range for Serious, Willful, </w:t>
      </w:r>
      <w:proofErr w:type="gramStart"/>
      <w:r w:rsidR="006665E1">
        <w:t>Repeat</w:t>
      </w:r>
      <w:proofErr w:type="gramEnd"/>
      <w:r w:rsidR="006665E1">
        <w:t xml:space="preserve"> violations per inspection, the lower OTS suggests that some violations are not being cited as reference</w:t>
      </w:r>
      <w:r w:rsidR="00D1424F">
        <w:t>d</w:t>
      </w:r>
      <w:r w:rsidR="006665E1">
        <w:t xml:space="preserve"> in </w:t>
      </w:r>
      <w:r w:rsidR="001B4133">
        <w:t>Finding</w:t>
      </w:r>
      <w:r w:rsidR="006665E1">
        <w:t xml:space="preserve"> FY 2024-04.</w:t>
      </w:r>
    </w:p>
    <w:bookmarkEnd w:id="37"/>
    <w:p w14:paraId="025C3F7D" w14:textId="70666C82" w:rsidR="002F2F24" w:rsidRDefault="00477CFD" w:rsidP="002F2F24">
      <w:pPr>
        <w:jc w:val="both"/>
        <w:rPr>
          <w:color w:val="000000"/>
        </w:rPr>
      </w:pPr>
      <w:r w:rsidRPr="00925A66">
        <w:rPr>
          <w:b/>
          <w:bCs/>
        </w:rPr>
        <w:t>Explanation</w:t>
      </w:r>
      <w:r w:rsidR="00710CEC">
        <w:rPr>
          <w:b/>
          <w:bCs/>
        </w:rPr>
        <w:t>:</w:t>
      </w:r>
      <w:r w:rsidR="00710CEC" w:rsidRPr="00710CEC">
        <w:t xml:space="preserve"> </w:t>
      </w:r>
      <w:r w:rsidR="00C239B5">
        <w:t xml:space="preserve">Although the State's Serious, Willful, Repeat (SWRU) violations per inspection were within range at 1.93 (with a FRL of 1.39 to 2.08), the lower OTS suggests that some violations may not be cited, as referenced in Finding FY 2024-04. This </w:t>
      </w:r>
      <w:r w:rsidR="001A5BF1">
        <w:t>F</w:t>
      </w:r>
      <w:r w:rsidR="00C239B5">
        <w:t>inding remains open.</w:t>
      </w:r>
    </w:p>
    <w:p w14:paraId="0D82058A" w14:textId="0FD33C37" w:rsidR="00477CFD" w:rsidRDefault="00477CFD" w:rsidP="00477CFD">
      <w:pPr>
        <w:widowControl/>
        <w:autoSpaceDE/>
        <w:adjustRightInd/>
      </w:pPr>
    </w:p>
    <w:p w14:paraId="501B2DE3" w14:textId="0F0D8C67" w:rsidR="00477CFD" w:rsidRDefault="00477CFD" w:rsidP="00477CFD">
      <w:pPr>
        <w:widowControl/>
        <w:autoSpaceDE/>
        <w:adjustRightInd/>
      </w:pPr>
      <w:r w:rsidRPr="00A76FC0">
        <w:rPr>
          <w:b/>
          <w:bCs/>
        </w:rPr>
        <w:t>SAMM 6 – Percent of inspections in state and local government workplaces</w:t>
      </w:r>
    </w:p>
    <w:p w14:paraId="3DBC447E" w14:textId="163AC656" w:rsidR="00477CFD" w:rsidRDefault="00477CFD" w:rsidP="00477CFD">
      <w:pPr>
        <w:widowControl/>
        <w:autoSpaceDE/>
        <w:adjustRightInd/>
      </w:pPr>
      <w:r w:rsidRPr="00A76FC0">
        <w:rPr>
          <w:b/>
          <w:bCs/>
        </w:rPr>
        <w:t>Discussion of State Plan data and FRL:</w:t>
      </w:r>
      <w:r>
        <w:t xml:space="preserve"> The FRL was +/-5% of the negotiated level of </w:t>
      </w:r>
      <w:r w:rsidR="00337932">
        <w:t>5.36</w:t>
      </w:r>
      <w:r>
        <w:t xml:space="preserve">%.  The range of acceptable data not requiring further review was </w:t>
      </w:r>
      <w:r w:rsidR="00337932">
        <w:t>5.09</w:t>
      </w:r>
      <w:r>
        <w:t xml:space="preserve">% to </w:t>
      </w:r>
      <w:r w:rsidR="00337932">
        <w:t>5.63</w:t>
      </w:r>
      <w:r>
        <w:t xml:space="preserve">%. SC OSHA conducted </w:t>
      </w:r>
      <w:r w:rsidR="00337932">
        <w:t>5.70</w:t>
      </w:r>
      <w:r>
        <w:t xml:space="preserve">% of its total inspections in state and local government workplaces, which was slightly </w:t>
      </w:r>
      <w:r w:rsidR="00337932">
        <w:t xml:space="preserve">above </w:t>
      </w:r>
      <w:r>
        <w:t xml:space="preserve">the FRL. </w:t>
      </w:r>
    </w:p>
    <w:p w14:paraId="5D0B5BDF" w14:textId="590E8C2F" w:rsidR="00477CFD" w:rsidRDefault="00E44D65" w:rsidP="006679D1">
      <w:pPr>
        <w:widowControl/>
        <w:autoSpaceDE/>
        <w:adjustRightInd/>
        <w:jc w:val="both"/>
      </w:pPr>
      <w:r>
        <w:rPr>
          <w:b/>
          <w:bCs/>
        </w:rPr>
        <w:t>E</w:t>
      </w:r>
      <w:r w:rsidR="00477CFD" w:rsidRPr="4EA60749">
        <w:rPr>
          <w:b/>
          <w:bCs/>
        </w:rPr>
        <w:t>xplanation:</w:t>
      </w:r>
      <w:r w:rsidR="00477CFD">
        <w:t xml:space="preserve"> Although this issue does not rise to the level of an </w:t>
      </w:r>
      <w:r w:rsidR="001B4133">
        <w:t>Observation</w:t>
      </w:r>
      <w:r w:rsidR="006679D1">
        <w:t xml:space="preserve"> for exceeding the</w:t>
      </w:r>
      <w:r w:rsidR="006679D1" w:rsidRPr="006679D1">
        <w:rPr>
          <w:b/>
          <w:bCs/>
        </w:rPr>
        <w:t xml:space="preserve"> </w:t>
      </w:r>
      <w:r w:rsidR="00C53011" w:rsidRPr="00C53011">
        <w:t>S</w:t>
      </w:r>
      <w:r w:rsidR="006679D1" w:rsidRPr="00C53011">
        <w:t>t</w:t>
      </w:r>
      <w:r w:rsidR="006679D1" w:rsidRPr="006679D1">
        <w:t>ate and local government workplace inspection goal</w:t>
      </w:r>
      <w:r w:rsidR="00477CFD" w:rsidRPr="006679D1">
        <w:t>, Federal OSHA will continue to review</w:t>
      </w:r>
      <w:r w:rsidR="00477CFD">
        <w:t xml:space="preserve"> </w:t>
      </w:r>
      <w:r w:rsidR="00C53011">
        <w:t>S</w:t>
      </w:r>
      <w:r w:rsidR="00477CFD">
        <w:t>tate and local government sector inspections during quarterly meetings.</w:t>
      </w:r>
    </w:p>
    <w:p w14:paraId="17D063E3" w14:textId="77777777" w:rsidR="00477CFD" w:rsidRDefault="00477CFD" w:rsidP="00477CFD">
      <w:pPr>
        <w:widowControl/>
        <w:autoSpaceDE/>
        <w:adjustRightInd/>
      </w:pPr>
    </w:p>
    <w:p w14:paraId="3094C831" w14:textId="77777777" w:rsidR="00477CFD" w:rsidRDefault="00477CFD" w:rsidP="00A0204C">
      <w:pPr>
        <w:widowControl/>
        <w:autoSpaceDE/>
        <w:adjustRightInd/>
        <w:jc w:val="both"/>
      </w:pPr>
      <w:r w:rsidRPr="001E0B4D">
        <w:rPr>
          <w:b/>
          <w:bCs/>
        </w:rPr>
        <w:t>SAMM 7 – Planned v. Actual Inspections – Safety/Health</w:t>
      </w:r>
    </w:p>
    <w:p w14:paraId="253A3A40" w14:textId="055F558C" w:rsidR="00477CFD" w:rsidRDefault="00477CFD" w:rsidP="00A0204C">
      <w:pPr>
        <w:widowControl/>
        <w:autoSpaceDE/>
        <w:adjustRightInd/>
        <w:jc w:val="both"/>
      </w:pPr>
      <w:bookmarkStart w:id="38" w:name="_Hlk188974163"/>
      <w:r w:rsidRPr="001E0B4D">
        <w:rPr>
          <w:b/>
          <w:bCs/>
        </w:rPr>
        <w:t>Discussion of State Plan Data and FRL:</w:t>
      </w:r>
      <w:r>
        <w:t xml:space="preserve"> SC OSHA conducted </w:t>
      </w:r>
      <w:r w:rsidR="002938C8">
        <w:t>154%</w:t>
      </w:r>
      <w:r>
        <w:t xml:space="preserve"> of the planned safety inspections (</w:t>
      </w:r>
      <w:r w:rsidR="002938C8">
        <w:t>301</w:t>
      </w:r>
      <w:r>
        <w:t xml:space="preserve"> of </w:t>
      </w:r>
      <w:r w:rsidR="002938C8">
        <w:t>195</w:t>
      </w:r>
      <w:r>
        <w:t xml:space="preserve">) and </w:t>
      </w:r>
      <w:r w:rsidR="008269A1">
        <w:t>141</w:t>
      </w:r>
      <w:r>
        <w:t>% of health inspections (</w:t>
      </w:r>
      <w:r w:rsidR="008269A1">
        <w:t>120</w:t>
      </w:r>
      <w:r>
        <w:t xml:space="preserve"> of 8</w:t>
      </w:r>
      <w:r w:rsidR="008269A1">
        <w:t>5</w:t>
      </w:r>
      <w:r>
        <w:t xml:space="preserve">). </w:t>
      </w:r>
    </w:p>
    <w:p w14:paraId="45D982A4" w14:textId="3EA56611" w:rsidR="00477CFD" w:rsidRPr="002B780F" w:rsidRDefault="00477CFD" w:rsidP="00A0204C">
      <w:pPr>
        <w:jc w:val="both"/>
      </w:pPr>
      <w:r w:rsidRPr="001E0B4D">
        <w:rPr>
          <w:b/>
          <w:bCs/>
        </w:rPr>
        <w:t>Explanation:</w:t>
      </w:r>
      <w:r w:rsidRPr="00793EE6">
        <w:t xml:space="preserve"> </w:t>
      </w:r>
      <w:bookmarkStart w:id="39" w:name="_Hlk190949524"/>
      <w:r w:rsidR="008269A1" w:rsidRPr="008269A1">
        <w:t xml:space="preserve">SC OSHA successfully </w:t>
      </w:r>
      <w:r w:rsidR="00A0204C">
        <w:t>exceeded their</w:t>
      </w:r>
      <w:r w:rsidR="008269A1" w:rsidRPr="008269A1">
        <w:t xml:space="preserve"> inspection goal for FY 2024, demonstrating progress toward</w:t>
      </w:r>
      <w:r w:rsidR="00A0204C">
        <w:t>s</w:t>
      </w:r>
      <w:r w:rsidR="008269A1" w:rsidRPr="008269A1">
        <w:t xml:space="preserve"> </w:t>
      </w:r>
      <w:r w:rsidR="00907EC8">
        <w:t xml:space="preserve">enforcement </w:t>
      </w:r>
      <w:r w:rsidR="00A0204C">
        <w:t xml:space="preserve">goals.  </w:t>
      </w:r>
      <w:r w:rsidR="008269A1">
        <w:t xml:space="preserve">SC OSHA </w:t>
      </w:r>
      <w:r w:rsidR="00A0204C">
        <w:t xml:space="preserve">also </w:t>
      </w:r>
      <w:r w:rsidR="008269A1">
        <w:t xml:space="preserve">made a concerted effort to fill staff vacancies and provide newly hired staff with training needed to conduct inspections. </w:t>
      </w:r>
      <w:r w:rsidR="008269A1" w:rsidRPr="002B780F">
        <w:t>SC OSHA closed the fiscal year with twenty</w:t>
      </w:r>
      <w:r w:rsidR="008269A1">
        <w:t>-three</w:t>
      </w:r>
      <w:r w:rsidR="008269A1" w:rsidRPr="002B780F">
        <w:t xml:space="preserve"> </w:t>
      </w:r>
      <w:r w:rsidR="008269A1">
        <w:t xml:space="preserve">(23) CSHOs, </w:t>
      </w:r>
      <w:r w:rsidR="008269A1" w:rsidRPr="002B780F">
        <w:t xml:space="preserve">or approximately </w:t>
      </w:r>
      <w:r w:rsidR="008269A1">
        <w:t>8</w:t>
      </w:r>
      <w:r w:rsidR="008269A1" w:rsidRPr="002B780F">
        <w:t>5% staffed.</w:t>
      </w:r>
      <w:r w:rsidR="00D06F43">
        <w:t xml:space="preserve">  However, </w:t>
      </w:r>
      <w:r w:rsidR="00D06F43" w:rsidRPr="008269A1">
        <w:t>SC OSHA's enforcement presence</w:t>
      </w:r>
      <w:r w:rsidR="00D06F43">
        <w:t xml:space="preserve"> (</w:t>
      </w:r>
      <w:r w:rsidR="00D06F43" w:rsidRPr="008269A1">
        <w:t>SAMM 17</w:t>
      </w:r>
      <w:r w:rsidR="00D06F43">
        <w:t>) is</w:t>
      </w:r>
      <w:r w:rsidR="00D06F43" w:rsidRPr="008269A1">
        <w:t xml:space="preserve"> </w:t>
      </w:r>
      <w:r w:rsidR="00D06F43">
        <w:t xml:space="preserve">at </w:t>
      </w:r>
      <w:r w:rsidR="00D06F43" w:rsidRPr="008269A1">
        <w:t>0.41%, well below the FRL range of 0.75% to 1.25%. This indicates that additional effort is needed to enhance their enforcement activities across the state.</w:t>
      </w:r>
      <w:r w:rsidR="00D06F43" w:rsidRPr="002B780F">
        <w:t xml:space="preserve"> </w:t>
      </w:r>
      <w:r w:rsidR="00D06F43">
        <w:t xml:space="preserve"> </w:t>
      </w:r>
    </w:p>
    <w:p w14:paraId="44759BCE" w14:textId="77777777" w:rsidR="00477CFD" w:rsidRDefault="00477CFD" w:rsidP="00A0204C">
      <w:pPr>
        <w:widowControl/>
        <w:autoSpaceDE/>
        <w:adjustRightInd/>
        <w:jc w:val="both"/>
      </w:pPr>
    </w:p>
    <w:bookmarkEnd w:id="38"/>
    <w:bookmarkEnd w:id="39"/>
    <w:p w14:paraId="6EE6F996" w14:textId="77777777" w:rsidR="00477CFD" w:rsidRDefault="00477CFD" w:rsidP="000855C8">
      <w:pPr>
        <w:widowControl/>
        <w:autoSpaceDE/>
        <w:adjustRightInd/>
        <w:jc w:val="both"/>
      </w:pPr>
      <w:r w:rsidRPr="009A3490">
        <w:rPr>
          <w:b/>
          <w:bCs/>
        </w:rPr>
        <w:t>SAMM 8 – Average current serious penalty in private sector - total (1 to greater than 250 workers)</w:t>
      </w:r>
      <w:r>
        <w:t xml:space="preserve"> </w:t>
      </w:r>
    </w:p>
    <w:p w14:paraId="2E01E1D6" w14:textId="4513415C" w:rsidR="00477CFD" w:rsidRDefault="00477CFD" w:rsidP="000855C8">
      <w:pPr>
        <w:widowControl/>
        <w:autoSpaceDE/>
        <w:adjustRightInd/>
        <w:jc w:val="both"/>
      </w:pPr>
      <w:r w:rsidRPr="009A3490">
        <w:rPr>
          <w:b/>
          <w:bCs/>
        </w:rPr>
        <w:t xml:space="preserve">Discussion of State Plan data and FRL: </w:t>
      </w:r>
      <w:r>
        <w:t>The FRL for SAMM 8, total average current penalty per serious violation (1 to greater than 250 employees) was +/- 25% of the three-year national average of $</w:t>
      </w:r>
      <w:r w:rsidR="006626FF">
        <w:t>3,793.81</w:t>
      </w:r>
      <w:r>
        <w:t xml:space="preserve">, which equals a range of </w:t>
      </w:r>
      <w:r w:rsidR="006626FF" w:rsidRPr="00563560">
        <w:rPr>
          <w:rFonts w:asciiTheme="minorHAnsi" w:hAnsiTheme="minorHAnsi" w:cstheme="minorHAnsi"/>
        </w:rPr>
        <w:t>$2,845.36 to $4,742.27</w:t>
      </w:r>
      <w:r>
        <w:t>. S</w:t>
      </w:r>
      <w:r w:rsidR="00C53011">
        <w:t>C OSHA</w:t>
      </w:r>
      <w:r>
        <w:t xml:space="preserve">’s total average current penalty per serious violation (1 to greater than 250 employees) was </w:t>
      </w:r>
      <w:r w:rsidR="006626FF" w:rsidRPr="00563560">
        <w:rPr>
          <w:rFonts w:asciiTheme="minorHAnsi" w:eastAsia="PMingLiU" w:hAnsiTheme="minorHAnsi" w:cstheme="minorHAnsi"/>
        </w:rPr>
        <w:t>$1,772.04</w:t>
      </w:r>
      <w:r>
        <w:t xml:space="preserve">, which is lower than the FRL. </w:t>
      </w:r>
    </w:p>
    <w:p w14:paraId="0241639B" w14:textId="138CCB2B" w:rsidR="00477CFD" w:rsidRDefault="00477CFD" w:rsidP="000855C8">
      <w:pPr>
        <w:widowControl/>
        <w:autoSpaceDE/>
        <w:adjustRightInd/>
        <w:jc w:val="both"/>
        <w:rPr>
          <w:rFonts w:cs="Calibri"/>
          <w:b/>
        </w:rPr>
      </w:pPr>
      <w:r w:rsidRPr="009A3490">
        <w:rPr>
          <w:b/>
          <w:bCs/>
        </w:rPr>
        <w:t>Explanation:</w:t>
      </w:r>
      <w:r>
        <w:t xml:space="preserve"> SC OSHA is below the FRL on average current serious penalties per violation. Please refer to </w:t>
      </w:r>
      <w:r w:rsidR="001B4133">
        <w:t>Finding</w:t>
      </w:r>
      <w:r>
        <w:t xml:space="preserve"> FY 202</w:t>
      </w:r>
      <w:r w:rsidR="006626FF">
        <w:t>4</w:t>
      </w:r>
      <w:r>
        <w:t xml:space="preserve">-02.  This </w:t>
      </w:r>
      <w:r w:rsidR="001B4133">
        <w:t>Finding</w:t>
      </w:r>
      <w:r>
        <w:t xml:space="preserve"> remains open.</w:t>
      </w:r>
    </w:p>
    <w:p w14:paraId="32F69A2A" w14:textId="77777777" w:rsidR="00477CFD" w:rsidRDefault="00477CFD" w:rsidP="00477CFD">
      <w:pPr>
        <w:widowControl/>
        <w:autoSpaceDE/>
        <w:autoSpaceDN/>
        <w:adjustRightInd/>
        <w:rPr>
          <w:b/>
          <w:bCs/>
        </w:rPr>
      </w:pPr>
    </w:p>
    <w:p w14:paraId="3BA8272F" w14:textId="0605BDAB" w:rsidR="000855C8" w:rsidRPr="00AA7274" w:rsidRDefault="00477CFD" w:rsidP="00477CFD">
      <w:pPr>
        <w:widowControl/>
        <w:autoSpaceDE/>
        <w:autoSpaceDN/>
        <w:adjustRightInd/>
        <w:rPr>
          <w:b/>
          <w:bCs/>
        </w:rPr>
      </w:pPr>
      <w:bookmarkStart w:id="40" w:name="_Hlk190859014"/>
      <w:r w:rsidRPr="00AA7274">
        <w:rPr>
          <w:b/>
          <w:bCs/>
        </w:rPr>
        <w:t xml:space="preserve">SAMM </w:t>
      </w:r>
      <w:r w:rsidR="000855C8" w:rsidRPr="00AA7274">
        <w:rPr>
          <w:b/>
          <w:bCs/>
        </w:rPr>
        <w:t>9a – Percent in-compliance for safety inspections</w:t>
      </w:r>
    </w:p>
    <w:p w14:paraId="1530A53F" w14:textId="0ED9905B" w:rsidR="00330F6C" w:rsidRPr="00AA7274" w:rsidRDefault="00330F6C" w:rsidP="00330F6C">
      <w:pPr>
        <w:widowControl/>
        <w:autoSpaceDE/>
        <w:autoSpaceDN/>
        <w:adjustRightInd/>
      </w:pPr>
      <w:r w:rsidRPr="00AA7274">
        <w:rPr>
          <w:b/>
          <w:bCs/>
        </w:rPr>
        <w:t>Discussion of State Plan data and FRL:</w:t>
      </w:r>
      <w:r w:rsidRPr="00AA7274">
        <w:t xml:space="preserve"> The FRL was +/-20% of the three-year national average of </w:t>
      </w:r>
      <w:r w:rsidR="00064DBF" w:rsidRPr="00AA7274">
        <w:t>32.8</w:t>
      </w:r>
      <w:r w:rsidR="00A64D56" w:rsidRPr="00AA7274">
        <w:t>3</w:t>
      </w:r>
      <w:r w:rsidRPr="00AA7274">
        <w:rPr>
          <w:rFonts w:asciiTheme="minorHAnsi" w:hAnsiTheme="minorHAnsi" w:cstheme="minorHAnsi"/>
        </w:rPr>
        <w:t xml:space="preserve">% </w:t>
      </w:r>
      <w:r w:rsidRPr="00AA7274">
        <w:t xml:space="preserve">for </w:t>
      </w:r>
      <w:r w:rsidR="00A64D56" w:rsidRPr="00AA7274">
        <w:t>percent in-compliance safety</w:t>
      </w:r>
      <w:r w:rsidRPr="00AA7274">
        <w:t xml:space="preserve"> inspections. The range of acceptable data not requiring further review was from </w:t>
      </w:r>
      <w:r w:rsidR="00064DBF" w:rsidRPr="00AA7274">
        <w:t>26.27</w:t>
      </w:r>
      <w:r w:rsidRPr="00AA7274">
        <w:rPr>
          <w:rFonts w:asciiTheme="minorHAnsi" w:hAnsiTheme="minorHAnsi" w:cstheme="minorHAnsi"/>
        </w:rPr>
        <w:t xml:space="preserve">% to </w:t>
      </w:r>
      <w:r w:rsidR="00064DBF" w:rsidRPr="00AA7274">
        <w:rPr>
          <w:rFonts w:asciiTheme="minorHAnsi" w:hAnsiTheme="minorHAnsi" w:cstheme="minorHAnsi"/>
        </w:rPr>
        <w:t>39.40</w:t>
      </w:r>
      <w:r w:rsidRPr="00AA7274">
        <w:rPr>
          <w:rFonts w:asciiTheme="minorHAnsi" w:hAnsiTheme="minorHAnsi" w:cstheme="minorHAnsi"/>
        </w:rPr>
        <w:t xml:space="preserve">% </w:t>
      </w:r>
      <w:r w:rsidRPr="00AA7274">
        <w:t xml:space="preserve">for </w:t>
      </w:r>
      <w:r w:rsidR="00A64D56" w:rsidRPr="00AA7274">
        <w:t>safety</w:t>
      </w:r>
      <w:r w:rsidRPr="00AA7274">
        <w:t xml:space="preserve">. SC OSHA had a </w:t>
      </w:r>
      <w:r w:rsidR="00A64D56" w:rsidRPr="00AA7274">
        <w:t>safety</w:t>
      </w:r>
      <w:r w:rsidRPr="00AA7274">
        <w:t xml:space="preserve"> in-compliance rate of </w:t>
      </w:r>
      <w:r w:rsidR="00A64D56" w:rsidRPr="00AA7274">
        <w:t>51.89</w:t>
      </w:r>
      <w:r w:rsidRPr="00AA7274">
        <w:t>%.</w:t>
      </w:r>
    </w:p>
    <w:p w14:paraId="3AA171F5" w14:textId="6E694CF2" w:rsidR="000855C8" w:rsidRDefault="00330F6C" w:rsidP="00477CFD">
      <w:pPr>
        <w:widowControl/>
        <w:autoSpaceDE/>
        <w:autoSpaceDN/>
        <w:adjustRightInd/>
      </w:pPr>
      <w:r w:rsidRPr="00AA7274">
        <w:rPr>
          <w:b/>
          <w:bCs/>
        </w:rPr>
        <w:t xml:space="preserve">Explanation: </w:t>
      </w:r>
      <w:r w:rsidR="0059477F">
        <w:t>SC OSHA's in-compliance rate for safety inspections was above the FRL range, which may be attributed to a low number of experienced staff. As a result, this has been identified as a new Observation based on the SAMM data.</w:t>
      </w:r>
    </w:p>
    <w:p w14:paraId="148D8A87" w14:textId="77777777" w:rsidR="0059477F" w:rsidRPr="00AA7274" w:rsidRDefault="0059477F" w:rsidP="00477CFD">
      <w:pPr>
        <w:widowControl/>
        <w:autoSpaceDE/>
        <w:autoSpaceDN/>
        <w:adjustRightInd/>
        <w:rPr>
          <w:b/>
          <w:bCs/>
        </w:rPr>
      </w:pPr>
    </w:p>
    <w:p w14:paraId="398500D8" w14:textId="005B02DB" w:rsidR="00477CFD" w:rsidRPr="00AA7274" w:rsidRDefault="000855C8" w:rsidP="00477CFD">
      <w:pPr>
        <w:widowControl/>
        <w:autoSpaceDE/>
        <w:autoSpaceDN/>
        <w:adjustRightInd/>
        <w:rPr>
          <w:b/>
          <w:bCs/>
        </w:rPr>
      </w:pPr>
      <w:r w:rsidRPr="00AA7274">
        <w:rPr>
          <w:b/>
          <w:bCs/>
        </w:rPr>
        <w:t xml:space="preserve">SAMM </w:t>
      </w:r>
      <w:r w:rsidR="00477CFD" w:rsidRPr="00AA7274">
        <w:rPr>
          <w:b/>
          <w:bCs/>
        </w:rPr>
        <w:t>9</w:t>
      </w:r>
      <w:r w:rsidR="006615C5" w:rsidRPr="00AA7274">
        <w:rPr>
          <w:b/>
          <w:bCs/>
        </w:rPr>
        <w:t>b</w:t>
      </w:r>
      <w:r w:rsidR="00477CFD" w:rsidRPr="00AA7274">
        <w:rPr>
          <w:b/>
          <w:bCs/>
        </w:rPr>
        <w:t xml:space="preserve"> – Percent in-compliance for health inspections </w:t>
      </w:r>
    </w:p>
    <w:p w14:paraId="3E7E322A" w14:textId="73EFAA26" w:rsidR="00477CFD" w:rsidRPr="00AA7274" w:rsidRDefault="00477CFD" w:rsidP="00477CFD">
      <w:pPr>
        <w:widowControl/>
        <w:autoSpaceDE/>
        <w:autoSpaceDN/>
        <w:adjustRightInd/>
      </w:pPr>
      <w:r w:rsidRPr="00AA7274">
        <w:rPr>
          <w:b/>
          <w:bCs/>
        </w:rPr>
        <w:t>Discussion of State Plan data and FRL:</w:t>
      </w:r>
      <w:r w:rsidRPr="00AA7274">
        <w:t xml:space="preserve"> The FRL was +/-20% of the three-year national average of </w:t>
      </w:r>
      <w:r w:rsidR="006615C5" w:rsidRPr="00AA7274">
        <w:rPr>
          <w:rFonts w:asciiTheme="minorHAnsi" w:hAnsiTheme="minorHAnsi" w:cstheme="minorHAnsi"/>
        </w:rPr>
        <w:t xml:space="preserve">44.18% </w:t>
      </w:r>
      <w:r w:rsidR="00A64D56" w:rsidRPr="00AA7274">
        <w:t>for percent in-compliance</w:t>
      </w:r>
      <w:r w:rsidRPr="00AA7274">
        <w:t xml:space="preserve"> health inspections. The range of acceptable data not requiring further review was from </w:t>
      </w:r>
      <w:r w:rsidR="006615C5" w:rsidRPr="00AA7274">
        <w:rPr>
          <w:rFonts w:asciiTheme="minorHAnsi" w:hAnsiTheme="minorHAnsi" w:cstheme="minorHAnsi"/>
        </w:rPr>
        <w:t xml:space="preserve">35.34% to 53.01% </w:t>
      </w:r>
      <w:r w:rsidRPr="00AA7274">
        <w:t xml:space="preserve">for health. SC OSHA had a health in-compliance rate of </w:t>
      </w:r>
      <w:r w:rsidR="006615C5" w:rsidRPr="00AA7274">
        <w:rPr>
          <w:rFonts w:asciiTheme="minorHAnsi" w:eastAsia="PMingLiU" w:hAnsiTheme="minorHAnsi" w:cstheme="minorHAnsi"/>
        </w:rPr>
        <w:t>69.23</w:t>
      </w:r>
      <w:r w:rsidRPr="00AA7274">
        <w:t>%.</w:t>
      </w:r>
    </w:p>
    <w:p w14:paraId="06DE781F" w14:textId="13DE2E95" w:rsidR="009B2728" w:rsidRDefault="00477CFD" w:rsidP="00477CFD">
      <w:pPr>
        <w:widowControl/>
        <w:autoSpaceDE/>
        <w:autoSpaceDN/>
        <w:adjustRightInd/>
        <w:rPr>
          <w:b/>
          <w:bCs/>
        </w:rPr>
      </w:pPr>
      <w:r w:rsidRPr="00AA7274">
        <w:rPr>
          <w:b/>
          <w:bCs/>
        </w:rPr>
        <w:t xml:space="preserve">Explanation: </w:t>
      </w:r>
      <w:r w:rsidRPr="00AA7274">
        <w:t xml:space="preserve">SC OSHA </w:t>
      </w:r>
      <w:bookmarkEnd w:id="40"/>
      <w:r w:rsidR="0059477F" w:rsidRPr="00AA7274">
        <w:t>percent in-compliance</w:t>
      </w:r>
      <w:r w:rsidR="0059477F">
        <w:t xml:space="preserve"> for health inspections exceeded the FRL range, potentially due to a low number of experienced staff. This Finding remains open.</w:t>
      </w:r>
    </w:p>
    <w:p w14:paraId="4ABEA9F1" w14:textId="77777777" w:rsidR="009C433B" w:rsidRDefault="009C433B" w:rsidP="00477CFD">
      <w:pPr>
        <w:widowControl/>
        <w:autoSpaceDE/>
        <w:autoSpaceDN/>
        <w:adjustRightInd/>
        <w:rPr>
          <w:b/>
          <w:bCs/>
        </w:rPr>
      </w:pPr>
    </w:p>
    <w:p w14:paraId="67E313EF" w14:textId="1D3E2691" w:rsidR="00477CFD" w:rsidRDefault="00477CFD" w:rsidP="00477CFD">
      <w:pPr>
        <w:widowControl/>
        <w:autoSpaceDE/>
        <w:autoSpaceDN/>
        <w:adjustRightInd/>
      </w:pPr>
      <w:r w:rsidRPr="21399711">
        <w:rPr>
          <w:b/>
          <w:bCs/>
        </w:rPr>
        <w:t>SAMM 11</w:t>
      </w:r>
      <w:r w:rsidR="002D693D">
        <w:rPr>
          <w:b/>
          <w:bCs/>
        </w:rPr>
        <w:t>a</w:t>
      </w:r>
      <w:r w:rsidRPr="21399711">
        <w:rPr>
          <w:b/>
          <w:bCs/>
        </w:rPr>
        <w:t xml:space="preserve"> – Average lapse time</w:t>
      </w:r>
      <w:r>
        <w:t xml:space="preserve"> </w:t>
      </w:r>
    </w:p>
    <w:p w14:paraId="2BB5D06F" w14:textId="6ADC15EE" w:rsidR="0059477F" w:rsidRPr="0059477F" w:rsidRDefault="0059477F" w:rsidP="0059477F">
      <w:pPr>
        <w:widowControl/>
        <w:autoSpaceDE/>
        <w:autoSpaceDN/>
        <w:adjustRightInd/>
        <w:jc w:val="both"/>
        <w:rPr>
          <w:rFonts w:asciiTheme="minorHAnsi" w:hAnsiTheme="minorHAnsi" w:cstheme="minorHAnsi"/>
          <w:iCs/>
        </w:rPr>
      </w:pPr>
      <w:r w:rsidRPr="0059477F">
        <w:rPr>
          <w:rFonts w:asciiTheme="minorHAnsi" w:hAnsiTheme="minorHAnsi" w:cstheme="minorHAnsi"/>
          <w:b/>
          <w:bCs/>
          <w:iCs/>
        </w:rPr>
        <w:t>Discussion of State Plan Data and FRL:</w:t>
      </w:r>
      <w:r w:rsidRPr="0059477F">
        <w:rPr>
          <w:rFonts w:asciiTheme="minorHAnsi" w:hAnsiTheme="minorHAnsi" w:cstheme="minorHAnsi"/>
          <w:iCs/>
        </w:rPr>
        <w:t xml:space="preserve"> The FRL for the average lapse time for safety inspections is set at ±20% of 56.02 days, which </w:t>
      </w:r>
      <w:r>
        <w:rPr>
          <w:rFonts w:asciiTheme="minorHAnsi" w:hAnsiTheme="minorHAnsi" w:cstheme="minorHAnsi"/>
          <w:iCs/>
        </w:rPr>
        <w:t>is</w:t>
      </w:r>
      <w:r w:rsidRPr="0059477F">
        <w:rPr>
          <w:rFonts w:asciiTheme="minorHAnsi" w:hAnsiTheme="minorHAnsi" w:cstheme="minorHAnsi"/>
          <w:iCs/>
        </w:rPr>
        <w:t xml:space="preserve"> a range of 44.82 to 67.23 days. SC OSHA completed safety inspections in an average of 67.58 days, just 0.35 days above the upper limit.</w:t>
      </w:r>
    </w:p>
    <w:p w14:paraId="790A0D82" w14:textId="46AB256D" w:rsidR="0059477F" w:rsidRPr="0059477F" w:rsidRDefault="0059477F" w:rsidP="0059477F">
      <w:pPr>
        <w:widowControl/>
        <w:autoSpaceDE/>
        <w:autoSpaceDN/>
        <w:adjustRightInd/>
        <w:jc w:val="both"/>
        <w:rPr>
          <w:rFonts w:asciiTheme="minorHAnsi" w:hAnsiTheme="minorHAnsi" w:cstheme="minorHAnsi"/>
          <w:iCs/>
        </w:rPr>
      </w:pPr>
      <w:r w:rsidRPr="0059477F">
        <w:rPr>
          <w:rFonts w:asciiTheme="minorHAnsi" w:hAnsiTheme="minorHAnsi" w:cstheme="minorHAnsi"/>
          <w:b/>
          <w:bCs/>
          <w:iCs/>
        </w:rPr>
        <w:t>Explanation:</w:t>
      </w:r>
      <w:r w:rsidRPr="0059477F">
        <w:rPr>
          <w:rFonts w:asciiTheme="minorHAnsi" w:hAnsiTheme="minorHAnsi" w:cstheme="minorHAnsi"/>
          <w:iCs/>
        </w:rPr>
        <w:t xml:space="preserve"> SC OSHA has </w:t>
      </w:r>
      <w:r w:rsidR="006367E9">
        <w:rPr>
          <w:rFonts w:asciiTheme="minorHAnsi" w:hAnsiTheme="minorHAnsi" w:cstheme="minorHAnsi"/>
          <w:iCs/>
        </w:rPr>
        <w:t xml:space="preserve">reported they have </w:t>
      </w:r>
      <w:r w:rsidRPr="0059477F">
        <w:rPr>
          <w:rFonts w:asciiTheme="minorHAnsi" w:hAnsiTheme="minorHAnsi" w:cstheme="minorHAnsi"/>
          <w:iCs/>
        </w:rPr>
        <w:t>initiated a</w:t>
      </w:r>
      <w:r w:rsidR="00A505C2">
        <w:rPr>
          <w:rFonts w:asciiTheme="minorHAnsi" w:hAnsiTheme="minorHAnsi" w:cstheme="minorHAnsi"/>
          <w:iCs/>
        </w:rPr>
        <w:t xml:space="preserve"> proactive</w:t>
      </w:r>
      <w:r w:rsidRPr="0059477F">
        <w:rPr>
          <w:rFonts w:asciiTheme="minorHAnsi" w:hAnsiTheme="minorHAnsi" w:cstheme="minorHAnsi"/>
          <w:iCs/>
        </w:rPr>
        <w:t xml:space="preserve"> hiring process to fill vacancies, which will help ease the workload, improve the review process, and enhance case file management. </w:t>
      </w:r>
      <w:r w:rsidR="00866362">
        <w:rPr>
          <w:rFonts w:asciiTheme="minorHAnsi" w:hAnsiTheme="minorHAnsi" w:cstheme="minorHAnsi"/>
          <w:iCs/>
        </w:rPr>
        <w:t>The FY 24</w:t>
      </w:r>
      <w:r w:rsidRPr="0059477F">
        <w:rPr>
          <w:rFonts w:asciiTheme="minorHAnsi" w:hAnsiTheme="minorHAnsi" w:cstheme="minorHAnsi"/>
          <w:iCs/>
        </w:rPr>
        <w:t xml:space="preserve"> lapse time represents a 27-day improvement over FY23. This Observation will continue to be monitored.</w:t>
      </w:r>
    </w:p>
    <w:p w14:paraId="37A7651E" w14:textId="7ABE7F3F" w:rsidR="00477CFD" w:rsidRDefault="00477CFD" w:rsidP="00866362">
      <w:pPr>
        <w:widowControl/>
        <w:autoSpaceDE/>
        <w:autoSpaceDN/>
        <w:adjustRightInd/>
        <w:jc w:val="both"/>
      </w:pPr>
    </w:p>
    <w:p w14:paraId="0E3380CB" w14:textId="42655D28" w:rsidR="007A32FB" w:rsidRDefault="007A32FB" w:rsidP="00866362">
      <w:pPr>
        <w:widowControl/>
        <w:autoSpaceDE/>
        <w:autoSpaceDN/>
        <w:adjustRightInd/>
        <w:jc w:val="both"/>
      </w:pPr>
      <w:r w:rsidRPr="21399711">
        <w:rPr>
          <w:b/>
          <w:bCs/>
        </w:rPr>
        <w:t>SAMM 11</w:t>
      </w:r>
      <w:r w:rsidR="009C433B">
        <w:rPr>
          <w:b/>
          <w:bCs/>
        </w:rPr>
        <w:t>b</w:t>
      </w:r>
      <w:r w:rsidRPr="21399711">
        <w:rPr>
          <w:b/>
          <w:bCs/>
        </w:rPr>
        <w:t xml:space="preserve"> – Average lapse time</w:t>
      </w:r>
      <w:r>
        <w:t xml:space="preserve"> </w:t>
      </w:r>
    </w:p>
    <w:p w14:paraId="00CD77B8" w14:textId="58F9994E" w:rsidR="00866362" w:rsidRPr="00866362" w:rsidRDefault="00866362" w:rsidP="00866362">
      <w:pPr>
        <w:widowControl/>
        <w:autoSpaceDE/>
        <w:autoSpaceDN/>
        <w:adjustRightInd/>
        <w:jc w:val="both"/>
        <w:rPr>
          <w:rFonts w:cs="Calibri"/>
        </w:rPr>
      </w:pPr>
      <w:r w:rsidRPr="00866362">
        <w:rPr>
          <w:rFonts w:cs="Calibri"/>
          <w:b/>
          <w:bCs/>
        </w:rPr>
        <w:t>Discussion of State Plan Data and FRL:</w:t>
      </w:r>
      <w:r w:rsidRPr="00866362">
        <w:rPr>
          <w:rFonts w:cs="Calibri"/>
        </w:rPr>
        <w:t xml:space="preserve"> The FRL for average lapse time for health inspections is set at ±20% of 67.21 days, </w:t>
      </w:r>
      <w:r>
        <w:rPr>
          <w:rFonts w:cs="Calibri"/>
        </w:rPr>
        <w:t>which is</w:t>
      </w:r>
      <w:r w:rsidRPr="00866362">
        <w:rPr>
          <w:rFonts w:cs="Calibri"/>
        </w:rPr>
        <w:t xml:space="preserve"> a range of 53.77 to 80.65 days. SC OSHA completed health inspections in an average of 87.19 days, exceeding the upper limit by 6.54 days.</w:t>
      </w:r>
    </w:p>
    <w:p w14:paraId="65767075" w14:textId="3201EB7D" w:rsidR="00866362" w:rsidRPr="00866362" w:rsidRDefault="00866362" w:rsidP="00866362">
      <w:pPr>
        <w:widowControl/>
        <w:autoSpaceDE/>
        <w:autoSpaceDN/>
        <w:adjustRightInd/>
        <w:jc w:val="both"/>
        <w:rPr>
          <w:rFonts w:cs="Calibri"/>
        </w:rPr>
      </w:pPr>
      <w:r w:rsidRPr="00866362">
        <w:rPr>
          <w:rFonts w:cs="Calibri"/>
          <w:b/>
          <w:bCs/>
        </w:rPr>
        <w:t>Explanation:</w:t>
      </w:r>
      <w:r w:rsidRPr="00866362">
        <w:rPr>
          <w:rFonts w:cs="Calibri"/>
        </w:rPr>
        <w:t xml:space="preserve"> SC OSHA has </w:t>
      </w:r>
      <w:r w:rsidR="006367E9">
        <w:rPr>
          <w:rFonts w:cs="Calibri"/>
        </w:rPr>
        <w:t xml:space="preserve">reported that they </w:t>
      </w:r>
      <w:r w:rsidR="00A505C2">
        <w:rPr>
          <w:rFonts w:cs="Calibri"/>
        </w:rPr>
        <w:t>initiated</w:t>
      </w:r>
      <w:r w:rsidRPr="00866362">
        <w:rPr>
          <w:rFonts w:cs="Calibri"/>
        </w:rPr>
        <w:t xml:space="preserve"> a </w:t>
      </w:r>
      <w:r w:rsidR="00A505C2">
        <w:rPr>
          <w:rFonts w:cs="Calibri"/>
        </w:rPr>
        <w:t>proactive</w:t>
      </w:r>
      <w:r w:rsidR="00A505C2" w:rsidRPr="00866362">
        <w:rPr>
          <w:rFonts w:cs="Calibri"/>
        </w:rPr>
        <w:t xml:space="preserve"> </w:t>
      </w:r>
      <w:r w:rsidRPr="00866362">
        <w:rPr>
          <w:rFonts w:cs="Calibri"/>
        </w:rPr>
        <w:t>hiring process to fill vacancies, which is expected to ease the workload, improve the review process, and enhance case file management. While the lapse time was slightly above the FRL, it reflects a 7.92-day improvement over FY23. This Observation will continue to be monitored.</w:t>
      </w:r>
    </w:p>
    <w:p w14:paraId="3125C931" w14:textId="274C6421" w:rsidR="00866362" w:rsidRPr="001C1E47" w:rsidRDefault="00866362" w:rsidP="00477CFD">
      <w:pPr>
        <w:widowControl/>
        <w:autoSpaceDE/>
        <w:autoSpaceDN/>
        <w:adjustRightInd/>
        <w:rPr>
          <w:rFonts w:cs="Calibri"/>
        </w:rPr>
        <w:sectPr w:rsidR="00866362" w:rsidRPr="001C1E47" w:rsidSect="00477CFD">
          <w:footerReference w:type="default" r:id="rId11"/>
          <w:footerReference w:type="first" r:id="rId12"/>
          <w:pgSz w:w="12240" w:h="15840"/>
          <w:pgMar w:top="1440" w:right="1260" w:bottom="1260" w:left="1440" w:header="720" w:footer="526" w:gutter="0"/>
          <w:pgNumType w:start="1"/>
          <w:cols w:space="720"/>
          <w:titlePg/>
          <w:docGrid w:linePitch="360"/>
        </w:sectPr>
      </w:pPr>
    </w:p>
    <w:p w14:paraId="516D3ECD" w14:textId="34AF7B2A" w:rsidR="00B6741C" w:rsidRPr="0002572C" w:rsidRDefault="00B6741C" w:rsidP="000F63C1">
      <w:pPr>
        <w:pStyle w:val="Heading3"/>
        <w:numPr>
          <w:ilvl w:val="0"/>
          <w:numId w:val="0"/>
        </w:numPr>
      </w:pPr>
      <w:bookmarkStart w:id="41" w:name="_Toc118905017"/>
      <w:bookmarkStart w:id="42" w:name="_Toc119418669"/>
      <w:r w:rsidRPr="0002572C">
        <w:t xml:space="preserve">Appendix A – New and Continued </w:t>
      </w:r>
      <w:r w:rsidR="001B4133">
        <w:t>Finding</w:t>
      </w:r>
      <w:r w:rsidRPr="0002572C">
        <w:t>s and Recommendations</w:t>
      </w:r>
      <w:bookmarkEnd w:id="41"/>
      <w:bookmarkEnd w:id="42"/>
    </w:p>
    <w:p w14:paraId="670F195C" w14:textId="3E41DAA4" w:rsidR="00B6741C" w:rsidRDefault="00B6741C" w:rsidP="00B6741C">
      <w:r>
        <w:t>FY 20</w:t>
      </w:r>
      <w:r w:rsidR="00B14E44">
        <w:t>24 South Carolina</w:t>
      </w:r>
      <w:r w:rsidRPr="00476C08">
        <w:rPr>
          <w:color w:val="0070C0"/>
        </w:rPr>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255"/>
        <w:gridCol w:w="3870"/>
        <w:gridCol w:w="5580"/>
        <w:gridCol w:w="2165"/>
      </w:tblGrid>
      <w:tr w:rsidR="00185C7D" w:rsidRPr="001C1E47" w14:paraId="0F6BB42C" w14:textId="77777777" w:rsidTr="006068EA">
        <w:trPr>
          <w:trHeight w:val="350"/>
        </w:trPr>
        <w:tc>
          <w:tcPr>
            <w:tcW w:w="1255" w:type="dxa"/>
          </w:tcPr>
          <w:p w14:paraId="1F333F67" w14:textId="2F859AE6" w:rsidR="000A134A" w:rsidRPr="001C1E47" w:rsidRDefault="000A134A" w:rsidP="00014DEC">
            <w:pPr>
              <w:widowControl/>
              <w:autoSpaceDE/>
              <w:autoSpaceDN/>
              <w:adjustRightInd/>
              <w:rPr>
                <w:rFonts w:cs="Calibri"/>
                <w:b/>
              </w:rPr>
            </w:pPr>
            <w:r w:rsidRPr="001C1E47">
              <w:rPr>
                <w:rFonts w:cs="Calibri"/>
                <w:b/>
              </w:rPr>
              <w:t xml:space="preserve">FY </w:t>
            </w:r>
            <w:r w:rsidR="00DC4A62" w:rsidRPr="001C1E47">
              <w:rPr>
                <w:rFonts w:cs="Calibri"/>
                <w:b/>
              </w:rPr>
              <w:t>20</w:t>
            </w:r>
            <w:r w:rsidR="001E0801">
              <w:rPr>
                <w:rFonts w:cs="Calibri"/>
                <w:b/>
              </w:rPr>
              <w:t>24</w:t>
            </w:r>
            <w:r w:rsidRPr="001C1E47">
              <w:rPr>
                <w:rFonts w:cs="Calibri"/>
                <w:b/>
              </w:rPr>
              <w:t>-</w:t>
            </w:r>
            <w:r w:rsidR="00BB0343" w:rsidRPr="001C1E47">
              <w:rPr>
                <w:rFonts w:cs="Calibri"/>
                <w:b/>
              </w:rPr>
              <w:t>#</w:t>
            </w:r>
          </w:p>
        </w:tc>
        <w:tc>
          <w:tcPr>
            <w:tcW w:w="3870" w:type="dxa"/>
          </w:tcPr>
          <w:p w14:paraId="0C140B4B" w14:textId="1C6F9275" w:rsidR="000A134A" w:rsidRPr="001C1E47" w:rsidRDefault="001B4133" w:rsidP="007A71AC">
            <w:pPr>
              <w:widowControl/>
              <w:autoSpaceDE/>
              <w:autoSpaceDN/>
              <w:adjustRightInd/>
              <w:jc w:val="center"/>
              <w:rPr>
                <w:rFonts w:cs="Calibri"/>
                <w:b/>
              </w:rPr>
            </w:pPr>
            <w:r>
              <w:rPr>
                <w:rFonts w:cs="Calibri"/>
                <w:b/>
              </w:rPr>
              <w:t>Finding</w:t>
            </w:r>
          </w:p>
        </w:tc>
        <w:tc>
          <w:tcPr>
            <w:tcW w:w="5580"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2165" w:type="dxa"/>
          </w:tcPr>
          <w:p w14:paraId="7C9006CD" w14:textId="77777777"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 xml:space="preserve">XX-# or </w:t>
            </w:r>
          </w:p>
          <w:p w14:paraId="3C61CFBF" w14:textId="77777777"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Pr="001C1E47">
              <w:rPr>
                <w:rFonts w:cs="Calibri"/>
                <w:b/>
              </w:rPr>
              <w:t>XX-OB-#</w:t>
            </w:r>
          </w:p>
        </w:tc>
      </w:tr>
      <w:tr w:rsidR="000A134A" w:rsidRPr="001C1E47" w14:paraId="5368CE16" w14:textId="77777777" w:rsidTr="006068EA">
        <w:tc>
          <w:tcPr>
            <w:tcW w:w="1255" w:type="dxa"/>
          </w:tcPr>
          <w:p w14:paraId="31EBB109" w14:textId="16167489" w:rsidR="000A134A" w:rsidRPr="001C1E47" w:rsidRDefault="001B4133" w:rsidP="00014DEC">
            <w:pPr>
              <w:widowControl/>
              <w:autoSpaceDE/>
              <w:autoSpaceDN/>
              <w:adjustRightInd/>
              <w:rPr>
                <w:rFonts w:cs="Calibri"/>
              </w:rPr>
            </w:pPr>
            <w:r>
              <w:rPr>
                <w:rFonts w:cs="Calibri"/>
              </w:rPr>
              <w:t>Finding</w:t>
            </w:r>
            <w:r w:rsidR="008150A3" w:rsidRPr="008150A3">
              <w:rPr>
                <w:rFonts w:cs="Calibri"/>
              </w:rPr>
              <w:t xml:space="preserve"> FY 202</w:t>
            </w:r>
            <w:r w:rsidR="008150A3">
              <w:rPr>
                <w:rFonts w:cs="Calibri"/>
              </w:rPr>
              <w:t>4</w:t>
            </w:r>
            <w:r w:rsidR="008150A3" w:rsidRPr="008150A3">
              <w:rPr>
                <w:rFonts w:cs="Calibri"/>
              </w:rPr>
              <w:t>-01</w:t>
            </w:r>
          </w:p>
          <w:p w14:paraId="39F370D3" w14:textId="77777777" w:rsidR="000A134A" w:rsidRPr="001C1E47" w:rsidRDefault="000A134A" w:rsidP="00014DEC">
            <w:pPr>
              <w:widowControl/>
              <w:autoSpaceDE/>
              <w:autoSpaceDN/>
              <w:adjustRightInd/>
              <w:rPr>
                <w:rFonts w:cs="Calibri"/>
              </w:rPr>
            </w:pPr>
          </w:p>
        </w:tc>
        <w:tc>
          <w:tcPr>
            <w:tcW w:w="3870" w:type="dxa"/>
          </w:tcPr>
          <w:p w14:paraId="4B3C1E3A" w14:textId="5FEA30FE" w:rsidR="000A134A" w:rsidRPr="001C1E47" w:rsidRDefault="00530F7B" w:rsidP="007A71AC">
            <w:pPr>
              <w:widowControl/>
              <w:autoSpaceDE/>
              <w:autoSpaceDN/>
              <w:adjustRightInd/>
              <w:rPr>
                <w:rFonts w:cs="Calibri"/>
              </w:rPr>
            </w:pPr>
            <w:r w:rsidRPr="00530F7B">
              <w:rPr>
                <w:sz w:val="23"/>
                <w:szCs w:val="23"/>
              </w:rPr>
              <w:t>The SAMM data (SAMM 1a) shows the average number of working days to initiate formal complaint inspections was 69.97 days, which was outside the FRL of seven (7) days.</w:t>
            </w:r>
          </w:p>
        </w:tc>
        <w:tc>
          <w:tcPr>
            <w:tcW w:w="5580" w:type="dxa"/>
          </w:tcPr>
          <w:p w14:paraId="35F75CA8" w14:textId="77777777" w:rsidR="008150A3" w:rsidRPr="008150A3" w:rsidRDefault="000A134A" w:rsidP="008150A3">
            <w:pPr>
              <w:widowControl/>
              <w:autoSpaceDE/>
              <w:autoSpaceDN/>
              <w:adjustRightInd/>
              <w:rPr>
                <w:rFonts w:cs="Calibri"/>
              </w:rPr>
            </w:pPr>
            <w:r w:rsidRPr="001C1E47">
              <w:rPr>
                <w:rFonts w:cs="Calibri"/>
              </w:rPr>
              <w:t xml:space="preserve"> </w:t>
            </w:r>
            <w:r w:rsidR="008150A3" w:rsidRPr="008150A3">
              <w:rPr>
                <w:rFonts w:cs="Calibri"/>
              </w:rPr>
              <w:t xml:space="preserve">SC OSHA should develop a management plan to ensure complaint inspections are initiated timely to meet the negotiated goal. </w:t>
            </w:r>
          </w:p>
          <w:p w14:paraId="5C606D29" w14:textId="6DAA7A36" w:rsidR="000A134A" w:rsidRPr="001C1E47" w:rsidRDefault="000A134A" w:rsidP="007A71AC">
            <w:pPr>
              <w:widowControl/>
              <w:autoSpaceDE/>
              <w:autoSpaceDN/>
              <w:adjustRightInd/>
              <w:rPr>
                <w:rFonts w:cs="Calibri"/>
              </w:rPr>
            </w:pPr>
          </w:p>
          <w:p w14:paraId="7A48B2C8" w14:textId="77777777" w:rsidR="000A134A" w:rsidRPr="001C1E47" w:rsidRDefault="000A134A" w:rsidP="007A71AC">
            <w:pPr>
              <w:widowControl/>
              <w:autoSpaceDE/>
              <w:autoSpaceDN/>
              <w:adjustRightInd/>
              <w:rPr>
                <w:rFonts w:cs="Calibri"/>
              </w:rPr>
            </w:pPr>
          </w:p>
        </w:tc>
        <w:tc>
          <w:tcPr>
            <w:tcW w:w="2165" w:type="dxa"/>
          </w:tcPr>
          <w:p w14:paraId="51FF8A48" w14:textId="5C35854C" w:rsidR="000A134A" w:rsidRPr="001C1E47" w:rsidRDefault="000A134A" w:rsidP="008150A3">
            <w:pPr>
              <w:widowControl/>
              <w:tabs>
                <w:tab w:val="center" w:pos="837"/>
              </w:tabs>
              <w:autoSpaceDE/>
              <w:autoSpaceDN/>
              <w:adjustRightInd/>
              <w:rPr>
                <w:rFonts w:cs="Calibri"/>
              </w:rPr>
            </w:pPr>
            <w:r w:rsidRPr="001C1E47">
              <w:rPr>
                <w:rFonts w:cs="Calibri"/>
              </w:rPr>
              <w:t xml:space="preserve"> </w:t>
            </w:r>
            <w:r w:rsidR="008150A3">
              <w:rPr>
                <w:rFonts w:cs="Calibri"/>
              </w:rPr>
              <w:tab/>
            </w:r>
            <w:r w:rsidR="001B4133">
              <w:rPr>
                <w:rFonts w:cs="Calibri"/>
              </w:rPr>
              <w:t>Finding</w:t>
            </w:r>
            <w:r w:rsidR="008150A3" w:rsidRPr="008150A3">
              <w:rPr>
                <w:rFonts w:cs="Calibri"/>
              </w:rPr>
              <w:t xml:space="preserve"> FY 2023-01</w:t>
            </w:r>
          </w:p>
        </w:tc>
      </w:tr>
      <w:tr w:rsidR="000A134A" w:rsidRPr="001C1E47" w14:paraId="103CA6F2" w14:textId="77777777" w:rsidTr="006068EA">
        <w:tc>
          <w:tcPr>
            <w:tcW w:w="1255" w:type="dxa"/>
          </w:tcPr>
          <w:p w14:paraId="76B70B57" w14:textId="34A2F03D" w:rsidR="000A134A" w:rsidRPr="001C1E47" w:rsidRDefault="001B4133" w:rsidP="00014DEC">
            <w:pPr>
              <w:widowControl/>
              <w:autoSpaceDE/>
              <w:autoSpaceDN/>
              <w:adjustRightInd/>
              <w:rPr>
                <w:rFonts w:cs="Calibri"/>
              </w:rPr>
            </w:pPr>
            <w:r>
              <w:rPr>
                <w:rFonts w:cs="Calibri"/>
              </w:rPr>
              <w:t>Finding</w:t>
            </w:r>
            <w:r w:rsidR="008150A3" w:rsidRPr="008150A3">
              <w:rPr>
                <w:rFonts w:cs="Calibri"/>
              </w:rPr>
              <w:t xml:space="preserve"> FY 202</w:t>
            </w:r>
            <w:r w:rsidR="008150A3">
              <w:rPr>
                <w:rFonts w:cs="Calibri"/>
              </w:rPr>
              <w:t>4</w:t>
            </w:r>
            <w:r w:rsidR="008150A3" w:rsidRPr="008150A3">
              <w:rPr>
                <w:rFonts w:cs="Calibri"/>
              </w:rPr>
              <w:t>-02</w:t>
            </w:r>
          </w:p>
          <w:p w14:paraId="673AF147" w14:textId="77777777" w:rsidR="000A134A" w:rsidRPr="001C1E47" w:rsidRDefault="000A134A" w:rsidP="00014DEC">
            <w:pPr>
              <w:widowControl/>
              <w:autoSpaceDE/>
              <w:autoSpaceDN/>
              <w:adjustRightInd/>
              <w:rPr>
                <w:rFonts w:cs="Calibri"/>
              </w:rPr>
            </w:pPr>
          </w:p>
        </w:tc>
        <w:tc>
          <w:tcPr>
            <w:tcW w:w="3870" w:type="dxa"/>
          </w:tcPr>
          <w:p w14:paraId="53C5489A" w14:textId="05281864" w:rsidR="000A134A" w:rsidRPr="001C1E47" w:rsidRDefault="00530F7B" w:rsidP="007A71AC">
            <w:pPr>
              <w:widowControl/>
              <w:autoSpaceDE/>
              <w:autoSpaceDN/>
              <w:adjustRightInd/>
              <w:rPr>
                <w:rFonts w:cs="Calibri"/>
              </w:rPr>
            </w:pPr>
            <w:r w:rsidRPr="00530F7B">
              <w:rPr>
                <w:rFonts w:cs="Calibri"/>
              </w:rPr>
              <w:t>The SAMM data (SAMM 2a) shows the average number of working days to initiate formal complaint inspections was 63.60 days, which was outside the FRL of five (5) days.</w:t>
            </w:r>
          </w:p>
        </w:tc>
        <w:tc>
          <w:tcPr>
            <w:tcW w:w="5580" w:type="dxa"/>
          </w:tcPr>
          <w:p w14:paraId="7375EF07" w14:textId="130D575E" w:rsidR="000A134A" w:rsidRPr="001C1E47" w:rsidRDefault="000A134A" w:rsidP="008150A3">
            <w:pPr>
              <w:widowControl/>
              <w:autoSpaceDE/>
              <w:autoSpaceDN/>
              <w:adjustRightInd/>
              <w:rPr>
                <w:rFonts w:cs="Calibri"/>
              </w:rPr>
            </w:pPr>
            <w:r w:rsidRPr="001C1E47">
              <w:rPr>
                <w:rFonts w:cs="Calibri"/>
              </w:rPr>
              <w:t xml:space="preserve"> </w:t>
            </w:r>
            <w:r w:rsidR="008150A3" w:rsidRPr="008150A3">
              <w:rPr>
                <w:rFonts w:cs="Calibri"/>
              </w:rPr>
              <w:t>SC OSHA should develop a management plan to ensure complaint investigations are initiated timely to meet the negotiated goal.</w:t>
            </w:r>
          </w:p>
        </w:tc>
        <w:tc>
          <w:tcPr>
            <w:tcW w:w="2165" w:type="dxa"/>
          </w:tcPr>
          <w:p w14:paraId="0E5FE764" w14:textId="61B1EC24" w:rsidR="000A134A" w:rsidRPr="001C1E47" w:rsidRDefault="000A134A" w:rsidP="007A71AC">
            <w:pPr>
              <w:widowControl/>
              <w:autoSpaceDE/>
              <w:autoSpaceDN/>
              <w:adjustRightInd/>
              <w:rPr>
                <w:rFonts w:cs="Calibri"/>
              </w:rPr>
            </w:pPr>
            <w:r w:rsidRPr="001C1E47">
              <w:rPr>
                <w:rFonts w:cs="Calibri"/>
              </w:rPr>
              <w:t xml:space="preserve"> </w:t>
            </w:r>
            <w:r w:rsidR="001B4133">
              <w:rPr>
                <w:rFonts w:cs="Calibri"/>
              </w:rPr>
              <w:t>Finding</w:t>
            </w:r>
            <w:r w:rsidR="008150A3" w:rsidRPr="008150A3">
              <w:rPr>
                <w:rFonts w:cs="Calibri"/>
              </w:rPr>
              <w:t xml:space="preserve"> FY 2023-02</w:t>
            </w:r>
          </w:p>
        </w:tc>
      </w:tr>
      <w:tr w:rsidR="008150A3" w:rsidRPr="001C1E47" w14:paraId="15C6DFCC" w14:textId="77777777" w:rsidTr="006068EA">
        <w:tc>
          <w:tcPr>
            <w:tcW w:w="1255" w:type="dxa"/>
          </w:tcPr>
          <w:p w14:paraId="53094D24" w14:textId="4B90C86B" w:rsidR="008150A3" w:rsidRPr="008150A3" w:rsidRDefault="001B4133" w:rsidP="00014DEC">
            <w:pPr>
              <w:rPr>
                <w:rFonts w:cs="Calibri"/>
              </w:rPr>
            </w:pPr>
            <w:r>
              <w:rPr>
                <w:rFonts w:cs="Calibri"/>
              </w:rPr>
              <w:t>Finding</w:t>
            </w:r>
            <w:r w:rsidR="008150A3" w:rsidRPr="008150A3">
              <w:rPr>
                <w:rFonts w:cs="Calibri"/>
              </w:rPr>
              <w:t xml:space="preserve"> FY 202</w:t>
            </w:r>
            <w:r w:rsidR="008150A3">
              <w:rPr>
                <w:rFonts w:cs="Calibri"/>
              </w:rPr>
              <w:t>4</w:t>
            </w:r>
            <w:r w:rsidR="008150A3" w:rsidRPr="008150A3">
              <w:rPr>
                <w:rFonts w:cs="Calibri"/>
              </w:rPr>
              <w:t>-03</w:t>
            </w:r>
          </w:p>
          <w:p w14:paraId="677EB5AB" w14:textId="77777777" w:rsidR="008150A3" w:rsidRPr="001C1E47" w:rsidRDefault="008150A3" w:rsidP="00014DEC">
            <w:pPr>
              <w:widowControl/>
              <w:autoSpaceDE/>
              <w:autoSpaceDN/>
              <w:adjustRightInd/>
              <w:rPr>
                <w:rFonts w:cs="Calibri"/>
              </w:rPr>
            </w:pPr>
          </w:p>
        </w:tc>
        <w:tc>
          <w:tcPr>
            <w:tcW w:w="3870" w:type="dxa"/>
          </w:tcPr>
          <w:p w14:paraId="030C60CE" w14:textId="2956A724" w:rsidR="008150A3" w:rsidRPr="001C1E47" w:rsidRDefault="00530F7B" w:rsidP="007A71AC">
            <w:pPr>
              <w:widowControl/>
              <w:autoSpaceDE/>
              <w:autoSpaceDN/>
              <w:adjustRightInd/>
              <w:rPr>
                <w:rFonts w:cs="Calibri"/>
              </w:rPr>
            </w:pPr>
            <w:r w:rsidRPr="00530F7B">
              <w:rPr>
                <w:rFonts w:cs="Calibri"/>
              </w:rPr>
              <w:t>The percentage of health (69.23%) inspections that were in-compliance was higher than the FRL range of 35.34% to 53.01% (SAMM 9b).</w:t>
            </w:r>
          </w:p>
        </w:tc>
        <w:tc>
          <w:tcPr>
            <w:tcW w:w="5580" w:type="dxa"/>
          </w:tcPr>
          <w:p w14:paraId="0CEA5FBC" w14:textId="4C3366BF" w:rsidR="008150A3" w:rsidRPr="001C1E47" w:rsidRDefault="008150A3" w:rsidP="007A71AC">
            <w:pPr>
              <w:widowControl/>
              <w:autoSpaceDE/>
              <w:autoSpaceDN/>
              <w:adjustRightInd/>
              <w:rPr>
                <w:rFonts w:cs="Calibri"/>
              </w:rPr>
            </w:pPr>
            <w:r w:rsidRPr="008150A3">
              <w:rPr>
                <w:rFonts w:cs="Calibri"/>
              </w:rPr>
              <w:t xml:space="preserve">Ensure inspection resources are spent in workplaces that are exposing workers to hazards by implementing corrective actions in the most hazardous worksites.  Efforts should be focused on creating targeting lists and gaining entry to sites with the most hazards to best protect employees.   Training should continue to address hazard recognition skills with health compliance staff.  </w:t>
            </w:r>
          </w:p>
        </w:tc>
        <w:tc>
          <w:tcPr>
            <w:tcW w:w="2165" w:type="dxa"/>
          </w:tcPr>
          <w:p w14:paraId="580DCABE" w14:textId="3183EE64" w:rsidR="008150A3" w:rsidRPr="008150A3" w:rsidRDefault="001B4133" w:rsidP="008150A3">
            <w:pPr>
              <w:rPr>
                <w:rFonts w:cs="Calibri"/>
              </w:rPr>
            </w:pPr>
            <w:r>
              <w:rPr>
                <w:rFonts w:cs="Calibri"/>
              </w:rPr>
              <w:t>Finding</w:t>
            </w:r>
            <w:r w:rsidR="008150A3" w:rsidRPr="008150A3">
              <w:rPr>
                <w:rFonts w:cs="Calibri"/>
              </w:rPr>
              <w:t xml:space="preserve"> FY 2019-02</w:t>
            </w:r>
          </w:p>
          <w:p w14:paraId="2427B05E" w14:textId="77777777" w:rsidR="008150A3" w:rsidRPr="008150A3" w:rsidRDefault="008150A3" w:rsidP="008150A3">
            <w:pPr>
              <w:rPr>
                <w:rFonts w:cs="Calibri"/>
              </w:rPr>
            </w:pPr>
            <w:r w:rsidRPr="008150A3">
              <w:rPr>
                <w:rFonts w:cs="Calibri"/>
              </w:rPr>
              <w:t>FY 2020-02</w:t>
            </w:r>
          </w:p>
          <w:p w14:paraId="21A5DBB8" w14:textId="70457386" w:rsidR="008150A3" w:rsidRPr="008150A3" w:rsidRDefault="001B4133" w:rsidP="008150A3">
            <w:pPr>
              <w:rPr>
                <w:rFonts w:cs="Calibri"/>
              </w:rPr>
            </w:pPr>
            <w:r>
              <w:rPr>
                <w:rFonts w:cs="Calibri"/>
              </w:rPr>
              <w:t>Finding</w:t>
            </w:r>
            <w:r w:rsidR="008150A3" w:rsidRPr="008150A3">
              <w:rPr>
                <w:rFonts w:cs="Calibri"/>
              </w:rPr>
              <w:t xml:space="preserve"> FY 2021-01</w:t>
            </w:r>
          </w:p>
          <w:p w14:paraId="1699BDB4" w14:textId="1412D2E5" w:rsidR="008150A3" w:rsidRDefault="001B4133" w:rsidP="008150A3">
            <w:pPr>
              <w:rPr>
                <w:rFonts w:cs="Calibri"/>
              </w:rPr>
            </w:pPr>
            <w:r>
              <w:rPr>
                <w:rFonts w:cs="Calibri"/>
              </w:rPr>
              <w:t>Finding</w:t>
            </w:r>
            <w:r w:rsidR="008150A3" w:rsidRPr="008150A3">
              <w:rPr>
                <w:rFonts w:cs="Calibri"/>
              </w:rPr>
              <w:t xml:space="preserve"> FY 2022-01</w:t>
            </w:r>
          </w:p>
          <w:p w14:paraId="166758D0" w14:textId="4D3ED54D" w:rsidR="008150A3" w:rsidRPr="001C1E47" w:rsidRDefault="001B4133" w:rsidP="008150A3">
            <w:pPr>
              <w:rPr>
                <w:rFonts w:cs="Calibri"/>
              </w:rPr>
            </w:pPr>
            <w:r>
              <w:rPr>
                <w:rFonts w:cs="Calibri"/>
              </w:rPr>
              <w:t>Finding</w:t>
            </w:r>
            <w:r w:rsidR="008150A3" w:rsidRPr="008150A3">
              <w:rPr>
                <w:rFonts w:cs="Calibri"/>
              </w:rPr>
              <w:t xml:space="preserve"> FY 2023-03</w:t>
            </w:r>
          </w:p>
        </w:tc>
      </w:tr>
      <w:tr w:rsidR="008150A3" w:rsidRPr="001C1E47" w14:paraId="375A944A" w14:textId="77777777" w:rsidTr="006068EA">
        <w:tc>
          <w:tcPr>
            <w:tcW w:w="1255" w:type="dxa"/>
          </w:tcPr>
          <w:p w14:paraId="5F07E0CC" w14:textId="042B29F1" w:rsidR="008150A3" w:rsidRPr="001C1E47" w:rsidRDefault="001B4133" w:rsidP="00014DEC">
            <w:pPr>
              <w:widowControl/>
              <w:autoSpaceDE/>
              <w:autoSpaceDN/>
              <w:adjustRightInd/>
              <w:rPr>
                <w:rFonts w:cs="Calibri"/>
              </w:rPr>
            </w:pPr>
            <w:r>
              <w:rPr>
                <w:rFonts w:cs="Calibri"/>
              </w:rPr>
              <w:t>Finding</w:t>
            </w:r>
            <w:r w:rsidR="008150A3" w:rsidRPr="008150A3">
              <w:rPr>
                <w:rFonts w:cs="Calibri"/>
              </w:rPr>
              <w:t xml:space="preserve"> FY 202</w:t>
            </w:r>
            <w:r w:rsidR="008150A3">
              <w:rPr>
                <w:rFonts w:cs="Calibri"/>
              </w:rPr>
              <w:t>4</w:t>
            </w:r>
            <w:r w:rsidR="008150A3" w:rsidRPr="008150A3">
              <w:rPr>
                <w:rFonts w:cs="Calibri"/>
              </w:rPr>
              <w:t>-04</w:t>
            </w:r>
          </w:p>
        </w:tc>
        <w:tc>
          <w:tcPr>
            <w:tcW w:w="3870" w:type="dxa"/>
          </w:tcPr>
          <w:p w14:paraId="4C47CDBF" w14:textId="06CB3BD5" w:rsidR="008150A3" w:rsidRPr="001C1E47" w:rsidRDefault="00475ABB" w:rsidP="007A71AC">
            <w:pPr>
              <w:widowControl/>
              <w:autoSpaceDE/>
              <w:autoSpaceDN/>
              <w:adjustRightInd/>
              <w:rPr>
                <w:rFonts w:cs="Calibri"/>
              </w:rPr>
            </w:pPr>
            <w:r>
              <w:rPr>
                <w:rFonts w:cs="Calibri"/>
              </w:rPr>
              <w:t xml:space="preserve">In FY 23, </w:t>
            </w:r>
            <w:r w:rsidR="008150A3" w:rsidRPr="008150A3">
              <w:rPr>
                <w:rFonts w:cs="Calibri"/>
              </w:rPr>
              <w:t>Six (6) case files had OTS violations that were not cited.</w:t>
            </w:r>
          </w:p>
        </w:tc>
        <w:tc>
          <w:tcPr>
            <w:tcW w:w="5580" w:type="dxa"/>
          </w:tcPr>
          <w:p w14:paraId="79ACF7D8" w14:textId="20EBD1F8" w:rsidR="008150A3" w:rsidRPr="001C1E47" w:rsidRDefault="008150A3" w:rsidP="007A71AC">
            <w:pPr>
              <w:widowControl/>
              <w:autoSpaceDE/>
              <w:autoSpaceDN/>
              <w:adjustRightInd/>
              <w:rPr>
                <w:rFonts w:cs="Calibri"/>
              </w:rPr>
            </w:pPr>
            <w:r w:rsidRPr="008150A3">
              <w:rPr>
                <w:rFonts w:cs="Calibri"/>
              </w:rPr>
              <w:t>Ensure that hazards identified during inspections that have sufficient prima facie evidence are addressed through a citation</w:t>
            </w:r>
            <w:r>
              <w:rPr>
                <w:rFonts w:cs="Calibri"/>
              </w:rPr>
              <w:t>.</w:t>
            </w:r>
          </w:p>
        </w:tc>
        <w:tc>
          <w:tcPr>
            <w:tcW w:w="2165" w:type="dxa"/>
          </w:tcPr>
          <w:p w14:paraId="7BAD030A" w14:textId="72239CCD" w:rsidR="008150A3" w:rsidRPr="001C1E47" w:rsidRDefault="001B4133" w:rsidP="007A71AC">
            <w:pPr>
              <w:widowControl/>
              <w:autoSpaceDE/>
              <w:autoSpaceDN/>
              <w:adjustRightInd/>
              <w:rPr>
                <w:rFonts w:cs="Calibri"/>
              </w:rPr>
            </w:pPr>
            <w:r>
              <w:rPr>
                <w:rFonts w:cs="Calibri"/>
              </w:rPr>
              <w:t>Finding</w:t>
            </w:r>
            <w:r w:rsidR="008150A3" w:rsidRPr="008150A3">
              <w:rPr>
                <w:rFonts w:cs="Calibri"/>
              </w:rPr>
              <w:t xml:space="preserve"> FY 2023-04</w:t>
            </w:r>
          </w:p>
        </w:tc>
      </w:tr>
      <w:tr w:rsidR="000A134A" w:rsidRPr="001C1E47" w14:paraId="361E1BD2" w14:textId="77777777" w:rsidTr="006068EA">
        <w:tc>
          <w:tcPr>
            <w:tcW w:w="1255" w:type="dxa"/>
          </w:tcPr>
          <w:p w14:paraId="01DD4D90" w14:textId="57054409" w:rsidR="000A134A" w:rsidRPr="001C1E47" w:rsidRDefault="001B4133" w:rsidP="00014DEC">
            <w:pPr>
              <w:widowControl/>
              <w:autoSpaceDE/>
              <w:autoSpaceDN/>
              <w:adjustRightInd/>
              <w:rPr>
                <w:rFonts w:cs="Calibri"/>
              </w:rPr>
            </w:pPr>
            <w:r>
              <w:rPr>
                <w:rFonts w:cs="Calibri"/>
              </w:rPr>
              <w:t>Finding</w:t>
            </w:r>
            <w:r w:rsidR="008150A3" w:rsidRPr="008150A3">
              <w:rPr>
                <w:rFonts w:cs="Calibri"/>
              </w:rPr>
              <w:t xml:space="preserve"> FY 202</w:t>
            </w:r>
            <w:r w:rsidR="008150A3">
              <w:rPr>
                <w:rFonts w:cs="Calibri"/>
              </w:rPr>
              <w:t>4</w:t>
            </w:r>
            <w:r w:rsidR="008150A3" w:rsidRPr="008150A3">
              <w:rPr>
                <w:rFonts w:cs="Calibri"/>
              </w:rPr>
              <w:t>-05</w:t>
            </w:r>
          </w:p>
        </w:tc>
        <w:tc>
          <w:tcPr>
            <w:tcW w:w="3870" w:type="dxa"/>
          </w:tcPr>
          <w:p w14:paraId="21F530E8" w14:textId="69C20E0A" w:rsidR="000A134A" w:rsidRPr="001C1E47" w:rsidRDefault="006068EA" w:rsidP="007A71AC">
            <w:pPr>
              <w:widowControl/>
              <w:autoSpaceDE/>
              <w:autoSpaceDN/>
              <w:adjustRightInd/>
              <w:rPr>
                <w:rFonts w:cs="Calibri"/>
              </w:rPr>
            </w:pPr>
            <w:r w:rsidRPr="006068EA">
              <w:rPr>
                <w:rFonts w:cs="Calibri"/>
              </w:rPr>
              <w:t xml:space="preserve">SC State Plan has failed to adopt OSHA’s initial FY 2016 maximum and minimum penalty increase and subsequent annual penalty amount increases.  </w:t>
            </w:r>
          </w:p>
        </w:tc>
        <w:tc>
          <w:tcPr>
            <w:tcW w:w="5580" w:type="dxa"/>
          </w:tcPr>
          <w:p w14:paraId="069FF3A9" w14:textId="6EA75F27" w:rsidR="000A134A" w:rsidRPr="001C1E47" w:rsidRDefault="000A134A" w:rsidP="006068EA">
            <w:pPr>
              <w:widowControl/>
              <w:autoSpaceDE/>
              <w:autoSpaceDN/>
              <w:adjustRightInd/>
              <w:rPr>
                <w:rFonts w:cs="Calibri"/>
              </w:rPr>
            </w:pPr>
            <w:r w:rsidRPr="001C1E47">
              <w:rPr>
                <w:rFonts w:cs="Calibri"/>
              </w:rPr>
              <w:t xml:space="preserve"> </w:t>
            </w:r>
            <w:r w:rsidR="006068EA" w:rsidRPr="006068EA">
              <w:rPr>
                <w:rFonts w:cs="Calibri"/>
              </w:rPr>
              <w:t xml:space="preserve">SC OSHA should work with their </w:t>
            </w:r>
            <w:proofErr w:type="gramStart"/>
            <w:r w:rsidR="006068EA" w:rsidRPr="006068EA">
              <w:rPr>
                <w:rFonts w:cs="Calibri"/>
              </w:rPr>
              <w:t>State</w:t>
            </w:r>
            <w:proofErr w:type="gramEnd"/>
            <w:r w:rsidR="006068EA" w:rsidRPr="006068EA">
              <w:rPr>
                <w:rFonts w:cs="Calibri"/>
              </w:rPr>
              <w:t xml:space="preserve"> authorities to complete the legislative changes necessary to adopt the maximum and minimum penalty increase and subsequent annual increases to be at least as effective as federal OSHA penalty levels.</w:t>
            </w:r>
          </w:p>
        </w:tc>
        <w:tc>
          <w:tcPr>
            <w:tcW w:w="2165" w:type="dxa"/>
          </w:tcPr>
          <w:p w14:paraId="23C40F08" w14:textId="2CF42AF4" w:rsidR="006068EA" w:rsidRPr="006068EA" w:rsidRDefault="001B4133" w:rsidP="006068EA">
            <w:pPr>
              <w:widowControl/>
              <w:autoSpaceDE/>
              <w:autoSpaceDN/>
              <w:adjustRightInd/>
              <w:rPr>
                <w:rFonts w:cs="Calibri"/>
              </w:rPr>
            </w:pPr>
            <w:r>
              <w:rPr>
                <w:rFonts w:cs="Calibri"/>
              </w:rPr>
              <w:t>Finding</w:t>
            </w:r>
            <w:r w:rsidR="006068EA" w:rsidRPr="006068EA">
              <w:rPr>
                <w:rFonts w:cs="Calibri"/>
              </w:rPr>
              <w:t xml:space="preserve"> FY 2021-02</w:t>
            </w:r>
          </w:p>
          <w:p w14:paraId="38F6D22D" w14:textId="35E1E3BA" w:rsidR="006068EA" w:rsidRDefault="001B4133" w:rsidP="006068EA">
            <w:pPr>
              <w:widowControl/>
              <w:autoSpaceDE/>
              <w:autoSpaceDN/>
              <w:adjustRightInd/>
              <w:rPr>
                <w:rFonts w:cs="Calibri"/>
              </w:rPr>
            </w:pPr>
            <w:r>
              <w:rPr>
                <w:rFonts w:cs="Calibri"/>
              </w:rPr>
              <w:t>Finding</w:t>
            </w:r>
            <w:r w:rsidR="006068EA" w:rsidRPr="006068EA">
              <w:rPr>
                <w:rFonts w:cs="Calibri"/>
              </w:rPr>
              <w:t xml:space="preserve"> FY 2022-02</w:t>
            </w:r>
            <w:r w:rsidR="000A134A" w:rsidRPr="001C1E47">
              <w:rPr>
                <w:rFonts w:cs="Calibri"/>
              </w:rPr>
              <w:t xml:space="preserve"> </w:t>
            </w:r>
          </w:p>
          <w:p w14:paraId="41535CDB" w14:textId="74F3D671" w:rsidR="000A134A" w:rsidRPr="001C1E47" w:rsidRDefault="001B4133" w:rsidP="007A71AC">
            <w:pPr>
              <w:widowControl/>
              <w:autoSpaceDE/>
              <w:autoSpaceDN/>
              <w:adjustRightInd/>
              <w:rPr>
                <w:rFonts w:cs="Calibri"/>
              </w:rPr>
            </w:pPr>
            <w:r>
              <w:rPr>
                <w:rFonts w:cs="Calibri"/>
              </w:rPr>
              <w:t>Finding</w:t>
            </w:r>
            <w:r w:rsidR="008150A3" w:rsidRPr="008150A3">
              <w:rPr>
                <w:rFonts w:cs="Calibri"/>
              </w:rPr>
              <w:t xml:space="preserve"> FY 2023-05</w:t>
            </w:r>
          </w:p>
        </w:tc>
      </w:tr>
    </w:tbl>
    <w:p w14:paraId="72DA695E" w14:textId="53171EEF" w:rsidR="00B6741C" w:rsidRPr="0002572C" w:rsidRDefault="00B6741C" w:rsidP="000F63C1">
      <w:pPr>
        <w:pStyle w:val="Heading3"/>
        <w:numPr>
          <w:ilvl w:val="0"/>
          <w:numId w:val="0"/>
        </w:numPr>
      </w:pPr>
      <w:bookmarkStart w:id="43" w:name="_Toc118905018"/>
      <w:bookmarkStart w:id="44" w:name="_Toc119418670"/>
      <w:r w:rsidRPr="0002572C">
        <w:t xml:space="preserve">Appendix B – </w:t>
      </w:r>
      <w:r w:rsidR="001B4133">
        <w:t>Observation</w:t>
      </w:r>
      <w:r w:rsidRPr="0002572C">
        <w:t>s Subject to Continued Monitoring</w:t>
      </w:r>
      <w:bookmarkEnd w:id="43"/>
      <w:bookmarkEnd w:id="44"/>
    </w:p>
    <w:p w14:paraId="73014EBD" w14:textId="69F5821D" w:rsidR="00B6741C" w:rsidRPr="00F0678A" w:rsidRDefault="00B6741C" w:rsidP="0002572C">
      <w:r>
        <w:t>FY 20</w:t>
      </w:r>
      <w:r w:rsidR="00B14E44">
        <w:t>24</w:t>
      </w:r>
      <w:r>
        <w:t xml:space="preserve"> </w:t>
      </w:r>
      <w:r w:rsidR="00B14E44">
        <w:t>South Carolina</w:t>
      </w:r>
      <w:r w:rsidRPr="00476C08">
        <w:rPr>
          <w:color w:val="0070C0"/>
        </w:rPr>
        <w:t xml:space="preserve"> </w:t>
      </w:r>
      <w:r>
        <w:t>Follow-up FAME Report</w:t>
      </w: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3"/>
          <w:footerReference w:type="default" r:id="rId14"/>
          <w:headerReference w:type="first" r:id="rId15"/>
          <w:footerReference w:type="first" r:id="rId16"/>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065"/>
        <w:gridCol w:w="2070"/>
        <w:gridCol w:w="4230"/>
        <w:gridCol w:w="2790"/>
        <w:gridCol w:w="1795"/>
      </w:tblGrid>
      <w:tr w:rsidR="00B6741C" w:rsidRPr="001E0801" w14:paraId="266E8016" w14:textId="4E26EFF8" w:rsidTr="004158E0">
        <w:trPr>
          <w:cantSplit/>
          <w:tblHeader/>
        </w:trPr>
        <w:tc>
          <w:tcPr>
            <w:tcW w:w="2065" w:type="dxa"/>
          </w:tcPr>
          <w:p w14:paraId="5950BEA4" w14:textId="5BDC173C" w:rsidR="00B6741C" w:rsidRPr="001E0801" w:rsidRDefault="001B4133" w:rsidP="00B6741C">
            <w:pPr>
              <w:widowControl/>
              <w:autoSpaceDE/>
              <w:autoSpaceDN/>
              <w:adjustRightInd/>
              <w:rPr>
                <w:rFonts w:asciiTheme="minorHAnsi" w:hAnsiTheme="minorHAnsi" w:cstheme="minorHAnsi"/>
                <w:b/>
              </w:rPr>
            </w:pPr>
            <w:r>
              <w:rPr>
                <w:rFonts w:asciiTheme="minorHAnsi" w:hAnsiTheme="minorHAnsi" w:cstheme="minorHAnsi"/>
                <w:b/>
              </w:rPr>
              <w:t>Observation</w:t>
            </w:r>
            <w:r w:rsidR="00B6741C" w:rsidRPr="001E0801">
              <w:rPr>
                <w:rFonts w:asciiTheme="minorHAnsi" w:hAnsiTheme="minorHAnsi" w:cstheme="minorHAnsi"/>
                <w:b/>
              </w:rPr>
              <w:t xml:space="preserve"> #</w:t>
            </w:r>
          </w:p>
          <w:p w14:paraId="09AE72D2" w14:textId="2510766B" w:rsidR="00B6741C" w:rsidRPr="001E0801" w:rsidRDefault="00B6741C" w:rsidP="00B6741C">
            <w:pPr>
              <w:widowControl/>
              <w:autoSpaceDE/>
              <w:autoSpaceDN/>
              <w:adjustRightInd/>
              <w:rPr>
                <w:rFonts w:asciiTheme="minorHAnsi" w:hAnsiTheme="minorHAnsi" w:cstheme="minorHAnsi"/>
                <w:b/>
              </w:rPr>
            </w:pPr>
            <w:r w:rsidRPr="001E0801">
              <w:rPr>
                <w:rFonts w:asciiTheme="minorHAnsi" w:hAnsiTheme="minorHAnsi" w:cstheme="minorHAnsi"/>
                <w:b/>
              </w:rPr>
              <w:t>FY 20</w:t>
            </w:r>
            <w:r w:rsidR="001E0801" w:rsidRPr="001E0801">
              <w:rPr>
                <w:rFonts w:asciiTheme="minorHAnsi" w:hAnsiTheme="minorHAnsi" w:cstheme="minorHAnsi"/>
                <w:b/>
              </w:rPr>
              <w:t>24</w:t>
            </w:r>
            <w:r w:rsidRPr="001E0801">
              <w:rPr>
                <w:rFonts w:asciiTheme="minorHAnsi" w:hAnsiTheme="minorHAnsi" w:cstheme="minorHAnsi"/>
                <w:b/>
              </w:rPr>
              <w:t>-OB-#</w:t>
            </w:r>
          </w:p>
          <w:p w14:paraId="07702D17" w14:textId="77777777" w:rsidR="00B6741C" w:rsidRPr="001E0801" w:rsidRDefault="00B6741C" w:rsidP="00B6741C">
            <w:pPr>
              <w:widowControl/>
              <w:autoSpaceDE/>
              <w:autoSpaceDN/>
              <w:adjustRightInd/>
              <w:rPr>
                <w:rFonts w:asciiTheme="minorHAnsi" w:hAnsiTheme="minorHAnsi" w:cstheme="minorHAnsi"/>
                <w:i/>
              </w:rPr>
            </w:pPr>
          </w:p>
        </w:tc>
        <w:tc>
          <w:tcPr>
            <w:tcW w:w="2070" w:type="dxa"/>
          </w:tcPr>
          <w:p w14:paraId="5B8F9311" w14:textId="7711FA03" w:rsidR="00B6741C" w:rsidRPr="001E0801" w:rsidRDefault="001B4133" w:rsidP="00B6741C">
            <w:pPr>
              <w:widowControl/>
              <w:autoSpaceDE/>
              <w:autoSpaceDN/>
              <w:adjustRightInd/>
              <w:rPr>
                <w:rFonts w:asciiTheme="minorHAnsi" w:hAnsiTheme="minorHAnsi" w:cstheme="minorHAnsi"/>
                <w:b/>
              </w:rPr>
            </w:pPr>
            <w:r>
              <w:rPr>
                <w:rFonts w:asciiTheme="minorHAnsi" w:hAnsiTheme="minorHAnsi" w:cstheme="minorHAnsi"/>
                <w:b/>
              </w:rPr>
              <w:t>Observation</w:t>
            </w:r>
            <w:r w:rsidR="00B6741C" w:rsidRPr="001E0801">
              <w:rPr>
                <w:rFonts w:asciiTheme="minorHAnsi" w:hAnsiTheme="minorHAnsi" w:cstheme="minorHAnsi"/>
                <w:b/>
              </w:rPr>
              <w:t>#</w:t>
            </w:r>
          </w:p>
          <w:p w14:paraId="757E85A6" w14:textId="25DEE0AE" w:rsidR="00B6741C" w:rsidRPr="001E0801" w:rsidRDefault="00B6741C" w:rsidP="00B6741C">
            <w:pPr>
              <w:widowControl/>
              <w:autoSpaceDE/>
              <w:autoSpaceDN/>
              <w:adjustRightInd/>
              <w:rPr>
                <w:rFonts w:asciiTheme="minorHAnsi" w:hAnsiTheme="minorHAnsi" w:cstheme="minorHAnsi"/>
                <w:i/>
              </w:rPr>
            </w:pPr>
            <w:r w:rsidRPr="001E0801">
              <w:rPr>
                <w:rFonts w:asciiTheme="minorHAnsi" w:hAnsiTheme="minorHAnsi" w:cstheme="minorHAnsi"/>
                <w:b/>
              </w:rPr>
              <w:t>FY 20</w:t>
            </w:r>
            <w:r w:rsidR="001E0801">
              <w:rPr>
                <w:rFonts w:asciiTheme="minorHAnsi" w:hAnsiTheme="minorHAnsi" w:cstheme="minorHAnsi"/>
                <w:b/>
              </w:rPr>
              <w:t>23</w:t>
            </w:r>
            <w:r w:rsidRPr="001E0801">
              <w:rPr>
                <w:rFonts w:asciiTheme="minorHAnsi" w:hAnsiTheme="minorHAnsi" w:cstheme="minorHAnsi"/>
                <w:b/>
              </w:rPr>
              <w:t xml:space="preserve">-OB-# </w:t>
            </w:r>
            <w:r w:rsidRPr="001E0801">
              <w:rPr>
                <w:rFonts w:asciiTheme="minorHAnsi" w:hAnsiTheme="minorHAnsi" w:cstheme="minorHAnsi"/>
                <w:b/>
                <w:i/>
              </w:rPr>
              <w:t>or</w:t>
            </w:r>
            <w:r w:rsidRPr="001E0801">
              <w:rPr>
                <w:rFonts w:asciiTheme="minorHAnsi" w:hAnsiTheme="minorHAnsi" w:cstheme="minorHAnsi"/>
                <w:b/>
              </w:rPr>
              <w:t xml:space="preserve"> FY 20XX-#</w:t>
            </w:r>
          </w:p>
        </w:tc>
        <w:tc>
          <w:tcPr>
            <w:tcW w:w="4230" w:type="dxa"/>
          </w:tcPr>
          <w:p w14:paraId="11DA1749" w14:textId="34A2981A" w:rsidR="00B6741C" w:rsidRPr="001E0801" w:rsidRDefault="001B4133" w:rsidP="00B6741C">
            <w:pPr>
              <w:widowControl/>
              <w:autoSpaceDE/>
              <w:autoSpaceDN/>
              <w:adjustRightInd/>
              <w:rPr>
                <w:rFonts w:asciiTheme="minorHAnsi" w:hAnsiTheme="minorHAnsi" w:cstheme="minorHAnsi"/>
                <w:i/>
              </w:rPr>
            </w:pPr>
            <w:r>
              <w:rPr>
                <w:rFonts w:asciiTheme="minorHAnsi" w:hAnsiTheme="minorHAnsi" w:cstheme="minorHAnsi"/>
                <w:b/>
              </w:rPr>
              <w:t>Observation</w:t>
            </w:r>
          </w:p>
        </w:tc>
        <w:tc>
          <w:tcPr>
            <w:tcW w:w="2790" w:type="dxa"/>
          </w:tcPr>
          <w:p w14:paraId="76BC073C" w14:textId="70BBC1B0" w:rsidR="00B6741C" w:rsidRPr="001E0801" w:rsidRDefault="00B6741C" w:rsidP="00B6741C">
            <w:pPr>
              <w:widowControl/>
              <w:autoSpaceDE/>
              <w:autoSpaceDN/>
              <w:adjustRightInd/>
              <w:rPr>
                <w:rFonts w:asciiTheme="minorHAnsi" w:hAnsiTheme="minorHAnsi" w:cstheme="minorHAnsi"/>
                <w:i/>
              </w:rPr>
            </w:pPr>
            <w:r w:rsidRPr="001E0801">
              <w:rPr>
                <w:rFonts w:asciiTheme="minorHAnsi" w:hAnsiTheme="minorHAnsi" w:cstheme="minorHAnsi"/>
                <w:b/>
              </w:rPr>
              <w:t>Federal Monitoring Plan</w:t>
            </w:r>
          </w:p>
        </w:tc>
        <w:tc>
          <w:tcPr>
            <w:tcW w:w="1795" w:type="dxa"/>
          </w:tcPr>
          <w:p w14:paraId="46D0EE63" w14:textId="4A2BA825" w:rsidR="00B6741C" w:rsidRPr="001E0801" w:rsidRDefault="00B6741C" w:rsidP="00B6741C">
            <w:pPr>
              <w:widowControl/>
              <w:autoSpaceDE/>
              <w:autoSpaceDN/>
              <w:adjustRightInd/>
              <w:rPr>
                <w:rFonts w:asciiTheme="minorHAnsi" w:hAnsiTheme="minorHAnsi" w:cstheme="minorHAnsi"/>
                <w:b/>
              </w:rPr>
            </w:pPr>
            <w:r w:rsidRPr="001E0801">
              <w:rPr>
                <w:rFonts w:asciiTheme="minorHAnsi" w:hAnsiTheme="minorHAnsi" w:cstheme="minorHAnsi"/>
                <w:b/>
              </w:rPr>
              <w:t>Current Status</w:t>
            </w:r>
          </w:p>
        </w:tc>
      </w:tr>
      <w:tr w:rsidR="00A73F73" w:rsidRPr="001E0801" w14:paraId="11F4C90D" w14:textId="77777777" w:rsidTr="004158E0">
        <w:trPr>
          <w:cantSplit/>
        </w:trPr>
        <w:tc>
          <w:tcPr>
            <w:tcW w:w="2065" w:type="dxa"/>
          </w:tcPr>
          <w:p w14:paraId="390FF61B"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2024-OB-01</w:t>
            </w:r>
          </w:p>
          <w:p w14:paraId="4F98C1A1" w14:textId="77777777" w:rsidR="00A73F73" w:rsidRPr="001E0801" w:rsidRDefault="00A73F73" w:rsidP="00A73F73">
            <w:pPr>
              <w:widowControl/>
              <w:autoSpaceDE/>
              <w:autoSpaceDN/>
              <w:adjustRightInd/>
              <w:rPr>
                <w:rFonts w:asciiTheme="minorHAnsi" w:hAnsiTheme="minorHAnsi" w:cstheme="minorHAnsi"/>
                <w:iCs/>
                <w:sz w:val="23"/>
                <w:szCs w:val="23"/>
              </w:rPr>
            </w:pPr>
          </w:p>
        </w:tc>
        <w:tc>
          <w:tcPr>
            <w:tcW w:w="2070" w:type="dxa"/>
          </w:tcPr>
          <w:p w14:paraId="32491BC0" w14:textId="1807B3E5" w:rsidR="00A73F73" w:rsidRPr="001E0801" w:rsidRDefault="00A73F73" w:rsidP="00A73F73">
            <w:pPr>
              <w:widowControl/>
              <w:autoSpaceDE/>
              <w:autoSpaceDN/>
              <w:adjustRightInd/>
              <w:rPr>
                <w:rFonts w:asciiTheme="minorHAnsi" w:hAnsiTheme="minorHAnsi" w:cstheme="minorHAnsi"/>
                <w:iCs/>
                <w:sz w:val="23"/>
                <w:szCs w:val="23"/>
              </w:rPr>
            </w:pPr>
          </w:p>
        </w:tc>
        <w:tc>
          <w:tcPr>
            <w:tcW w:w="4230" w:type="dxa"/>
          </w:tcPr>
          <w:p w14:paraId="39BA5B8F" w14:textId="1A2E46AD" w:rsidR="00A73F73" w:rsidRPr="001E0801" w:rsidRDefault="00FB2670" w:rsidP="00A73F73">
            <w:pPr>
              <w:widowControl/>
              <w:autoSpaceDE/>
              <w:autoSpaceDN/>
              <w:adjustRightInd/>
              <w:rPr>
                <w:rFonts w:asciiTheme="minorHAnsi" w:hAnsiTheme="minorHAnsi" w:cstheme="minorHAnsi"/>
                <w:sz w:val="23"/>
                <w:szCs w:val="23"/>
              </w:rPr>
            </w:pPr>
            <w:r w:rsidRPr="00FB2670">
              <w:rPr>
                <w:rFonts w:asciiTheme="minorHAnsi" w:hAnsiTheme="minorHAnsi" w:cstheme="minorHAnsi"/>
                <w:sz w:val="23"/>
                <w:szCs w:val="23"/>
              </w:rPr>
              <w:t>In FY 2024, the percentage of safety inspections in-compliance (51.89%) exceeded the FRL range of 26.27% to 39.40% for safety (SAMM 9a).</w:t>
            </w:r>
          </w:p>
        </w:tc>
        <w:tc>
          <w:tcPr>
            <w:tcW w:w="2790" w:type="dxa"/>
          </w:tcPr>
          <w:p w14:paraId="3D574960" w14:textId="0AEA6F96" w:rsidR="00A73F73" w:rsidRPr="001E0801" w:rsidRDefault="00FB2670" w:rsidP="004158E0">
            <w:pPr>
              <w:pStyle w:val="NoSpacing"/>
              <w:rPr>
                <w:rFonts w:asciiTheme="minorHAnsi" w:hAnsiTheme="minorHAnsi" w:cstheme="minorHAnsi"/>
                <w:sz w:val="23"/>
                <w:szCs w:val="23"/>
              </w:rPr>
            </w:pPr>
            <w:r w:rsidRPr="00885812">
              <w:rPr>
                <w:sz w:val="24"/>
                <w:szCs w:val="24"/>
              </w:rPr>
              <w:t>OSHA will continue to discuss this metric with the South Carolina State Plan during quarterly meetings in FY 2025.</w:t>
            </w:r>
          </w:p>
        </w:tc>
        <w:tc>
          <w:tcPr>
            <w:tcW w:w="1795" w:type="dxa"/>
          </w:tcPr>
          <w:p w14:paraId="58A6CC34" w14:textId="104B68C7" w:rsidR="00A73F73" w:rsidRPr="001E0801" w:rsidRDefault="00A73F73" w:rsidP="00A73F73">
            <w:pPr>
              <w:widowControl/>
              <w:autoSpaceDE/>
              <w:autoSpaceDN/>
              <w:adjustRightInd/>
              <w:jc w:val="center"/>
              <w:rPr>
                <w:rFonts w:asciiTheme="minorHAnsi" w:hAnsiTheme="minorHAnsi" w:cstheme="minorHAnsi"/>
                <w:iCs/>
                <w:sz w:val="23"/>
                <w:szCs w:val="23"/>
              </w:rPr>
            </w:pPr>
            <w:r>
              <w:rPr>
                <w:rFonts w:asciiTheme="minorHAnsi" w:hAnsiTheme="minorHAnsi" w:cstheme="minorHAnsi"/>
                <w:iCs/>
                <w:sz w:val="23"/>
                <w:szCs w:val="23"/>
              </w:rPr>
              <w:t>New</w:t>
            </w:r>
          </w:p>
        </w:tc>
      </w:tr>
      <w:tr w:rsidR="00A73F73" w:rsidRPr="001E0801" w14:paraId="715083EB" w14:textId="58561804" w:rsidTr="004158E0">
        <w:trPr>
          <w:cantSplit/>
        </w:trPr>
        <w:tc>
          <w:tcPr>
            <w:tcW w:w="2065" w:type="dxa"/>
          </w:tcPr>
          <w:p w14:paraId="4D452A7D" w14:textId="6DB4DF85"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2024-OB-0</w:t>
            </w:r>
            <w:r w:rsidR="007A32FB">
              <w:rPr>
                <w:rFonts w:asciiTheme="minorHAnsi" w:hAnsiTheme="minorHAnsi" w:cstheme="minorHAnsi"/>
                <w:iCs/>
                <w:sz w:val="23"/>
                <w:szCs w:val="23"/>
              </w:rPr>
              <w:t>2</w:t>
            </w:r>
          </w:p>
          <w:p w14:paraId="7834860F" w14:textId="1EE188AD"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54041B2D"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2023-OB-01</w:t>
            </w:r>
          </w:p>
          <w:p w14:paraId="1207E4E3"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53E4A09F" w14:textId="20BE680C" w:rsidR="00A73F73" w:rsidRPr="001E0801" w:rsidRDefault="00475ABB" w:rsidP="00A73F73">
            <w:pPr>
              <w:widowControl/>
              <w:autoSpaceDE/>
              <w:autoSpaceDN/>
              <w:adjustRightInd/>
              <w:rPr>
                <w:rFonts w:asciiTheme="minorHAnsi" w:hAnsiTheme="minorHAnsi" w:cstheme="minorHAnsi"/>
                <w:iCs/>
                <w:color w:val="0070C0"/>
              </w:rPr>
            </w:pPr>
            <w:r>
              <w:rPr>
                <w:rFonts w:asciiTheme="minorHAnsi" w:hAnsiTheme="minorHAnsi" w:cstheme="minorHAnsi"/>
                <w:sz w:val="23"/>
                <w:szCs w:val="23"/>
              </w:rPr>
              <w:t xml:space="preserve">In FY 2023, </w:t>
            </w:r>
            <w:r w:rsidR="004158E0" w:rsidRPr="004158E0">
              <w:rPr>
                <w:rFonts w:asciiTheme="minorHAnsi" w:hAnsiTheme="minorHAnsi" w:cstheme="minorHAnsi"/>
                <w:sz w:val="23"/>
                <w:szCs w:val="23"/>
              </w:rPr>
              <w:t>SC OSHA did not validate and process at least three (3) of 17 complaints from former employees and other complainants alleging serious hazards. SC OSHA should adhere to the informal complaint processing procedures and requirements and develop a strategy to ensure that all complaints alleging serious hazards are addressed.</w:t>
            </w:r>
          </w:p>
        </w:tc>
        <w:tc>
          <w:tcPr>
            <w:tcW w:w="2790" w:type="dxa"/>
          </w:tcPr>
          <w:p w14:paraId="04F2CA88" w14:textId="32D89826" w:rsidR="00A73F73" w:rsidRPr="001E0801" w:rsidRDefault="00A73F73" w:rsidP="00A73F73">
            <w:pPr>
              <w:widowControl/>
              <w:autoSpaceDE/>
              <w:autoSpaceDN/>
              <w:adjustRightInd/>
              <w:rPr>
                <w:rFonts w:asciiTheme="minorHAnsi" w:hAnsiTheme="minorHAnsi" w:cstheme="minorHAnsi"/>
                <w:iCs/>
              </w:rPr>
            </w:pPr>
            <w:r w:rsidRPr="001E0801">
              <w:rPr>
                <w:rFonts w:asciiTheme="minorHAnsi" w:hAnsiTheme="minorHAnsi" w:cstheme="minorHAnsi"/>
                <w:sz w:val="23"/>
                <w:szCs w:val="23"/>
              </w:rPr>
              <w:t xml:space="preserve">During next year’s FAME, a limited scope review will be conducted to determine if </w:t>
            </w:r>
            <w:r w:rsidR="001B4133">
              <w:rPr>
                <w:rFonts w:asciiTheme="minorHAnsi" w:hAnsiTheme="minorHAnsi" w:cstheme="minorHAnsi"/>
                <w:sz w:val="23"/>
                <w:szCs w:val="23"/>
              </w:rPr>
              <w:t>Observation</w:t>
            </w:r>
            <w:r w:rsidRPr="001E0801">
              <w:rPr>
                <w:rFonts w:asciiTheme="minorHAnsi" w:hAnsiTheme="minorHAnsi" w:cstheme="minorHAnsi"/>
                <w:sz w:val="23"/>
                <w:szCs w:val="23"/>
              </w:rPr>
              <w:t xml:space="preserve"> is reflected in the data trend.</w:t>
            </w:r>
          </w:p>
        </w:tc>
        <w:tc>
          <w:tcPr>
            <w:tcW w:w="1795" w:type="dxa"/>
          </w:tcPr>
          <w:p w14:paraId="11B42A4A" w14:textId="77777777" w:rsidR="00A73F73" w:rsidRPr="001E0801" w:rsidRDefault="00A73F73" w:rsidP="00A73F73">
            <w:pPr>
              <w:widowControl/>
              <w:autoSpaceDE/>
              <w:autoSpaceDN/>
              <w:adjustRightInd/>
              <w:jc w:val="center"/>
              <w:rPr>
                <w:rFonts w:asciiTheme="minorHAnsi" w:hAnsiTheme="minorHAnsi" w:cstheme="minorHAnsi"/>
                <w:iCs/>
                <w:sz w:val="23"/>
                <w:szCs w:val="23"/>
              </w:rPr>
            </w:pPr>
            <w:r w:rsidRPr="001E0801">
              <w:rPr>
                <w:rFonts w:asciiTheme="minorHAnsi" w:hAnsiTheme="minorHAnsi" w:cstheme="minorHAnsi"/>
                <w:iCs/>
                <w:sz w:val="23"/>
                <w:szCs w:val="23"/>
              </w:rPr>
              <w:t>Continued</w:t>
            </w:r>
          </w:p>
          <w:p w14:paraId="79E4394D" w14:textId="7311ECBE" w:rsidR="00A73F73" w:rsidRPr="001E0801" w:rsidRDefault="00A73F73" w:rsidP="00A73F73">
            <w:pPr>
              <w:widowControl/>
              <w:autoSpaceDE/>
              <w:autoSpaceDN/>
              <w:adjustRightInd/>
              <w:rPr>
                <w:rFonts w:asciiTheme="minorHAnsi" w:hAnsiTheme="minorHAnsi" w:cstheme="minorHAnsi"/>
                <w:iCs/>
                <w:color w:val="0070C0"/>
              </w:rPr>
            </w:pPr>
          </w:p>
        </w:tc>
      </w:tr>
      <w:tr w:rsidR="00A73F73" w:rsidRPr="001E0801" w14:paraId="414575F4" w14:textId="437735BC" w:rsidTr="004158E0">
        <w:trPr>
          <w:cantSplit/>
        </w:trPr>
        <w:tc>
          <w:tcPr>
            <w:tcW w:w="2065" w:type="dxa"/>
          </w:tcPr>
          <w:p w14:paraId="05B5DEFD" w14:textId="6492FE56"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2024-OB-0</w:t>
            </w:r>
            <w:r w:rsidR="007A32FB">
              <w:rPr>
                <w:rFonts w:asciiTheme="minorHAnsi" w:hAnsiTheme="minorHAnsi" w:cstheme="minorHAnsi"/>
                <w:iCs/>
                <w:sz w:val="23"/>
                <w:szCs w:val="23"/>
              </w:rPr>
              <w:t>3</w:t>
            </w:r>
          </w:p>
          <w:p w14:paraId="38E1B745"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4822D4AA"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2023-OB-02</w:t>
            </w:r>
          </w:p>
          <w:p w14:paraId="4640B74B" w14:textId="2D385585"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3BC4A14C" w14:textId="30D52246" w:rsidR="00A73F73" w:rsidRPr="001E0801" w:rsidRDefault="004158E0" w:rsidP="00A73F73">
            <w:pPr>
              <w:widowControl/>
              <w:autoSpaceDE/>
              <w:autoSpaceDN/>
              <w:adjustRightInd/>
              <w:rPr>
                <w:rFonts w:asciiTheme="minorHAnsi" w:hAnsiTheme="minorHAnsi" w:cstheme="minorHAnsi"/>
                <w:iCs/>
                <w:color w:val="0070C0"/>
              </w:rPr>
            </w:pPr>
            <w:r w:rsidRPr="004158E0">
              <w:rPr>
                <w:rFonts w:asciiTheme="minorHAnsi" w:hAnsiTheme="minorHAnsi" w:cstheme="minorHAnsi"/>
                <w:sz w:val="23"/>
                <w:szCs w:val="23"/>
              </w:rPr>
              <w:t>I</w:t>
            </w:r>
            <w:r w:rsidR="00475ABB">
              <w:rPr>
                <w:rFonts w:asciiTheme="minorHAnsi" w:hAnsiTheme="minorHAnsi" w:cstheme="minorHAnsi"/>
                <w:sz w:val="23"/>
                <w:szCs w:val="23"/>
              </w:rPr>
              <w:t>n FY 2023, i</w:t>
            </w:r>
            <w:r w:rsidRPr="004158E0">
              <w:rPr>
                <w:rFonts w:asciiTheme="minorHAnsi" w:hAnsiTheme="minorHAnsi" w:cstheme="minorHAnsi"/>
                <w:sz w:val="23"/>
                <w:szCs w:val="23"/>
              </w:rPr>
              <w:t xml:space="preserve">n three (3) of 17 informal (phone/fax) complaints reviewed complaint items were not adequately addressed, prior to closing the case files. The complaint allegations not addressed were in relation to potential health hazards.  </w:t>
            </w:r>
          </w:p>
        </w:tc>
        <w:tc>
          <w:tcPr>
            <w:tcW w:w="2790" w:type="dxa"/>
          </w:tcPr>
          <w:p w14:paraId="016CAD6A" w14:textId="6CA34FEE" w:rsidR="00A73F73" w:rsidRPr="001E0801" w:rsidRDefault="00A73F73" w:rsidP="00A73F73">
            <w:pPr>
              <w:widowControl/>
              <w:autoSpaceDE/>
              <w:autoSpaceDN/>
              <w:adjustRightInd/>
              <w:rPr>
                <w:rFonts w:asciiTheme="minorHAnsi" w:hAnsiTheme="minorHAnsi" w:cstheme="minorHAnsi"/>
                <w:iCs/>
              </w:rPr>
            </w:pPr>
            <w:r w:rsidRPr="001E0801">
              <w:rPr>
                <w:rFonts w:asciiTheme="minorHAnsi" w:hAnsiTheme="minorHAnsi" w:cstheme="minorHAnsi"/>
                <w:sz w:val="23"/>
                <w:szCs w:val="23"/>
              </w:rPr>
              <w:t xml:space="preserve">During next year’s FAME, a limited scope review will be conducted to determine if </w:t>
            </w:r>
            <w:r w:rsidR="001B4133">
              <w:rPr>
                <w:rFonts w:asciiTheme="minorHAnsi" w:hAnsiTheme="minorHAnsi" w:cstheme="minorHAnsi"/>
                <w:sz w:val="23"/>
                <w:szCs w:val="23"/>
              </w:rPr>
              <w:t>Observation</w:t>
            </w:r>
            <w:r w:rsidRPr="001E0801">
              <w:rPr>
                <w:rFonts w:asciiTheme="minorHAnsi" w:hAnsiTheme="minorHAnsi" w:cstheme="minorHAnsi"/>
                <w:sz w:val="23"/>
                <w:szCs w:val="23"/>
              </w:rPr>
              <w:t xml:space="preserve"> is reflected in the data trend.</w:t>
            </w:r>
          </w:p>
        </w:tc>
        <w:tc>
          <w:tcPr>
            <w:tcW w:w="1795" w:type="dxa"/>
          </w:tcPr>
          <w:p w14:paraId="3BBEA53F" w14:textId="77777777" w:rsidR="00A73F73" w:rsidRPr="001E0801" w:rsidRDefault="00A73F73" w:rsidP="00A73F73">
            <w:pPr>
              <w:widowControl/>
              <w:autoSpaceDE/>
              <w:autoSpaceDN/>
              <w:adjustRightInd/>
              <w:jc w:val="center"/>
              <w:rPr>
                <w:rFonts w:asciiTheme="minorHAnsi" w:hAnsiTheme="minorHAnsi" w:cstheme="minorHAnsi"/>
                <w:iCs/>
                <w:sz w:val="23"/>
                <w:szCs w:val="23"/>
              </w:rPr>
            </w:pPr>
            <w:r w:rsidRPr="001E0801">
              <w:rPr>
                <w:rFonts w:asciiTheme="minorHAnsi" w:hAnsiTheme="minorHAnsi" w:cstheme="minorHAnsi"/>
                <w:iCs/>
                <w:sz w:val="23"/>
                <w:szCs w:val="23"/>
              </w:rPr>
              <w:t>Continued</w:t>
            </w:r>
          </w:p>
          <w:p w14:paraId="4F554364" w14:textId="47C716B3" w:rsidR="00A73F73" w:rsidRPr="001E0801" w:rsidRDefault="00A73F73" w:rsidP="00A73F73">
            <w:pPr>
              <w:widowControl/>
              <w:autoSpaceDE/>
              <w:autoSpaceDN/>
              <w:adjustRightInd/>
              <w:rPr>
                <w:rFonts w:asciiTheme="minorHAnsi" w:hAnsiTheme="minorHAnsi" w:cstheme="minorHAnsi"/>
                <w:iCs/>
                <w:color w:val="0070C0"/>
              </w:rPr>
            </w:pPr>
          </w:p>
        </w:tc>
      </w:tr>
      <w:tr w:rsidR="00A73F73" w:rsidRPr="001E0801" w14:paraId="2A1F60AE" w14:textId="77777777" w:rsidTr="004158E0">
        <w:trPr>
          <w:cantSplit/>
        </w:trPr>
        <w:tc>
          <w:tcPr>
            <w:tcW w:w="2065" w:type="dxa"/>
          </w:tcPr>
          <w:p w14:paraId="5BF122CF" w14:textId="48130403"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2024-OB-0</w:t>
            </w:r>
            <w:r w:rsidR="007A32FB">
              <w:rPr>
                <w:rFonts w:asciiTheme="minorHAnsi" w:hAnsiTheme="minorHAnsi" w:cstheme="minorHAnsi"/>
                <w:iCs/>
                <w:sz w:val="23"/>
                <w:szCs w:val="23"/>
              </w:rPr>
              <w:t>4</w:t>
            </w:r>
          </w:p>
          <w:p w14:paraId="1B7751CE"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2C175E81"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2023-OB-03</w:t>
            </w:r>
          </w:p>
          <w:p w14:paraId="4CD138F6" w14:textId="33ACB587" w:rsidR="00A73F73" w:rsidRPr="001E0801" w:rsidRDefault="00A73F73" w:rsidP="00A73F73">
            <w:pPr>
              <w:widowControl/>
              <w:autoSpaceDE/>
              <w:autoSpaceDN/>
              <w:adjustRightInd/>
              <w:jc w:val="both"/>
              <w:rPr>
                <w:rFonts w:asciiTheme="minorHAnsi" w:hAnsiTheme="minorHAnsi" w:cstheme="minorHAnsi"/>
                <w:iCs/>
                <w:sz w:val="23"/>
                <w:szCs w:val="23"/>
              </w:rPr>
            </w:pPr>
            <w:r w:rsidRPr="001E0801">
              <w:rPr>
                <w:rFonts w:asciiTheme="minorHAnsi" w:hAnsiTheme="minorHAnsi" w:cstheme="minorHAnsi"/>
                <w:iCs/>
                <w:sz w:val="23"/>
                <w:szCs w:val="23"/>
              </w:rPr>
              <w:t>FY 2022-OB-01</w:t>
            </w:r>
          </w:p>
          <w:p w14:paraId="11832670" w14:textId="77777777" w:rsidR="00A73F73" w:rsidRPr="001E0801" w:rsidRDefault="00A73F73" w:rsidP="00A73F73">
            <w:pPr>
              <w:widowControl/>
              <w:autoSpaceDE/>
              <w:autoSpaceDN/>
              <w:adjustRightInd/>
              <w:jc w:val="both"/>
              <w:rPr>
                <w:rFonts w:asciiTheme="minorHAnsi" w:hAnsiTheme="minorHAnsi" w:cstheme="minorHAnsi"/>
                <w:iCs/>
                <w:sz w:val="23"/>
                <w:szCs w:val="23"/>
              </w:rPr>
            </w:pPr>
            <w:r w:rsidRPr="001E0801">
              <w:rPr>
                <w:rFonts w:asciiTheme="minorHAnsi" w:hAnsiTheme="minorHAnsi" w:cstheme="minorHAnsi"/>
                <w:iCs/>
                <w:sz w:val="23"/>
                <w:szCs w:val="23"/>
              </w:rPr>
              <w:t>FY 2021-OB-01</w:t>
            </w:r>
          </w:p>
          <w:p w14:paraId="6F664DD5" w14:textId="77777777" w:rsidR="00A73F73" w:rsidRPr="001E0801" w:rsidRDefault="00A73F73" w:rsidP="00A73F73">
            <w:pPr>
              <w:widowControl/>
              <w:autoSpaceDE/>
              <w:autoSpaceDN/>
              <w:adjustRightInd/>
              <w:jc w:val="both"/>
              <w:rPr>
                <w:rFonts w:asciiTheme="minorHAnsi" w:hAnsiTheme="minorHAnsi" w:cstheme="minorHAnsi"/>
                <w:iCs/>
                <w:sz w:val="23"/>
                <w:szCs w:val="23"/>
              </w:rPr>
            </w:pPr>
          </w:p>
          <w:p w14:paraId="4B89FD37"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07C3F55C" w14:textId="3946999B" w:rsidR="00A73F73" w:rsidRPr="001E0801" w:rsidRDefault="00475ABB" w:rsidP="00A73F73">
            <w:pPr>
              <w:widowControl/>
              <w:autoSpaceDE/>
              <w:autoSpaceDN/>
              <w:adjustRightInd/>
              <w:rPr>
                <w:rFonts w:asciiTheme="minorHAnsi" w:hAnsiTheme="minorHAnsi" w:cstheme="minorHAnsi"/>
                <w:iCs/>
                <w:color w:val="0070C0"/>
              </w:rPr>
            </w:pPr>
            <w:r>
              <w:rPr>
                <w:rFonts w:asciiTheme="minorHAnsi" w:hAnsiTheme="minorHAnsi" w:cstheme="minorHAnsi"/>
                <w:sz w:val="23"/>
                <w:szCs w:val="23"/>
              </w:rPr>
              <w:t>In FY 2023, t</w:t>
            </w:r>
            <w:r w:rsidR="004158E0" w:rsidRPr="004158E0">
              <w:rPr>
                <w:rFonts w:asciiTheme="minorHAnsi" w:hAnsiTheme="minorHAnsi" w:cstheme="minorHAnsi"/>
                <w:sz w:val="23"/>
                <w:szCs w:val="23"/>
              </w:rPr>
              <w:t>hree (3) of 15 fatality investigations reviewed lacked documentation to determine the reason(s) an OSHA standard was not cited.</w:t>
            </w:r>
          </w:p>
        </w:tc>
        <w:tc>
          <w:tcPr>
            <w:tcW w:w="2790" w:type="dxa"/>
          </w:tcPr>
          <w:p w14:paraId="03A87DC0" w14:textId="03E9B117" w:rsidR="00A73F73" w:rsidRPr="001E0801" w:rsidRDefault="00A73F73" w:rsidP="00A73F73">
            <w:pPr>
              <w:widowControl/>
              <w:autoSpaceDE/>
              <w:autoSpaceDN/>
              <w:adjustRightInd/>
              <w:rPr>
                <w:rFonts w:asciiTheme="minorHAnsi" w:hAnsiTheme="minorHAnsi" w:cstheme="minorHAnsi"/>
                <w:iCs/>
              </w:rPr>
            </w:pPr>
            <w:r w:rsidRPr="001E0801">
              <w:rPr>
                <w:rFonts w:asciiTheme="minorHAnsi" w:hAnsiTheme="minorHAnsi" w:cstheme="minorHAnsi"/>
                <w:sz w:val="23"/>
                <w:szCs w:val="23"/>
              </w:rPr>
              <w:t xml:space="preserve">During next year’s FAME, a limited scope review will be conducted to determine if </w:t>
            </w:r>
            <w:r w:rsidR="001B4133">
              <w:rPr>
                <w:rFonts w:asciiTheme="minorHAnsi" w:hAnsiTheme="minorHAnsi" w:cstheme="minorHAnsi"/>
                <w:sz w:val="23"/>
                <w:szCs w:val="23"/>
              </w:rPr>
              <w:t>Observation</w:t>
            </w:r>
            <w:r w:rsidRPr="001E0801">
              <w:rPr>
                <w:rFonts w:asciiTheme="minorHAnsi" w:hAnsiTheme="minorHAnsi" w:cstheme="minorHAnsi"/>
                <w:sz w:val="23"/>
                <w:szCs w:val="23"/>
              </w:rPr>
              <w:t xml:space="preserve"> is reflected in the data trend.</w:t>
            </w:r>
          </w:p>
        </w:tc>
        <w:tc>
          <w:tcPr>
            <w:tcW w:w="1795" w:type="dxa"/>
          </w:tcPr>
          <w:p w14:paraId="71ECF27C" w14:textId="2759B83A" w:rsidR="00A73F73" w:rsidRPr="001E0801" w:rsidRDefault="00A73F73" w:rsidP="00A73F73">
            <w:pPr>
              <w:widowControl/>
              <w:autoSpaceDE/>
              <w:autoSpaceDN/>
              <w:adjustRightInd/>
              <w:jc w:val="center"/>
              <w:rPr>
                <w:rFonts w:asciiTheme="minorHAnsi" w:hAnsiTheme="minorHAnsi" w:cstheme="minorHAnsi"/>
                <w:iCs/>
                <w:color w:val="0070C0"/>
              </w:rPr>
            </w:pPr>
            <w:r w:rsidRPr="001E0801">
              <w:rPr>
                <w:rFonts w:asciiTheme="minorHAnsi" w:hAnsiTheme="minorHAnsi" w:cstheme="minorHAnsi"/>
                <w:sz w:val="23"/>
                <w:szCs w:val="23"/>
              </w:rPr>
              <w:t>Continued</w:t>
            </w:r>
          </w:p>
        </w:tc>
      </w:tr>
      <w:tr w:rsidR="00A73F73" w:rsidRPr="001E0801" w14:paraId="151C9709" w14:textId="77777777" w:rsidTr="004158E0">
        <w:trPr>
          <w:cantSplit/>
        </w:trPr>
        <w:tc>
          <w:tcPr>
            <w:tcW w:w="2065" w:type="dxa"/>
          </w:tcPr>
          <w:p w14:paraId="37FD63F6" w14:textId="3E07C75D"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2024-OB-0</w:t>
            </w:r>
            <w:r w:rsidR="004158E0">
              <w:rPr>
                <w:rFonts w:asciiTheme="minorHAnsi" w:hAnsiTheme="minorHAnsi" w:cstheme="minorHAnsi"/>
                <w:iCs/>
                <w:sz w:val="23"/>
                <w:szCs w:val="23"/>
              </w:rPr>
              <w:t>5</w:t>
            </w:r>
          </w:p>
          <w:p w14:paraId="1BDE7963"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66588FE4"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2023-OB-04</w:t>
            </w:r>
          </w:p>
          <w:p w14:paraId="40E3852F"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73793B15" w14:textId="647F9344" w:rsidR="00A73F73" w:rsidRPr="001E0801" w:rsidRDefault="00475ABB" w:rsidP="00A73F73">
            <w:pPr>
              <w:widowControl/>
              <w:autoSpaceDE/>
              <w:autoSpaceDN/>
              <w:adjustRightInd/>
              <w:rPr>
                <w:rFonts w:asciiTheme="minorHAnsi" w:hAnsiTheme="minorHAnsi" w:cstheme="minorHAnsi"/>
                <w:iCs/>
                <w:color w:val="0070C0"/>
              </w:rPr>
            </w:pPr>
            <w:r>
              <w:rPr>
                <w:rFonts w:asciiTheme="minorHAnsi" w:hAnsiTheme="minorHAnsi" w:cstheme="minorHAnsi"/>
                <w:color w:val="000000"/>
                <w:sz w:val="23"/>
                <w:szCs w:val="23"/>
              </w:rPr>
              <w:t>In FY 2023, f</w:t>
            </w:r>
            <w:r w:rsidR="004158E0" w:rsidRPr="004158E0">
              <w:rPr>
                <w:rFonts w:asciiTheme="minorHAnsi" w:hAnsiTheme="minorHAnsi" w:cstheme="minorHAnsi"/>
                <w:color w:val="000000"/>
                <w:sz w:val="23"/>
                <w:szCs w:val="23"/>
              </w:rPr>
              <w:t xml:space="preserve">our (4) out of 21 fatality and severe injury investigations reviewed identified a delay in conducting interviews. </w:t>
            </w:r>
          </w:p>
        </w:tc>
        <w:tc>
          <w:tcPr>
            <w:tcW w:w="2790" w:type="dxa"/>
          </w:tcPr>
          <w:p w14:paraId="0CDC7AC2" w14:textId="0149292E" w:rsidR="00A73F73" w:rsidRPr="001E0801" w:rsidRDefault="00A73F73" w:rsidP="00A73F73">
            <w:pPr>
              <w:widowControl/>
              <w:autoSpaceDE/>
              <w:autoSpaceDN/>
              <w:adjustRightInd/>
              <w:rPr>
                <w:rFonts w:asciiTheme="minorHAnsi" w:hAnsiTheme="minorHAnsi" w:cstheme="minorHAnsi"/>
                <w:iCs/>
              </w:rPr>
            </w:pPr>
            <w:r w:rsidRPr="001E0801">
              <w:rPr>
                <w:rFonts w:asciiTheme="minorHAnsi" w:hAnsiTheme="minorHAnsi" w:cstheme="minorHAnsi"/>
                <w:sz w:val="23"/>
                <w:szCs w:val="23"/>
              </w:rPr>
              <w:t xml:space="preserve">During next year’s FAME, a limited scope review will be conducted to determine if </w:t>
            </w:r>
            <w:r w:rsidR="001B4133">
              <w:rPr>
                <w:rFonts w:asciiTheme="minorHAnsi" w:hAnsiTheme="minorHAnsi" w:cstheme="minorHAnsi"/>
                <w:sz w:val="23"/>
                <w:szCs w:val="23"/>
              </w:rPr>
              <w:t>Observation</w:t>
            </w:r>
            <w:r w:rsidRPr="001E0801">
              <w:rPr>
                <w:rFonts w:asciiTheme="minorHAnsi" w:hAnsiTheme="minorHAnsi" w:cstheme="minorHAnsi"/>
                <w:sz w:val="23"/>
                <w:szCs w:val="23"/>
              </w:rPr>
              <w:t xml:space="preserve"> is reflected in the data trend.</w:t>
            </w:r>
          </w:p>
        </w:tc>
        <w:tc>
          <w:tcPr>
            <w:tcW w:w="1795" w:type="dxa"/>
          </w:tcPr>
          <w:p w14:paraId="5F058D7D" w14:textId="77777777" w:rsidR="00A73F73" w:rsidRPr="001E0801" w:rsidRDefault="00A73F73" w:rsidP="00A73F73">
            <w:pPr>
              <w:widowControl/>
              <w:autoSpaceDE/>
              <w:autoSpaceDN/>
              <w:adjustRightInd/>
              <w:jc w:val="center"/>
              <w:rPr>
                <w:rFonts w:asciiTheme="minorHAnsi" w:hAnsiTheme="minorHAnsi" w:cstheme="minorHAnsi"/>
                <w:iCs/>
                <w:sz w:val="23"/>
                <w:szCs w:val="23"/>
              </w:rPr>
            </w:pPr>
            <w:r w:rsidRPr="001E0801">
              <w:rPr>
                <w:rFonts w:asciiTheme="minorHAnsi" w:hAnsiTheme="minorHAnsi" w:cstheme="minorHAnsi"/>
                <w:iCs/>
                <w:sz w:val="23"/>
                <w:szCs w:val="23"/>
              </w:rPr>
              <w:t>Continued</w:t>
            </w:r>
          </w:p>
          <w:p w14:paraId="015E2E23" w14:textId="5789DD8F" w:rsidR="00A73F73" w:rsidRPr="001E0801" w:rsidRDefault="00A73F73" w:rsidP="00A73F73">
            <w:pPr>
              <w:widowControl/>
              <w:autoSpaceDE/>
              <w:autoSpaceDN/>
              <w:adjustRightInd/>
              <w:rPr>
                <w:rFonts w:asciiTheme="minorHAnsi" w:hAnsiTheme="minorHAnsi" w:cstheme="minorHAnsi"/>
                <w:iCs/>
                <w:color w:val="0070C0"/>
              </w:rPr>
            </w:pPr>
          </w:p>
        </w:tc>
      </w:tr>
      <w:tr w:rsidR="00A73F73" w:rsidRPr="001E0801" w14:paraId="6E49A936" w14:textId="77777777" w:rsidTr="004158E0">
        <w:trPr>
          <w:cantSplit/>
        </w:trPr>
        <w:tc>
          <w:tcPr>
            <w:tcW w:w="2065" w:type="dxa"/>
          </w:tcPr>
          <w:p w14:paraId="08C0B9C0"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7EFE35A5"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2023-OB-05</w:t>
            </w:r>
          </w:p>
          <w:p w14:paraId="64A2AF46"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502AF6EE" w14:textId="20894B67" w:rsidR="00A73F73" w:rsidRPr="001E0801" w:rsidRDefault="00A73F73" w:rsidP="00A73F73">
            <w:pPr>
              <w:widowControl/>
              <w:autoSpaceDE/>
              <w:autoSpaceDN/>
              <w:adjustRightInd/>
              <w:rPr>
                <w:rFonts w:asciiTheme="minorHAnsi" w:hAnsiTheme="minorHAnsi" w:cstheme="minorHAnsi"/>
                <w:iCs/>
                <w:color w:val="0070C0"/>
              </w:rPr>
            </w:pPr>
            <w:r w:rsidRPr="001E0801">
              <w:rPr>
                <w:rFonts w:asciiTheme="minorHAnsi" w:hAnsiTheme="minorHAnsi" w:cstheme="minorHAnsi"/>
                <w:sz w:val="23"/>
                <w:szCs w:val="23"/>
              </w:rPr>
              <w:t>In FY 2023, SC OSHA did not effectively assign targeting inspections in FY 2023.  For example, SC OSHA conducted only two programmed health inspections in private industry and one programmed inspection in the public sector.</w:t>
            </w:r>
          </w:p>
        </w:tc>
        <w:tc>
          <w:tcPr>
            <w:tcW w:w="2790" w:type="dxa"/>
          </w:tcPr>
          <w:p w14:paraId="1B4FF4E2" w14:textId="41E608FA" w:rsidR="00A73F73" w:rsidRPr="001E0801" w:rsidRDefault="00A73F73" w:rsidP="00A73F73">
            <w:pPr>
              <w:widowControl/>
              <w:autoSpaceDE/>
              <w:autoSpaceDN/>
              <w:adjustRightInd/>
              <w:rPr>
                <w:rFonts w:asciiTheme="minorHAnsi" w:hAnsiTheme="minorHAnsi" w:cstheme="minorHAnsi"/>
                <w:iCs/>
              </w:rPr>
            </w:pPr>
          </w:p>
        </w:tc>
        <w:tc>
          <w:tcPr>
            <w:tcW w:w="1795" w:type="dxa"/>
          </w:tcPr>
          <w:p w14:paraId="05AF9562" w14:textId="0D658241" w:rsidR="00A73F73" w:rsidRPr="001E0801" w:rsidRDefault="00A73F73" w:rsidP="00A73F73">
            <w:pPr>
              <w:widowControl/>
              <w:autoSpaceDE/>
              <w:autoSpaceDN/>
              <w:adjustRightInd/>
              <w:jc w:val="center"/>
              <w:rPr>
                <w:rFonts w:asciiTheme="minorHAnsi" w:hAnsiTheme="minorHAnsi" w:cstheme="minorHAnsi"/>
                <w:iCs/>
                <w:sz w:val="23"/>
                <w:szCs w:val="23"/>
              </w:rPr>
            </w:pPr>
            <w:r>
              <w:rPr>
                <w:rFonts w:asciiTheme="minorHAnsi" w:hAnsiTheme="minorHAnsi" w:cstheme="minorHAnsi"/>
                <w:iCs/>
                <w:sz w:val="23"/>
                <w:szCs w:val="23"/>
              </w:rPr>
              <w:t>Closed</w:t>
            </w:r>
          </w:p>
          <w:p w14:paraId="65725592" w14:textId="1BD64206" w:rsidR="00A73F73" w:rsidRPr="001E0801" w:rsidRDefault="00A73F73" w:rsidP="00A73F73">
            <w:pPr>
              <w:widowControl/>
              <w:autoSpaceDE/>
              <w:autoSpaceDN/>
              <w:adjustRightInd/>
              <w:rPr>
                <w:rFonts w:asciiTheme="minorHAnsi" w:hAnsiTheme="minorHAnsi" w:cstheme="minorHAnsi"/>
                <w:iCs/>
                <w:color w:val="0070C0"/>
              </w:rPr>
            </w:pPr>
          </w:p>
        </w:tc>
      </w:tr>
      <w:tr w:rsidR="00A73F73" w:rsidRPr="001E0801" w14:paraId="0FA79DEB" w14:textId="77777777" w:rsidTr="004158E0">
        <w:trPr>
          <w:cantSplit/>
        </w:trPr>
        <w:tc>
          <w:tcPr>
            <w:tcW w:w="2065" w:type="dxa"/>
          </w:tcPr>
          <w:p w14:paraId="3051F951" w14:textId="0B8873AB"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2024-OB-0</w:t>
            </w:r>
            <w:r w:rsidR="004158E0">
              <w:rPr>
                <w:rFonts w:asciiTheme="minorHAnsi" w:hAnsiTheme="minorHAnsi" w:cstheme="minorHAnsi"/>
                <w:iCs/>
                <w:sz w:val="23"/>
                <w:szCs w:val="23"/>
              </w:rPr>
              <w:t>6</w:t>
            </w:r>
          </w:p>
          <w:p w14:paraId="3689B494"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53D668F9"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2021-OB-03</w:t>
            </w:r>
          </w:p>
          <w:p w14:paraId="4F47219B"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2022-OB-03</w:t>
            </w:r>
          </w:p>
          <w:p w14:paraId="1716DE15"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2023-OB-06</w:t>
            </w:r>
          </w:p>
          <w:p w14:paraId="5BE17139" w14:textId="6385FC69"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72C18147" w14:textId="5908A786" w:rsidR="00A73F73" w:rsidRPr="009C045E" w:rsidRDefault="009C045E" w:rsidP="009C045E">
            <w:pPr>
              <w:tabs>
                <w:tab w:val="left" w:pos="1890"/>
                <w:tab w:val="left" w:pos="2430"/>
              </w:tabs>
              <w:contextualSpacing/>
              <w:jc w:val="both"/>
              <w:rPr>
                <w:rFonts w:asciiTheme="minorHAnsi" w:hAnsiTheme="minorHAnsi" w:cstheme="minorHAnsi"/>
              </w:rPr>
            </w:pPr>
            <w:r w:rsidRPr="00B478D4">
              <w:rPr>
                <w:rFonts w:asciiTheme="minorHAnsi" w:hAnsiTheme="minorHAnsi" w:cstheme="minorHAnsi"/>
              </w:rPr>
              <w:t>In at least five (5) inspections</w:t>
            </w:r>
            <w:r>
              <w:rPr>
                <w:rFonts w:asciiTheme="minorHAnsi" w:hAnsiTheme="minorHAnsi" w:cstheme="minorHAnsi"/>
              </w:rPr>
              <w:t xml:space="preserve"> it was identified</w:t>
            </w:r>
            <w:r w:rsidRPr="00B478D4">
              <w:rPr>
                <w:rFonts w:asciiTheme="minorHAnsi" w:hAnsiTheme="minorHAnsi" w:cstheme="minorHAnsi"/>
              </w:rPr>
              <w:t xml:space="preserve"> </w:t>
            </w:r>
            <w:r>
              <w:rPr>
                <w:rFonts w:asciiTheme="minorHAnsi" w:hAnsiTheme="minorHAnsi" w:cstheme="minorHAnsi"/>
              </w:rPr>
              <w:t xml:space="preserve">that SC OSHA could have used the </w:t>
            </w:r>
            <w:r w:rsidRPr="00B478D4">
              <w:rPr>
                <w:rFonts w:asciiTheme="minorHAnsi" w:hAnsiTheme="minorHAnsi" w:cstheme="minorHAnsi"/>
              </w:rPr>
              <w:t>$7,000 Gravity Based Penalty (GBP) to achieve the necessary deterrent effect.</w:t>
            </w:r>
          </w:p>
        </w:tc>
        <w:tc>
          <w:tcPr>
            <w:tcW w:w="2790" w:type="dxa"/>
          </w:tcPr>
          <w:p w14:paraId="04897E60" w14:textId="1F839B9E" w:rsidR="00A73F73" w:rsidRPr="001E0801" w:rsidRDefault="00A73F73" w:rsidP="00A73F73">
            <w:pPr>
              <w:widowControl/>
              <w:autoSpaceDE/>
              <w:autoSpaceDN/>
              <w:adjustRightInd/>
              <w:rPr>
                <w:rFonts w:asciiTheme="minorHAnsi" w:hAnsiTheme="minorHAnsi" w:cstheme="minorHAnsi"/>
                <w:iCs/>
              </w:rPr>
            </w:pPr>
            <w:r w:rsidRPr="001E0801">
              <w:rPr>
                <w:rFonts w:asciiTheme="minorHAnsi" w:hAnsiTheme="minorHAnsi" w:cstheme="minorHAnsi"/>
                <w:sz w:val="23"/>
                <w:szCs w:val="23"/>
              </w:rPr>
              <w:t xml:space="preserve">During next year’s FAME, a limited scope review will be conducted to determine if this </w:t>
            </w:r>
            <w:r w:rsidR="001B4133">
              <w:rPr>
                <w:rFonts w:asciiTheme="minorHAnsi" w:hAnsiTheme="minorHAnsi" w:cstheme="minorHAnsi"/>
                <w:sz w:val="23"/>
                <w:szCs w:val="23"/>
              </w:rPr>
              <w:t>Observation</w:t>
            </w:r>
            <w:r w:rsidRPr="001E0801">
              <w:rPr>
                <w:rFonts w:asciiTheme="minorHAnsi" w:hAnsiTheme="minorHAnsi" w:cstheme="minorHAnsi"/>
                <w:sz w:val="23"/>
                <w:szCs w:val="23"/>
              </w:rPr>
              <w:t xml:space="preserve"> is reflected in the data trend.</w:t>
            </w:r>
          </w:p>
        </w:tc>
        <w:tc>
          <w:tcPr>
            <w:tcW w:w="1795" w:type="dxa"/>
          </w:tcPr>
          <w:p w14:paraId="6EF8A275" w14:textId="77777777" w:rsidR="00A73F73" w:rsidRPr="001E0801" w:rsidRDefault="00A73F73" w:rsidP="00A73F73">
            <w:pPr>
              <w:widowControl/>
              <w:autoSpaceDE/>
              <w:autoSpaceDN/>
              <w:adjustRightInd/>
              <w:jc w:val="center"/>
              <w:rPr>
                <w:rFonts w:asciiTheme="minorHAnsi" w:hAnsiTheme="minorHAnsi" w:cstheme="minorHAnsi"/>
                <w:iCs/>
                <w:sz w:val="23"/>
                <w:szCs w:val="23"/>
              </w:rPr>
            </w:pPr>
            <w:r w:rsidRPr="001E0801">
              <w:rPr>
                <w:rFonts w:asciiTheme="minorHAnsi" w:hAnsiTheme="minorHAnsi" w:cstheme="minorHAnsi"/>
                <w:iCs/>
                <w:sz w:val="23"/>
                <w:szCs w:val="23"/>
              </w:rPr>
              <w:t>Continued</w:t>
            </w:r>
          </w:p>
          <w:p w14:paraId="29C1ECD6" w14:textId="77777777" w:rsidR="00A73F73" w:rsidRPr="001E0801" w:rsidRDefault="00A73F73" w:rsidP="00A73F73">
            <w:pPr>
              <w:widowControl/>
              <w:autoSpaceDE/>
              <w:autoSpaceDN/>
              <w:adjustRightInd/>
              <w:rPr>
                <w:rFonts w:asciiTheme="minorHAnsi" w:hAnsiTheme="minorHAnsi" w:cstheme="minorHAnsi"/>
                <w:iCs/>
                <w:color w:val="0070C0"/>
              </w:rPr>
            </w:pPr>
          </w:p>
        </w:tc>
      </w:tr>
      <w:tr w:rsidR="00A73F73" w:rsidRPr="001E0801" w14:paraId="51A090F5" w14:textId="77777777" w:rsidTr="004158E0">
        <w:trPr>
          <w:cantSplit/>
        </w:trPr>
        <w:tc>
          <w:tcPr>
            <w:tcW w:w="2065" w:type="dxa"/>
          </w:tcPr>
          <w:p w14:paraId="6CDEB00F" w14:textId="679B09F5"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2024-OB-0</w:t>
            </w:r>
            <w:r w:rsidR="004158E0">
              <w:rPr>
                <w:rFonts w:asciiTheme="minorHAnsi" w:hAnsiTheme="minorHAnsi" w:cstheme="minorHAnsi"/>
                <w:iCs/>
                <w:sz w:val="23"/>
                <w:szCs w:val="23"/>
              </w:rPr>
              <w:t>7</w:t>
            </w:r>
          </w:p>
          <w:p w14:paraId="324FA1DF"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6C52A0C1"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2023-OB-07</w:t>
            </w:r>
          </w:p>
          <w:p w14:paraId="3401C48D"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42DE1536" w14:textId="21970BD9" w:rsidR="00A73F73" w:rsidRPr="001E0801" w:rsidRDefault="00562CA4" w:rsidP="00A73F73">
            <w:pPr>
              <w:widowControl/>
              <w:autoSpaceDE/>
              <w:autoSpaceDN/>
              <w:adjustRightInd/>
              <w:rPr>
                <w:rFonts w:asciiTheme="minorHAnsi" w:hAnsiTheme="minorHAnsi" w:cstheme="minorHAnsi"/>
                <w:iCs/>
                <w:color w:val="0070C0"/>
              </w:rPr>
            </w:pPr>
            <w:r w:rsidRPr="00562CA4">
              <w:rPr>
                <w:rFonts w:asciiTheme="minorHAnsi" w:hAnsiTheme="minorHAnsi" w:cstheme="minorHAnsi"/>
                <w:iCs/>
                <w:sz w:val="23"/>
                <w:szCs w:val="23"/>
              </w:rPr>
              <w:t xml:space="preserve">In FY 2024, the average safety lapse time (SAMM 11a) for citations was calculated at 67.58 days which is slightly above the FRL range of 44.82 to 67.23 days.  </w:t>
            </w:r>
          </w:p>
        </w:tc>
        <w:tc>
          <w:tcPr>
            <w:tcW w:w="2790" w:type="dxa"/>
          </w:tcPr>
          <w:p w14:paraId="5CE0971A" w14:textId="47C15623" w:rsidR="00A73F73" w:rsidRPr="001E0801" w:rsidRDefault="00562CA4" w:rsidP="00A73F73">
            <w:pPr>
              <w:widowControl/>
              <w:autoSpaceDE/>
              <w:autoSpaceDN/>
              <w:adjustRightInd/>
              <w:rPr>
                <w:rFonts w:asciiTheme="minorHAnsi" w:hAnsiTheme="minorHAnsi" w:cstheme="minorHAnsi"/>
                <w:iCs/>
              </w:rPr>
            </w:pPr>
            <w:r w:rsidRPr="00562CA4">
              <w:rPr>
                <w:rFonts w:asciiTheme="minorHAnsi" w:hAnsiTheme="minorHAnsi" w:cstheme="minorHAnsi"/>
                <w:sz w:val="23"/>
                <w:szCs w:val="23"/>
              </w:rPr>
              <w:t>OSHA will continue to discuss this metric with South Carolina State Plan in FY 2025 during quarterly meetings.  However, there was a significant improvement from FY 2023 where safety lapse time was 91.18 days.</w:t>
            </w:r>
          </w:p>
        </w:tc>
        <w:tc>
          <w:tcPr>
            <w:tcW w:w="1795" w:type="dxa"/>
          </w:tcPr>
          <w:p w14:paraId="20B5407D" w14:textId="77777777" w:rsidR="00A73F73" w:rsidRPr="001E0801" w:rsidRDefault="00A73F73" w:rsidP="00A73F73">
            <w:pPr>
              <w:widowControl/>
              <w:autoSpaceDE/>
              <w:autoSpaceDN/>
              <w:adjustRightInd/>
              <w:jc w:val="center"/>
              <w:rPr>
                <w:rFonts w:asciiTheme="minorHAnsi" w:hAnsiTheme="minorHAnsi" w:cstheme="minorHAnsi"/>
                <w:iCs/>
                <w:sz w:val="23"/>
                <w:szCs w:val="23"/>
              </w:rPr>
            </w:pPr>
            <w:r w:rsidRPr="001E0801">
              <w:rPr>
                <w:rFonts w:asciiTheme="minorHAnsi" w:hAnsiTheme="minorHAnsi" w:cstheme="minorHAnsi"/>
                <w:iCs/>
                <w:sz w:val="23"/>
                <w:szCs w:val="23"/>
              </w:rPr>
              <w:t>Continued</w:t>
            </w:r>
          </w:p>
          <w:p w14:paraId="2F119C29" w14:textId="38D6BA48" w:rsidR="00A73F73" w:rsidRPr="001E0801" w:rsidRDefault="00A73F73" w:rsidP="00A73F73">
            <w:pPr>
              <w:widowControl/>
              <w:autoSpaceDE/>
              <w:autoSpaceDN/>
              <w:adjustRightInd/>
              <w:rPr>
                <w:rFonts w:asciiTheme="minorHAnsi" w:hAnsiTheme="minorHAnsi" w:cstheme="minorHAnsi"/>
                <w:iCs/>
                <w:color w:val="0070C0"/>
              </w:rPr>
            </w:pPr>
          </w:p>
        </w:tc>
      </w:tr>
      <w:tr w:rsidR="00A73F73" w:rsidRPr="001E0801" w14:paraId="57216A4B" w14:textId="77777777" w:rsidTr="004158E0">
        <w:trPr>
          <w:cantSplit/>
        </w:trPr>
        <w:tc>
          <w:tcPr>
            <w:tcW w:w="2065" w:type="dxa"/>
          </w:tcPr>
          <w:p w14:paraId="6722CDEB" w14:textId="3FC5F15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2024-OB-0</w:t>
            </w:r>
            <w:r w:rsidR="00AA57D9">
              <w:rPr>
                <w:rFonts w:asciiTheme="minorHAnsi" w:hAnsiTheme="minorHAnsi" w:cstheme="minorHAnsi"/>
                <w:iCs/>
                <w:sz w:val="23"/>
                <w:szCs w:val="23"/>
              </w:rPr>
              <w:t>8</w:t>
            </w:r>
          </w:p>
          <w:p w14:paraId="42E98765"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17A65B66"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2023-OB-08</w:t>
            </w:r>
          </w:p>
          <w:p w14:paraId="13FC1339"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487A29E7" w14:textId="4CE186EE" w:rsidR="00A73F73" w:rsidRPr="001E0801" w:rsidRDefault="00AA57D9" w:rsidP="00A73F73">
            <w:pPr>
              <w:widowControl/>
              <w:autoSpaceDE/>
              <w:autoSpaceDN/>
              <w:adjustRightInd/>
              <w:rPr>
                <w:rFonts w:asciiTheme="minorHAnsi" w:hAnsiTheme="minorHAnsi" w:cstheme="minorHAnsi"/>
                <w:iCs/>
                <w:color w:val="0070C0"/>
              </w:rPr>
            </w:pPr>
            <w:r w:rsidRPr="00AA57D9">
              <w:rPr>
                <w:rFonts w:asciiTheme="minorHAnsi" w:hAnsiTheme="minorHAnsi" w:cstheme="minorHAnsi"/>
                <w:sz w:val="23"/>
                <w:szCs w:val="23"/>
              </w:rPr>
              <w:t xml:space="preserve">In FY 2024, the average health lapse time (SAMM 11b) for citations was calculated at 87.19 days which is above the FRL range of 53.77 to 80.65 days.  </w:t>
            </w:r>
          </w:p>
        </w:tc>
        <w:tc>
          <w:tcPr>
            <w:tcW w:w="2790" w:type="dxa"/>
          </w:tcPr>
          <w:p w14:paraId="11A6659A" w14:textId="261BBA5E" w:rsidR="00A73F73" w:rsidRPr="001E0801" w:rsidRDefault="00A73F73" w:rsidP="00A73F73">
            <w:pPr>
              <w:widowControl/>
              <w:autoSpaceDE/>
              <w:autoSpaceDN/>
              <w:adjustRightInd/>
              <w:rPr>
                <w:rFonts w:asciiTheme="minorHAnsi" w:hAnsiTheme="minorHAnsi" w:cstheme="minorHAnsi"/>
                <w:iCs/>
              </w:rPr>
            </w:pPr>
            <w:r w:rsidRPr="001E0801">
              <w:rPr>
                <w:rFonts w:asciiTheme="minorHAnsi" w:hAnsiTheme="minorHAnsi" w:cstheme="minorHAnsi"/>
                <w:sz w:val="23"/>
                <w:szCs w:val="23"/>
              </w:rPr>
              <w:t xml:space="preserve">During next year’s FAME, a limited scope review will be conducted to determine if </w:t>
            </w:r>
            <w:r w:rsidR="001B4133">
              <w:rPr>
                <w:rFonts w:asciiTheme="minorHAnsi" w:hAnsiTheme="minorHAnsi" w:cstheme="minorHAnsi"/>
                <w:sz w:val="23"/>
                <w:szCs w:val="23"/>
              </w:rPr>
              <w:t>Observation</w:t>
            </w:r>
            <w:r w:rsidRPr="001E0801">
              <w:rPr>
                <w:rFonts w:asciiTheme="minorHAnsi" w:hAnsiTheme="minorHAnsi" w:cstheme="minorHAnsi"/>
                <w:sz w:val="23"/>
                <w:szCs w:val="23"/>
              </w:rPr>
              <w:t xml:space="preserve"> is reflected in the data trend.</w:t>
            </w:r>
          </w:p>
        </w:tc>
        <w:tc>
          <w:tcPr>
            <w:tcW w:w="1795" w:type="dxa"/>
          </w:tcPr>
          <w:p w14:paraId="5FBC1DC8" w14:textId="77777777" w:rsidR="00A73F73" w:rsidRPr="001E0801" w:rsidRDefault="00A73F73" w:rsidP="00A73F73">
            <w:pPr>
              <w:widowControl/>
              <w:autoSpaceDE/>
              <w:autoSpaceDN/>
              <w:adjustRightInd/>
              <w:jc w:val="center"/>
              <w:rPr>
                <w:rFonts w:asciiTheme="minorHAnsi" w:hAnsiTheme="minorHAnsi" w:cstheme="minorHAnsi"/>
                <w:iCs/>
                <w:sz w:val="23"/>
                <w:szCs w:val="23"/>
              </w:rPr>
            </w:pPr>
            <w:r w:rsidRPr="001E0801">
              <w:rPr>
                <w:rFonts w:asciiTheme="minorHAnsi" w:hAnsiTheme="minorHAnsi" w:cstheme="minorHAnsi"/>
                <w:iCs/>
                <w:sz w:val="23"/>
                <w:szCs w:val="23"/>
              </w:rPr>
              <w:t>Continued</w:t>
            </w:r>
          </w:p>
          <w:p w14:paraId="379480E4" w14:textId="6477B733" w:rsidR="00A73F73" w:rsidRPr="001E0801" w:rsidRDefault="00A73F73" w:rsidP="00A73F73">
            <w:pPr>
              <w:widowControl/>
              <w:autoSpaceDE/>
              <w:autoSpaceDN/>
              <w:adjustRightInd/>
              <w:rPr>
                <w:rFonts w:asciiTheme="minorHAnsi" w:hAnsiTheme="minorHAnsi" w:cstheme="minorHAnsi"/>
                <w:iCs/>
                <w:color w:val="0070C0"/>
              </w:rPr>
            </w:pPr>
          </w:p>
        </w:tc>
      </w:tr>
      <w:tr w:rsidR="00A73F73" w:rsidRPr="001E0801" w14:paraId="11E0D40E" w14:textId="77777777" w:rsidTr="004158E0">
        <w:trPr>
          <w:cantSplit/>
        </w:trPr>
        <w:tc>
          <w:tcPr>
            <w:tcW w:w="2065" w:type="dxa"/>
          </w:tcPr>
          <w:p w14:paraId="2D7D6B11"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6AF6DCF8"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2023-OB-09</w:t>
            </w:r>
          </w:p>
          <w:p w14:paraId="3F812E16"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59D1E3B3" w14:textId="0F4BF7F5" w:rsidR="00A73F73" w:rsidRPr="001E0801" w:rsidRDefault="00A73F73" w:rsidP="00A73F73">
            <w:pPr>
              <w:widowControl/>
              <w:autoSpaceDE/>
              <w:autoSpaceDN/>
              <w:adjustRightInd/>
              <w:rPr>
                <w:rFonts w:asciiTheme="minorHAnsi" w:hAnsiTheme="minorHAnsi" w:cstheme="minorHAnsi"/>
                <w:iCs/>
                <w:color w:val="0070C0"/>
              </w:rPr>
            </w:pPr>
            <w:r w:rsidRPr="001E0801">
              <w:rPr>
                <w:rFonts w:asciiTheme="minorHAnsi" w:hAnsiTheme="minorHAnsi" w:cstheme="minorHAnsi"/>
                <w:sz w:val="23"/>
                <w:szCs w:val="23"/>
              </w:rPr>
              <w:t>SC OSHA conducted 76 health inspections, which was 10.6% below their goal of 85.  The range of acceptable data not requiring further review is from 80.75 to 89.25 for health (SAMM 7b).</w:t>
            </w:r>
          </w:p>
        </w:tc>
        <w:tc>
          <w:tcPr>
            <w:tcW w:w="2790" w:type="dxa"/>
          </w:tcPr>
          <w:p w14:paraId="64191E78" w14:textId="7700F3DD" w:rsidR="00A73F73" w:rsidRPr="001E0801" w:rsidRDefault="00A73F73" w:rsidP="00A73F73">
            <w:pPr>
              <w:widowControl/>
              <w:autoSpaceDE/>
              <w:autoSpaceDN/>
              <w:adjustRightInd/>
              <w:rPr>
                <w:rFonts w:asciiTheme="minorHAnsi" w:hAnsiTheme="minorHAnsi" w:cstheme="minorHAnsi"/>
                <w:iCs/>
              </w:rPr>
            </w:pPr>
          </w:p>
        </w:tc>
        <w:tc>
          <w:tcPr>
            <w:tcW w:w="1795" w:type="dxa"/>
          </w:tcPr>
          <w:p w14:paraId="0454C48B" w14:textId="08DA0483" w:rsidR="00A73F73" w:rsidRDefault="00A73F73" w:rsidP="00A73F73">
            <w:pPr>
              <w:widowControl/>
              <w:autoSpaceDE/>
              <w:autoSpaceDN/>
              <w:adjustRightInd/>
              <w:jc w:val="center"/>
              <w:rPr>
                <w:rFonts w:asciiTheme="minorHAnsi" w:hAnsiTheme="minorHAnsi" w:cstheme="minorHAnsi"/>
                <w:iCs/>
                <w:sz w:val="23"/>
                <w:szCs w:val="23"/>
              </w:rPr>
            </w:pPr>
            <w:r>
              <w:rPr>
                <w:rFonts w:asciiTheme="minorHAnsi" w:hAnsiTheme="minorHAnsi" w:cstheme="minorHAnsi"/>
                <w:iCs/>
                <w:sz w:val="23"/>
                <w:szCs w:val="23"/>
              </w:rPr>
              <w:t>Closed</w:t>
            </w:r>
          </w:p>
          <w:p w14:paraId="3CFD4E5E" w14:textId="77777777" w:rsidR="00A73F73" w:rsidRPr="001E0801" w:rsidRDefault="00A73F73" w:rsidP="00A73F73">
            <w:pPr>
              <w:widowControl/>
              <w:autoSpaceDE/>
              <w:autoSpaceDN/>
              <w:adjustRightInd/>
              <w:jc w:val="center"/>
              <w:rPr>
                <w:rFonts w:asciiTheme="minorHAnsi" w:hAnsiTheme="minorHAnsi" w:cstheme="minorHAnsi"/>
                <w:iCs/>
                <w:sz w:val="23"/>
                <w:szCs w:val="23"/>
              </w:rPr>
            </w:pPr>
          </w:p>
          <w:p w14:paraId="32B2D6A2" w14:textId="4ECF5DF8" w:rsidR="00A73F73" w:rsidRPr="001E0801" w:rsidRDefault="00A73F73" w:rsidP="00A73F73">
            <w:pPr>
              <w:widowControl/>
              <w:autoSpaceDE/>
              <w:autoSpaceDN/>
              <w:adjustRightInd/>
              <w:rPr>
                <w:rFonts w:asciiTheme="minorHAnsi" w:hAnsiTheme="minorHAnsi" w:cstheme="minorHAnsi"/>
                <w:iCs/>
                <w:color w:val="0070C0"/>
              </w:rPr>
            </w:pPr>
          </w:p>
        </w:tc>
      </w:tr>
      <w:tr w:rsidR="00A73F73" w:rsidRPr="001E0801" w14:paraId="54EBEFA3" w14:textId="77777777" w:rsidTr="004158E0">
        <w:trPr>
          <w:cantSplit/>
        </w:trPr>
        <w:tc>
          <w:tcPr>
            <w:tcW w:w="2065" w:type="dxa"/>
          </w:tcPr>
          <w:p w14:paraId="195AF388" w14:textId="478C7264" w:rsidR="00A73F73" w:rsidRPr="001E0801" w:rsidRDefault="00A73F73" w:rsidP="00A73F73">
            <w:pPr>
              <w:widowControl/>
              <w:autoSpaceDE/>
              <w:autoSpaceDN/>
              <w:adjustRightInd/>
              <w:rPr>
                <w:rFonts w:asciiTheme="minorHAnsi" w:hAnsiTheme="minorHAnsi" w:cstheme="minorHAnsi"/>
                <w:iCs/>
                <w:sz w:val="23"/>
                <w:szCs w:val="23"/>
              </w:rPr>
            </w:pPr>
          </w:p>
          <w:p w14:paraId="52D146B4"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2070" w:type="dxa"/>
          </w:tcPr>
          <w:p w14:paraId="7D9C805E" w14:textId="77777777" w:rsidR="00A73F73" w:rsidRPr="001E0801" w:rsidRDefault="00A73F73" w:rsidP="00A73F73">
            <w:pPr>
              <w:widowControl/>
              <w:autoSpaceDE/>
              <w:autoSpaceDN/>
              <w:adjustRightInd/>
              <w:rPr>
                <w:rFonts w:asciiTheme="minorHAnsi" w:hAnsiTheme="minorHAnsi" w:cstheme="minorHAnsi"/>
                <w:iCs/>
                <w:sz w:val="23"/>
                <w:szCs w:val="23"/>
              </w:rPr>
            </w:pPr>
            <w:r w:rsidRPr="001E0801">
              <w:rPr>
                <w:rFonts w:asciiTheme="minorHAnsi" w:hAnsiTheme="minorHAnsi" w:cstheme="minorHAnsi"/>
                <w:iCs/>
                <w:sz w:val="23"/>
                <w:szCs w:val="23"/>
              </w:rPr>
              <w:t>FY 2023-OB-10</w:t>
            </w:r>
          </w:p>
          <w:p w14:paraId="419245A7" w14:textId="77777777" w:rsidR="00A73F73" w:rsidRPr="001E0801" w:rsidRDefault="00A73F73" w:rsidP="00A73F73">
            <w:pPr>
              <w:widowControl/>
              <w:autoSpaceDE/>
              <w:autoSpaceDN/>
              <w:adjustRightInd/>
              <w:rPr>
                <w:rFonts w:asciiTheme="minorHAnsi" w:hAnsiTheme="minorHAnsi" w:cstheme="minorHAnsi"/>
                <w:iCs/>
                <w:color w:val="0070C0"/>
              </w:rPr>
            </w:pPr>
          </w:p>
        </w:tc>
        <w:tc>
          <w:tcPr>
            <w:tcW w:w="4230" w:type="dxa"/>
          </w:tcPr>
          <w:p w14:paraId="2386DE7A" w14:textId="513D6D7D" w:rsidR="00A73F73" w:rsidRPr="001E0801" w:rsidRDefault="00A73F73" w:rsidP="00A73F73">
            <w:pPr>
              <w:widowControl/>
              <w:autoSpaceDE/>
              <w:autoSpaceDN/>
              <w:adjustRightInd/>
              <w:rPr>
                <w:rFonts w:asciiTheme="minorHAnsi" w:hAnsiTheme="minorHAnsi" w:cstheme="minorHAnsi"/>
                <w:iCs/>
                <w:color w:val="0070C0"/>
              </w:rPr>
            </w:pPr>
            <w:bookmarkStart w:id="45" w:name="_Hlk188886622"/>
            <w:r w:rsidRPr="001E0801">
              <w:rPr>
                <w:rFonts w:asciiTheme="minorHAnsi" w:hAnsiTheme="minorHAnsi" w:cstheme="minorHAnsi"/>
                <w:sz w:val="23"/>
                <w:szCs w:val="23"/>
              </w:rPr>
              <w:t>There was no evidence in the retaliation case files reviewed that SC OSHA was advising complainants of their right to dually file with OSHA.</w:t>
            </w:r>
            <w:bookmarkEnd w:id="45"/>
          </w:p>
        </w:tc>
        <w:tc>
          <w:tcPr>
            <w:tcW w:w="2790" w:type="dxa"/>
          </w:tcPr>
          <w:p w14:paraId="0811BAC0" w14:textId="07EE7306" w:rsidR="00A73F73" w:rsidRPr="001E0801" w:rsidRDefault="00A73F73" w:rsidP="00A73F73">
            <w:pPr>
              <w:widowControl/>
              <w:autoSpaceDE/>
              <w:autoSpaceDN/>
              <w:adjustRightInd/>
              <w:rPr>
                <w:rFonts w:asciiTheme="minorHAnsi" w:hAnsiTheme="minorHAnsi" w:cstheme="minorHAnsi"/>
                <w:iCs/>
              </w:rPr>
            </w:pPr>
          </w:p>
        </w:tc>
        <w:tc>
          <w:tcPr>
            <w:tcW w:w="1795" w:type="dxa"/>
          </w:tcPr>
          <w:p w14:paraId="1795ED14" w14:textId="77777777" w:rsidR="007A32FB" w:rsidRDefault="007A32FB" w:rsidP="007A32FB">
            <w:pPr>
              <w:widowControl/>
              <w:autoSpaceDE/>
              <w:autoSpaceDN/>
              <w:adjustRightInd/>
              <w:jc w:val="center"/>
              <w:rPr>
                <w:rFonts w:asciiTheme="minorHAnsi" w:hAnsiTheme="minorHAnsi" w:cstheme="minorHAnsi"/>
                <w:iCs/>
                <w:sz w:val="23"/>
                <w:szCs w:val="23"/>
              </w:rPr>
            </w:pPr>
            <w:r>
              <w:rPr>
                <w:rFonts w:asciiTheme="minorHAnsi" w:hAnsiTheme="minorHAnsi" w:cstheme="minorHAnsi"/>
                <w:iCs/>
                <w:sz w:val="23"/>
                <w:szCs w:val="23"/>
              </w:rPr>
              <w:t>Closed</w:t>
            </w:r>
          </w:p>
          <w:p w14:paraId="2B3615B8" w14:textId="4304CCFB" w:rsidR="00A73F73" w:rsidRPr="001E0801" w:rsidRDefault="00A73F73" w:rsidP="00A73F73">
            <w:pPr>
              <w:widowControl/>
              <w:autoSpaceDE/>
              <w:autoSpaceDN/>
              <w:adjustRightInd/>
              <w:rPr>
                <w:rFonts w:asciiTheme="minorHAnsi" w:hAnsiTheme="minorHAnsi" w:cstheme="minorHAnsi"/>
                <w:iCs/>
                <w:color w:val="0070C0"/>
              </w:rPr>
            </w:pPr>
          </w:p>
        </w:tc>
      </w:tr>
    </w:tbl>
    <w:p w14:paraId="2352A70A" w14:textId="7478DFBA" w:rsidR="00E759AB" w:rsidRPr="001C1E47" w:rsidRDefault="00E759AB" w:rsidP="007A71AC">
      <w:pPr>
        <w:widowControl/>
        <w:autoSpaceDE/>
        <w:autoSpaceDN/>
        <w:adjustRightInd/>
        <w:rPr>
          <w:rFonts w:cs="Calibri"/>
          <w:i/>
          <w:sz w:val="22"/>
          <w:szCs w:val="22"/>
        </w:rPr>
      </w:pPr>
    </w:p>
    <w:p w14:paraId="3912394D" w14:textId="77777777" w:rsidR="000A134A" w:rsidRDefault="000A134A" w:rsidP="007A71AC">
      <w:pPr>
        <w:widowControl/>
        <w:autoSpaceDE/>
        <w:autoSpaceDN/>
        <w:adjustRightInd/>
        <w:rPr>
          <w:rFonts w:cs="Calibri"/>
          <w:i/>
          <w:sz w:val="22"/>
          <w:szCs w:val="22"/>
        </w:rPr>
      </w:pPr>
    </w:p>
    <w:p w14:paraId="183EDE01" w14:textId="1675A6FA" w:rsidR="00892D3A" w:rsidRDefault="00892D3A" w:rsidP="00996CB7">
      <w:pPr>
        <w:tabs>
          <w:tab w:val="left" w:pos="6980"/>
        </w:tabs>
        <w:rPr>
          <w:rFonts w:cs="Calibri"/>
          <w:i/>
          <w:sz w:val="22"/>
          <w:szCs w:val="22"/>
        </w:rPr>
      </w:pPr>
      <w:r>
        <w:rPr>
          <w:rFonts w:cs="Calibri"/>
          <w:i/>
          <w:sz w:val="22"/>
          <w:szCs w:val="22"/>
        </w:rPr>
        <w:tab/>
      </w:r>
    </w:p>
    <w:p w14:paraId="5966FA9F" w14:textId="448AA8AC" w:rsidR="0065591D" w:rsidRPr="00996CB7" w:rsidRDefault="00892D3A" w:rsidP="00996CB7">
      <w:pPr>
        <w:tabs>
          <w:tab w:val="left" w:pos="6980"/>
        </w:tabs>
        <w:rPr>
          <w:rFonts w:cs="Calibri"/>
          <w:sz w:val="22"/>
          <w:szCs w:val="22"/>
        </w:rPr>
        <w:sectPr w:rsidR="0065591D" w:rsidRPr="00996CB7" w:rsidSect="00476C08">
          <w:headerReference w:type="first" r:id="rId17"/>
          <w:footerReference w:type="first" r:id="rId18"/>
          <w:type w:val="continuous"/>
          <w:pgSz w:w="15840" w:h="12240" w:orient="landscape"/>
          <w:pgMar w:top="1440" w:right="1440" w:bottom="1440" w:left="1440" w:header="720" w:footer="720" w:gutter="0"/>
          <w:cols w:space="720"/>
          <w:titlePg/>
          <w:docGrid w:linePitch="360"/>
        </w:sectPr>
      </w:pPr>
      <w:r>
        <w:rPr>
          <w:rFonts w:cs="Calibri"/>
          <w:sz w:val="22"/>
          <w:szCs w:val="22"/>
        </w:rPr>
        <w:tab/>
      </w:r>
    </w:p>
    <w:p w14:paraId="01176981" w14:textId="3E2EDB83" w:rsidR="00747710" w:rsidRDefault="00747710" w:rsidP="000F63C1">
      <w:pPr>
        <w:pStyle w:val="Heading3"/>
        <w:numPr>
          <w:ilvl w:val="0"/>
          <w:numId w:val="0"/>
        </w:numPr>
      </w:pPr>
      <w:bookmarkStart w:id="46" w:name="_Toc118905019"/>
      <w:bookmarkStart w:id="47" w:name="_Toc119418671"/>
      <w:r w:rsidRPr="00747710">
        <w:t>Appendix C - Status of FY 20</w:t>
      </w:r>
      <w:r w:rsidR="00B14E44">
        <w:t>23</w:t>
      </w:r>
      <w:r w:rsidRPr="00747710">
        <w:t xml:space="preserve"> </w:t>
      </w:r>
      <w:r w:rsidR="001B4133">
        <w:t>Finding</w:t>
      </w:r>
      <w:r w:rsidRPr="00747710">
        <w:t>s and Recommendations</w:t>
      </w:r>
      <w:bookmarkEnd w:id="46"/>
      <w:bookmarkEnd w:id="47"/>
    </w:p>
    <w:p w14:paraId="3D850E81" w14:textId="1B128F8F" w:rsidR="00747710" w:rsidRPr="00747710" w:rsidRDefault="00747710" w:rsidP="00992BD0">
      <w:r w:rsidRPr="00747710">
        <w:t>FY 20</w:t>
      </w:r>
      <w:r w:rsidR="00B14E44">
        <w:t>24</w:t>
      </w:r>
      <w:r w:rsidRPr="00747710">
        <w:t xml:space="preserve"> </w:t>
      </w:r>
      <w:r w:rsidR="00B14E44">
        <w:t>South Carolina</w:t>
      </w:r>
      <w:r w:rsidRPr="00476C08">
        <w:rPr>
          <w:color w:val="0070C0"/>
        </w:rPr>
        <w:t xml:space="preserve"> </w:t>
      </w:r>
      <w:r w:rsidRPr="00747710">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610"/>
        <w:gridCol w:w="3330"/>
        <w:gridCol w:w="3510"/>
        <w:gridCol w:w="1440"/>
        <w:gridCol w:w="1260"/>
      </w:tblGrid>
      <w:tr w:rsidR="005367D5" w:rsidRPr="00927B08" w14:paraId="04152CB8" w14:textId="77777777" w:rsidTr="00A05313">
        <w:trPr>
          <w:trHeight w:val="412"/>
        </w:trPr>
        <w:tc>
          <w:tcPr>
            <w:tcW w:w="1435" w:type="dxa"/>
          </w:tcPr>
          <w:p w14:paraId="0FAB4AA2" w14:textId="220FE23A" w:rsidR="005367D5" w:rsidRPr="00927B08" w:rsidRDefault="005367D5" w:rsidP="00992BD0">
            <w:pPr>
              <w:rPr>
                <w:rFonts w:asciiTheme="minorHAnsi" w:hAnsiTheme="minorHAnsi" w:cstheme="minorHAnsi"/>
                <w:b/>
              </w:rPr>
            </w:pPr>
            <w:r w:rsidRPr="00927B08">
              <w:rPr>
                <w:rFonts w:asciiTheme="minorHAnsi" w:hAnsiTheme="minorHAnsi" w:cstheme="minorHAnsi"/>
                <w:b/>
              </w:rPr>
              <w:t>FY 20</w:t>
            </w:r>
            <w:r w:rsidR="001E0801">
              <w:rPr>
                <w:rFonts w:asciiTheme="minorHAnsi" w:hAnsiTheme="minorHAnsi" w:cstheme="minorHAnsi"/>
                <w:b/>
              </w:rPr>
              <w:t>23</w:t>
            </w:r>
            <w:r w:rsidRPr="00927B08">
              <w:rPr>
                <w:rFonts w:asciiTheme="minorHAnsi" w:hAnsiTheme="minorHAnsi" w:cstheme="minorHAnsi"/>
                <w:b/>
              </w:rPr>
              <w:t>-#</w:t>
            </w:r>
          </w:p>
        </w:tc>
        <w:tc>
          <w:tcPr>
            <w:tcW w:w="2610" w:type="dxa"/>
          </w:tcPr>
          <w:p w14:paraId="395AE41F" w14:textId="349ED075" w:rsidR="005367D5" w:rsidRPr="00927B08" w:rsidRDefault="001B4133" w:rsidP="00992BD0">
            <w:pPr>
              <w:rPr>
                <w:rFonts w:asciiTheme="minorHAnsi" w:hAnsiTheme="minorHAnsi" w:cstheme="minorHAnsi"/>
                <w:b/>
              </w:rPr>
            </w:pPr>
            <w:r>
              <w:rPr>
                <w:rFonts w:asciiTheme="minorHAnsi" w:hAnsiTheme="minorHAnsi" w:cstheme="minorHAnsi"/>
                <w:b/>
              </w:rPr>
              <w:t>Finding</w:t>
            </w:r>
          </w:p>
        </w:tc>
        <w:tc>
          <w:tcPr>
            <w:tcW w:w="3330" w:type="dxa"/>
          </w:tcPr>
          <w:p w14:paraId="6EEE46BC" w14:textId="77777777" w:rsidR="005367D5" w:rsidRPr="00927B08" w:rsidRDefault="005367D5" w:rsidP="00992BD0">
            <w:pPr>
              <w:rPr>
                <w:rFonts w:asciiTheme="minorHAnsi" w:hAnsiTheme="minorHAnsi" w:cstheme="minorHAnsi"/>
                <w:b/>
              </w:rPr>
            </w:pPr>
            <w:r w:rsidRPr="00927B08">
              <w:rPr>
                <w:rFonts w:asciiTheme="minorHAnsi" w:hAnsiTheme="minorHAnsi" w:cstheme="minorHAnsi"/>
                <w:b/>
              </w:rPr>
              <w:t>Recommendation</w:t>
            </w:r>
          </w:p>
        </w:tc>
        <w:tc>
          <w:tcPr>
            <w:tcW w:w="3510" w:type="dxa"/>
          </w:tcPr>
          <w:p w14:paraId="461C9375" w14:textId="77777777" w:rsidR="005367D5" w:rsidRPr="00927B08" w:rsidRDefault="005367D5" w:rsidP="00992BD0">
            <w:pPr>
              <w:rPr>
                <w:rFonts w:asciiTheme="minorHAnsi" w:hAnsiTheme="minorHAnsi" w:cstheme="minorHAnsi"/>
                <w:b/>
              </w:rPr>
            </w:pPr>
            <w:r w:rsidRPr="00927B08">
              <w:rPr>
                <w:rFonts w:asciiTheme="minorHAnsi" w:hAnsiTheme="minorHAnsi" w:cstheme="minorHAnsi"/>
                <w:b/>
              </w:rPr>
              <w:t>State Plan Corrective Action</w:t>
            </w:r>
          </w:p>
        </w:tc>
        <w:tc>
          <w:tcPr>
            <w:tcW w:w="1440" w:type="dxa"/>
          </w:tcPr>
          <w:p w14:paraId="5151BE67" w14:textId="77777777" w:rsidR="005367D5" w:rsidRPr="00927B08" w:rsidRDefault="005367D5" w:rsidP="00992BD0">
            <w:pPr>
              <w:rPr>
                <w:rFonts w:asciiTheme="minorHAnsi" w:hAnsiTheme="minorHAnsi" w:cstheme="minorHAnsi"/>
                <w:b/>
              </w:rPr>
            </w:pPr>
            <w:r w:rsidRPr="00927B08">
              <w:rPr>
                <w:rFonts w:asciiTheme="minorHAnsi" w:hAnsiTheme="minorHAnsi" w:cstheme="minorHAnsi"/>
                <w:b/>
              </w:rPr>
              <w:t>Completion Date</w:t>
            </w:r>
          </w:p>
        </w:tc>
        <w:tc>
          <w:tcPr>
            <w:tcW w:w="1260" w:type="dxa"/>
          </w:tcPr>
          <w:p w14:paraId="48025986" w14:textId="77777777" w:rsidR="005367D5" w:rsidRPr="00927B08" w:rsidRDefault="005367D5" w:rsidP="00992BD0">
            <w:pPr>
              <w:rPr>
                <w:rFonts w:asciiTheme="minorHAnsi" w:hAnsiTheme="minorHAnsi" w:cstheme="minorHAnsi"/>
                <w:b/>
              </w:rPr>
            </w:pPr>
            <w:r w:rsidRPr="00927B08">
              <w:rPr>
                <w:rFonts w:asciiTheme="minorHAnsi" w:hAnsiTheme="minorHAnsi" w:cstheme="minorHAnsi"/>
                <w:b/>
              </w:rPr>
              <w:t xml:space="preserve">Current Status </w:t>
            </w:r>
          </w:p>
          <w:p w14:paraId="1D3136EF" w14:textId="77777777" w:rsidR="005367D5" w:rsidRPr="00927B08" w:rsidRDefault="005367D5" w:rsidP="00992BD0">
            <w:pPr>
              <w:rPr>
                <w:rFonts w:asciiTheme="minorHAnsi" w:hAnsiTheme="minorHAnsi" w:cstheme="minorHAnsi"/>
                <w:b/>
              </w:rPr>
            </w:pPr>
            <w:r w:rsidRPr="00927B08">
              <w:rPr>
                <w:rFonts w:asciiTheme="minorHAnsi" w:hAnsiTheme="minorHAnsi" w:cstheme="minorHAnsi"/>
                <w:b/>
              </w:rPr>
              <w:t>and Date</w:t>
            </w:r>
          </w:p>
        </w:tc>
      </w:tr>
      <w:tr w:rsidR="0044042E" w:rsidRPr="00927B08" w14:paraId="7244A508" w14:textId="77777777" w:rsidTr="00A05313">
        <w:trPr>
          <w:trHeight w:val="412"/>
        </w:trPr>
        <w:tc>
          <w:tcPr>
            <w:tcW w:w="1435" w:type="dxa"/>
          </w:tcPr>
          <w:p w14:paraId="6BC5D489" w14:textId="37DFAC6B" w:rsidR="0024190E" w:rsidRPr="00927B08" w:rsidRDefault="001B4133" w:rsidP="00992BD0">
            <w:pPr>
              <w:pStyle w:val="Default"/>
              <w:rPr>
                <w:rFonts w:asciiTheme="minorHAnsi" w:hAnsiTheme="minorHAnsi" w:cstheme="minorHAnsi"/>
                <w:color w:val="auto"/>
              </w:rPr>
            </w:pPr>
            <w:r>
              <w:rPr>
                <w:rFonts w:asciiTheme="minorHAnsi" w:hAnsiTheme="minorHAnsi" w:cstheme="minorHAnsi"/>
                <w:color w:val="auto"/>
              </w:rPr>
              <w:t>Finding</w:t>
            </w:r>
            <w:r w:rsidR="0024190E" w:rsidRPr="00927B08">
              <w:rPr>
                <w:rFonts w:asciiTheme="minorHAnsi" w:hAnsiTheme="minorHAnsi" w:cstheme="minorHAnsi"/>
                <w:color w:val="auto"/>
              </w:rPr>
              <w:t xml:space="preserve"> FY 2023-01</w:t>
            </w:r>
          </w:p>
          <w:p w14:paraId="3B6143AB" w14:textId="77777777" w:rsidR="0044042E" w:rsidRPr="00927B08" w:rsidRDefault="0044042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rPr>
            </w:pPr>
            <w:r w:rsidRPr="00927B08">
              <w:rPr>
                <w:rFonts w:asciiTheme="minorHAnsi" w:eastAsia="PMingLiU" w:hAnsiTheme="minorHAnsi" w:cstheme="minorHAnsi"/>
                <w:b/>
                <w:bCs/>
              </w:rPr>
              <w:t> </w:t>
            </w:r>
          </w:p>
        </w:tc>
        <w:tc>
          <w:tcPr>
            <w:tcW w:w="2610" w:type="dxa"/>
          </w:tcPr>
          <w:p w14:paraId="1D6DD323" w14:textId="3C0FAF2C" w:rsidR="0044042E" w:rsidRPr="00927B08" w:rsidRDefault="0044042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The SAMM data (SAMM 1a) shows the average number of working days to initiate formal complaint inspections was 29.58 days, which was outside the FRL of seven (7) days.</w:t>
            </w:r>
          </w:p>
        </w:tc>
        <w:tc>
          <w:tcPr>
            <w:tcW w:w="3330" w:type="dxa"/>
          </w:tcPr>
          <w:p w14:paraId="46AB57FD" w14:textId="77777777" w:rsidR="0044042E" w:rsidRPr="00927B08" w:rsidRDefault="0044042E" w:rsidP="00992BD0">
            <w:pPr>
              <w:widowControl/>
              <w:autoSpaceDE/>
              <w:autoSpaceDN/>
              <w:adjustRightInd/>
              <w:rPr>
                <w:rFonts w:asciiTheme="minorHAnsi" w:hAnsiTheme="minorHAnsi" w:cstheme="minorHAnsi"/>
              </w:rPr>
            </w:pPr>
            <w:r w:rsidRPr="00927B08">
              <w:rPr>
                <w:rFonts w:asciiTheme="minorHAnsi" w:hAnsiTheme="minorHAnsi" w:cstheme="minorHAnsi"/>
              </w:rPr>
              <w:t xml:space="preserve"> SC OSHA should develop a management plan to ensure complaint inspections are initiated timely to meet the negotiated goal. </w:t>
            </w:r>
          </w:p>
          <w:p w14:paraId="365B6EEF" w14:textId="77777777" w:rsidR="0044042E" w:rsidRPr="00927B08" w:rsidRDefault="0044042E" w:rsidP="00992BD0">
            <w:pPr>
              <w:widowControl/>
              <w:autoSpaceDE/>
              <w:autoSpaceDN/>
              <w:adjustRightInd/>
              <w:rPr>
                <w:rFonts w:asciiTheme="minorHAnsi" w:hAnsiTheme="minorHAnsi" w:cstheme="minorHAnsi"/>
              </w:rPr>
            </w:pPr>
          </w:p>
          <w:p w14:paraId="19499B4B" w14:textId="673A67C1" w:rsidR="0044042E" w:rsidRPr="00927B08" w:rsidRDefault="0044042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tc>
        <w:tc>
          <w:tcPr>
            <w:tcW w:w="3510" w:type="dxa"/>
          </w:tcPr>
          <w:p w14:paraId="37D73ADA" w14:textId="7439AE5E" w:rsidR="0044042E" w:rsidRPr="009C045E" w:rsidRDefault="009C045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C045E">
              <w:rPr>
                <w:rFonts w:asciiTheme="minorHAnsi" w:hAnsiTheme="minorHAnsi" w:cstheme="minorHAnsi"/>
              </w:rPr>
              <w:t>SC OSHA evaluated and updated the complaint procedures to decrease the number of working days to initiate complaint for new and existing cases.</w:t>
            </w:r>
          </w:p>
        </w:tc>
        <w:tc>
          <w:tcPr>
            <w:tcW w:w="1440" w:type="dxa"/>
          </w:tcPr>
          <w:p w14:paraId="56F99649" w14:textId="77777777" w:rsidR="0044042E" w:rsidRPr="00927B08" w:rsidRDefault="0044042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eastAsia="PMingLiU" w:hAnsiTheme="minorHAnsi" w:cstheme="minorHAnsi"/>
                <w:b/>
              </w:rPr>
              <w:t> </w:t>
            </w:r>
          </w:p>
        </w:tc>
        <w:tc>
          <w:tcPr>
            <w:tcW w:w="1260" w:type="dxa"/>
          </w:tcPr>
          <w:p w14:paraId="4007473C" w14:textId="489BCCF0" w:rsidR="0044042E" w:rsidRPr="00AA57D9" w:rsidRDefault="00833364"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AA57D9">
              <w:rPr>
                <w:rFonts w:cs="Calibri"/>
                <w:iCs/>
              </w:rPr>
              <w:t>Open</w:t>
            </w:r>
            <w:r w:rsidR="0044042E" w:rsidRPr="00AA57D9">
              <w:rPr>
                <w:rFonts w:asciiTheme="minorHAnsi" w:eastAsia="PMingLiU" w:hAnsiTheme="minorHAnsi" w:cstheme="minorHAnsi"/>
              </w:rPr>
              <w:t> </w:t>
            </w:r>
          </w:p>
        </w:tc>
      </w:tr>
      <w:tr w:rsidR="0024190E" w:rsidRPr="00927B08" w14:paraId="1B8B263F" w14:textId="77777777" w:rsidTr="00A05313">
        <w:trPr>
          <w:trHeight w:val="412"/>
        </w:trPr>
        <w:tc>
          <w:tcPr>
            <w:tcW w:w="1435" w:type="dxa"/>
          </w:tcPr>
          <w:p w14:paraId="563119BE" w14:textId="10AFD61B" w:rsidR="0024190E" w:rsidRPr="00927B08" w:rsidRDefault="001B4133" w:rsidP="00992BD0">
            <w:pPr>
              <w:pStyle w:val="Default"/>
              <w:rPr>
                <w:rFonts w:asciiTheme="minorHAnsi" w:hAnsiTheme="minorHAnsi" w:cstheme="minorHAnsi"/>
                <w:color w:val="auto"/>
              </w:rPr>
            </w:pPr>
            <w:r>
              <w:rPr>
                <w:rFonts w:asciiTheme="minorHAnsi" w:hAnsiTheme="minorHAnsi" w:cstheme="minorHAnsi"/>
                <w:color w:val="auto"/>
              </w:rPr>
              <w:t>Finding</w:t>
            </w:r>
            <w:r w:rsidR="0024190E" w:rsidRPr="00927B08">
              <w:rPr>
                <w:rFonts w:asciiTheme="minorHAnsi" w:hAnsiTheme="minorHAnsi" w:cstheme="minorHAnsi"/>
                <w:color w:val="auto"/>
              </w:rPr>
              <w:t xml:space="preserve"> FY 2023-02</w:t>
            </w:r>
          </w:p>
          <w:p w14:paraId="480038DA" w14:textId="77777777"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rPr>
            </w:pPr>
          </w:p>
        </w:tc>
        <w:tc>
          <w:tcPr>
            <w:tcW w:w="2610" w:type="dxa"/>
          </w:tcPr>
          <w:p w14:paraId="4B91E9EC" w14:textId="6CBBA17C"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 xml:space="preserve"> The SAMM data (SAMM 2a) shows the average number of working days to initiate formal complaint inspections was 42.60 days, which was outside the FRL of five (5) days.</w:t>
            </w:r>
          </w:p>
        </w:tc>
        <w:tc>
          <w:tcPr>
            <w:tcW w:w="3330" w:type="dxa"/>
          </w:tcPr>
          <w:p w14:paraId="37C7DDB3" w14:textId="752F0A01"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 xml:space="preserve"> SC OSHA should develop a management plan to ensure complaint investigations are initiated timely to meet the negotiated goal.</w:t>
            </w:r>
          </w:p>
        </w:tc>
        <w:tc>
          <w:tcPr>
            <w:tcW w:w="3510" w:type="dxa"/>
          </w:tcPr>
          <w:p w14:paraId="0990E323" w14:textId="0B17B802" w:rsidR="0024190E" w:rsidRPr="009C045E" w:rsidRDefault="009C045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9C045E">
              <w:rPr>
                <w:rFonts w:asciiTheme="minorHAnsi" w:eastAsia="PMingLiU" w:hAnsiTheme="minorHAnsi" w:cstheme="minorHAnsi"/>
                <w:bCs/>
              </w:rPr>
              <w:t>SC OSHA evaluated and updated the complaint procedures to decrease the number of working days to initiate complaint for new and existing cases.</w:t>
            </w:r>
          </w:p>
        </w:tc>
        <w:tc>
          <w:tcPr>
            <w:tcW w:w="1440" w:type="dxa"/>
          </w:tcPr>
          <w:p w14:paraId="166677A8" w14:textId="77777777"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tc>
        <w:tc>
          <w:tcPr>
            <w:tcW w:w="1260" w:type="dxa"/>
          </w:tcPr>
          <w:p w14:paraId="74091583" w14:textId="4E3C00D9" w:rsidR="0024190E" w:rsidRPr="00AA57D9" w:rsidRDefault="00833364"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AA57D9">
              <w:rPr>
                <w:rFonts w:cs="Calibri"/>
                <w:iCs/>
              </w:rPr>
              <w:t>Open</w:t>
            </w:r>
          </w:p>
        </w:tc>
      </w:tr>
      <w:tr w:rsidR="0024190E" w:rsidRPr="00927B08" w14:paraId="0482C22D" w14:textId="77777777" w:rsidTr="00A05313">
        <w:trPr>
          <w:trHeight w:val="412"/>
        </w:trPr>
        <w:tc>
          <w:tcPr>
            <w:tcW w:w="1435" w:type="dxa"/>
          </w:tcPr>
          <w:p w14:paraId="38F50158" w14:textId="02A25F0A" w:rsidR="00927B08" w:rsidRPr="00927B08" w:rsidRDefault="001B4133"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Finding</w:t>
            </w:r>
            <w:r w:rsidR="00927B08" w:rsidRPr="00927B08">
              <w:rPr>
                <w:rFonts w:asciiTheme="minorHAnsi" w:hAnsiTheme="minorHAnsi" w:cstheme="minorHAnsi"/>
              </w:rPr>
              <w:t xml:space="preserve"> FY 2019-02</w:t>
            </w:r>
          </w:p>
          <w:p w14:paraId="2A415640" w14:textId="77777777" w:rsidR="00927B08" w:rsidRPr="00927B08" w:rsidRDefault="00927B08"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927B08">
              <w:rPr>
                <w:rFonts w:asciiTheme="minorHAnsi" w:hAnsiTheme="minorHAnsi" w:cstheme="minorHAnsi"/>
              </w:rPr>
              <w:t>FY 2020-02</w:t>
            </w:r>
          </w:p>
          <w:p w14:paraId="2796A174" w14:textId="5CCA2916" w:rsidR="00927B08" w:rsidRPr="00927B08" w:rsidRDefault="001B4133"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Finding</w:t>
            </w:r>
            <w:r w:rsidR="00927B08" w:rsidRPr="00927B08">
              <w:rPr>
                <w:rFonts w:asciiTheme="minorHAnsi" w:hAnsiTheme="minorHAnsi" w:cstheme="minorHAnsi"/>
              </w:rPr>
              <w:t xml:space="preserve"> FY 2021-01</w:t>
            </w:r>
          </w:p>
          <w:p w14:paraId="7AC99F4F" w14:textId="0AFF9718" w:rsidR="00927B08" w:rsidRPr="00927B08" w:rsidRDefault="001B4133"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Finding</w:t>
            </w:r>
            <w:r w:rsidR="00927B08" w:rsidRPr="00927B08">
              <w:rPr>
                <w:rFonts w:asciiTheme="minorHAnsi" w:hAnsiTheme="minorHAnsi" w:cstheme="minorHAnsi"/>
              </w:rPr>
              <w:t xml:space="preserve"> FY 2022-01</w:t>
            </w:r>
          </w:p>
          <w:p w14:paraId="419AC1DE" w14:textId="5842A86A" w:rsidR="0024190E" w:rsidRPr="00927B08" w:rsidRDefault="001B4133"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rPr>
            </w:pPr>
            <w:r>
              <w:rPr>
                <w:rFonts w:asciiTheme="minorHAnsi" w:hAnsiTheme="minorHAnsi" w:cstheme="minorHAnsi"/>
              </w:rPr>
              <w:t>Finding</w:t>
            </w:r>
            <w:r w:rsidR="0024190E" w:rsidRPr="00927B08">
              <w:rPr>
                <w:rFonts w:asciiTheme="minorHAnsi" w:hAnsiTheme="minorHAnsi" w:cstheme="minorHAnsi"/>
              </w:rPr>
              <w:t xml:space="preserve"> FY 2023-03</w:t>
            </w:r>
          </w:p>
        </w:tc>
        <w:tc>
          <w:tcPr>
            <w:tcW w:w="2610" w:type="dxa"/>
          </w:tcPr>
          <w:p w14:paraId="690C3E55" w14:textId="289FC139"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The percentage of health (59.57%) inspections that were in-compliance was higher than the FRL range of 32.06% to 52.58% (SAMM 9b).</w:t>
            </w:r>
          </w:p>
        </w:tc>
        <w:tc>
          <w:tcPr>
            <w:tcW w:w="3330" w:type="dxa"/>
          </w:tcPr>
          <w:p w14:paraId="15C0372C" w14:textId="13C48119"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 xml:space="preserve">Ensure inspection resources are spent in workplaces that are exposing workers to hazards by implementing corrective actions in the most hazardous worksites.  Efforts should be focused on creating targeting lists and gaining entry to sites with the most hazards to best protect employees.   Training should continue to address hazard recognition skills with health compliance staff.  </w:t>
            </w:r>
          </w:p>
        </w:tc>
        <w:tc>
          <w:tcPr>
            <w:tcW w:w="3510" w:type="dxa"/>
          </w:tcPr>
          <w:p w14:paraId="547538C2" w14:textId="77777777" w:rsidR="009C045E" w:rsidRPr="009C045E" w:rsidRDefault="009C045E" w:rsidP="009C04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9C045E">
              <w:rPr>
                <w:rFonts w:asciiTheme="minorHAnsi" w:eastAsia="PMingLiU" w:hAnsiTheme="minorHAnsi" w:cstheme="minorHAnsi"/>
                <w:bCs/>
              </w:rPr>
              <w:t xml:space="preserve">Inspections were conducted according to SC OSHA’s high hazard planning guide and the number of unprogrammed inspections received. SC OSHA continues to review the NAICS that are assigned and determine which industries warrant enforcement, based on industry incidence rates.  SC OSHA also continues to provide additional training to CSHO’s to ensure that all potential violations are addressed. </w:t>
            </w:r>
          </w:p>
          <w:p w14:paraId="300F5D6B" w14:textId="77777777" w:rsidR="009C045E" w:rsidRPr="009C045E" w:rsidRDefault="009C045E" w:rsidP="009C04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p>
          <w:p w14:paraId="0A1142DE" w14:textId="587F9DC6" w:rsidR="0024190E" w:rsidRPr="009C045E" w:rsidRDefault="009C045E" w:rsidP="009C04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9C045E">
              <w:rPr>
                <w:rFonts w:asciiTheme="minorHAnsi" w:eastAsia="PMingLiU" w:hAnsiTheme="minorHAnsi" w:cstheme="minorHAnsi"/>
                <w:bCs/>
              </w:rPr>
              <w:t>SC OSHA annually updates the internal High Hazard Planning Guide (HHPG) that identifies industries in the most hazardous NAICS codes according to BLS data. Compliance Officers are continually being trained on the HHPG and on effective hazard recognition on all inspections to include health inspections.</w:t>
            </w:r>
          </w:p>
        </w:tc>
        <w:tc>
          <w:tcPr>
            <w:tcW w:w="1440" w:type="dxa"/>
          </w:tcPr>
          <w:p w14:paraId="533EF4BF" w14:textId="77777777"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tc>
        <w:tc>
          <w:tcPr>
            <w:tcW w:w="1260" w:type="dxa"/>
          </w:tcPr>
          <w:p w14:paraId="314022C6" w14:textId="2A8AC17E" w:rsidR="0024190E" w:rsidRPr="00AA57D9" w:rsidRDefault="00833364"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AA57D9">
              <w:rPr>
                <w:rFonts w:cs="Calibri"/>
                <w:iCs/>
              </w:rPr>
              <w:t>Open</w:t>
            </w:r>
          </w:p>
        </w:tc>
      </w:tr>
      <w:tr w:rsidR="0024190E" w:rsidRPr="00927B08" w14:paraId="4703F521" w14:textId="77777777" w:rsidTr="00A05313">
        <w:trPr>
          <w:trHeight w:val="385"/>
        </w:trPr>
        <w:tc>
          <w:tcPr>
            <w:tcW w:w="1435" w:type="dxa"/>
          </w:tcPr>
          <w:p w14:paraId="4E7C14BF" w14:textId="145A2A4A" w:rsidR="0024190E" w:rsidRPr="00927B08" w:rsidRDefault="001B4133"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rPr>
            </w:pPr>
            <w:r>
              <w:rPr>
                <w:rFonts w:asciiTheme="minorHAnsi" w:hAnsiTheme="minorHAnsi" w:cstheme="minorHAnsi"/>
              </w:rPr>
              <w:t>Finding</w:t>
            </w:r>
            <w:r w:rsidR="00927B08" w:rsidRPr="00927B08">
              <w:rPr>
                <w:rFonts w:asciiTheme="minorHAnsi" w:hAnsiTheme="minorHAnsi" w:cstheme="minorHAnsi"/>
              </w:rPr>
              <w:t xml:space="preserve"> FY 2023-04</w:t>
            </w:r>
            <w:r w:rsidR="0024190E" w:rsidRPr="00927B08">
              <w:rPr>
                <w:rFonts w:asciiTheme="minorHAnsi" w:eastAsia="PMingLiU" w:hAnsiTheme="minorHAnsi" w:cstheme="minorHAnsi"/>
                <w:b/>
                <w:bCs/>
              </w:rPr>
              <w:t> </w:t>
            </w:r>
          </w:p>
        </w:tc>
        <w:tc>
          <w:tcPr>
            <w:tcW w:w="2610" w:type="dxa"/>
          </w:tcPr>
          <w:p w14:paraId="0934D282" w14:textId="3C902474"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Six (6) case files had OTS violations that were not cited.</w:t>
            </w:r>
          </w:p>
        </w:tc>
        <w:tc>
          <w:tcPr>
            <w:tcW w:w="3330" w:type="dxa"/>
          </w:tcPr>
          <w:p w14:paraId="4A7C8703" w14:textId="439F39A7" w:rsidR="0024190E" w:rsidRPr="00927B08" w:rsidRDefault="0024190E"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Ensure that hazards identified during inspections that have sufficient prima facie evidence are addressed through a citation.</w:t>
            </w:r>
          </w:p>
        </w:tc>
        <w:tc>
          <w:tcPr>
            <w:tcW w:w="3510" w:type="dxa"/>
          </w:tcPr>
          <w:p w14:paraId="26546A5D" w14:textId="295DBE27" w:rsidR="0024190E" w:rsidRPr="009C045E" w:rsidRDefault="009C045E" w:rsidP="009C04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C045E">
              <w:rPr>
                <w:rFonts w:asciiTheme="minorHAnsi" w:hAnsiTheme="minorHAnsi" w:cstheme="minorHAnsi"/>
                <w:color w:val="000000"/>
              </w:rPr>
              <w:t xml:space="preserve">SC OSHA will ensure that in the future, </w:t>
            </w:r>
            <w:r w:rsidRPr="009C045E">
              <w:rPr>
                <w:rFonts w:asciiTheme="minorHAnsi" w:hAnsiTheme="minorHAnsi" w:cstheme="minorHAnsi"/>
              </w:rPr>
              <w:t>Compliance Officers address OTS violations according to South Carolina OSHA policy and procedures.</w:t>
            </w:r>
            <w:r w:rsidR="0024190E" w:rsidRPr="009C045E">
              <w:rPr>
                <w:rFonts w:asciiTheme="minorHAnsi" w:eastAsia="PMingLiU" w:hAnsiTheme="minorHAnsi" w:cstheme="minorHAnsi"/>
                <w:b/>
              </w:rPr>
              <w:t> </w:t>
            </w:r>
          </w:p>
        </w:tc>
        <w:tc>
          <w:tcPr>
            <w:tcW w:w="1440" w:type="dxa"/>
          </w:tcPr>
          <w:p w14:paraId="0F813752" w14:textId="77777777" w:rsidR="0024190E" w:rsidRPr="00927B08" w:rsidRDefault="0024190E" w:rsidP="0024190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pPr>
            <w:r w:rsidRPr="00927B08">
              <w:rPr>
                <w:rFonts w:asciiTheme="minorHAnsi" w:eastAsia="PMingLiU" w:hAnsiTheme="minorHAnsi" w:cstheme="minorHAnsi"/>
                <w:b/>
              </w:rPr>
              <w:t> </w:t>
            </w:r>
          </w:p>
        </w:tc>
        <w:tc>
          <w:tcPr>
            <w:tcW w:w="1260" w:type="dxa"/>
          </w:tcPr>
          <w:p w14:paraId="6B340DD8" w14:textId="1A64DD4E" w:rsidR="0024190E" w:rsidRPr="00AA57D9" w:rsidRDefault="0024190E" w:rsidP="0024190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AA57D9">
              <w:rPr>
                <w:rFonts w:asciiTheme="minorHAnsi" w:eastAsia="PMingLiU" w:hAnsiTheme="minorHAnsi" w:cstheme="minorHAnsi"/>
              </w:rPr>
              <w:t> </w:t>
            </w:r>
            <w:r w:rsidR="00833364" w:rsidRPr="00AA57D9">
              <w:rPr>
                <w:rFonts w:cs="Calibri"/>
                <w:iCs/>
              </w:rPr>
              <w:t xml:space="preserve"> Open</w:t>
            </w:r>
          </w:p>
        </w:tc>
      </w:tr>
      <w:tr w:rsidR="00927B08" w:rsidRPr="00927B08" w14:paraId="3FC304A6" w14:textId="77777777" w:rsidTr="00A05313">
        <w:trPr>
          <w:trHeight w:val="385"/>
        </w:trPr>
        <w:tc>
          <w:tcPr>
            <w:tcW w:w="1435" w:type="dxa"/>
          </w:tcPr>
          <w:p w14:paraId="0D763340" w14:textId="5E17851E" w:rsidR="00927B08" w:rsidRPr="00927B08" w:rsidRDefault="001B4133" w:rsidP="00992BD0">
            <w:pPr>
              <w:rPr>
                <w:rFonts w:asciiTheme="minorHAnsi" w:hAnsiTheme="minorHAnsi" w:cstheme="minorHAnsi"/>
              </w:rPr>
            </w:pPr>
            <w:r>
              <w:rPr>
                <w:rFonts w:asciiTheme="minorHAnsi" w:hAnsiTheme="minorHAnsi" w:cstheme="minorHAnsi"/>
              </w:rPr>
              <w:t>Finding</w:t>
            </w:r>
            <w:r w:rsidR="00927B08" w:rsidRPr="00927B08">
              <w:rPr>
                <w:rFonts w:asciiTheme="minorHAnsi" w:hAnsiTheme="minorHAnsi" w:cstheme="minorHAnsi"/>
              </w:rPr>
              <w:t xml:space="preserve"> FY 2021-02</w:t>
            </w:r>
          </w:p>
          <w:p w14:paraId="0A98DF84" w14:textId="7C81E594" w:rsidR="00927B08" w:rsidRPr="00927B08" w:rsidRDefault="001B4133" w:rsidP="00992BD0">
            <w:pPr>
              <w:widowControl/>
              <w:autoSpaceDE/>
              <w:autoSpaceDN/>
              <w:adjustRightInd/>
              <w:rPr>
                <w:rFonts w:asciiTheme="minorHAnsi" w:hAnsiTheme="minorHAnsi" w:cstheme="minorHAnsi"/>
              </w:rPr>
            </w:pPr>
            <w:r>
              <w:rPr>
                <w:rFonts w:asciiTheme="minorHAnsi" w:hAnsiTheme="minorHAnsi" w:cstheme="minorHAnsi"/>
              </w:rPr>
              <w:t>Finding</w:t>
            </w:r>
            <w:r w:rsidR="00927B08" w:rsidRPr="00927B08">
              <w:rPr>
                <w:rFonts w:asciiTheme="minorHAnsi" w:hAnsiTheme="minorHAnsi" w:cstheme="minorHAnsi"/>
              </w:rPr>
              <w:t xml:space="preserve"> FY 2022-02</w:t>
            </w:r>
          </w:p>
          <w:p w14:paraId="02265ED4" w14:textId="31FA4A53" w:rsidR="00927B08" w:rsidRPr="00927B08" w:rsidRDefault="001B4133" w:rsidP="00992BD0">
            <w:pPr>
              <w:pStyle w:val="Default"/>
              <w:rPr>
                <w:rFonts w:asciiTheme="minorHAnsi" w:hAnsiTheme="minorHAnsi" w:cstheme="minorHAnsi"/>
                <w:color w:val="auto"/>
              </w:rPr>
            </w:pPr>
            <w:r>
              <w:rPr>
                <w:rFonts w:asciiTheme="minorHAnsi" w:hAnsiTheme="minorHAnsi" w:cstheme="minorHAnsi"/>
                <w:color w:val="auto"/>
              </w:rPr>
              <w:t>Finding</w:t>
            </w:r>
            <w:r w:rsidR="00927B08" w:rsidRPr="00927B08">
              <w:rPr>
                <w:rFonts w:asciiTheme="minorHAnsi" w:hAnsiTheme="minorHAnsi" w:cstheme="minorHAnsi"/>
                <w:color w:val="auto"/>
              </w:rPr>
              <w:t xml:space="preserve"> FY 2023-05</w:t>
            </w:r>
          </w:p>
          <w:p w14:paraId="2D7BC92D" w14:textId="77777777" w:rsidR="00927B08" w:rsidRPr="00927B08" w:rsidRDefault="00927B08"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bCs/>
              </w:rPr>
            </w:pPr>
          </w:p>
        </w:tc>
        <w:tc>
          <w:tcPr>
            <w:tcW w:w="2610" w:type="dxa"/>
          </w:tcPr>
          <w:p w14:paraId="00E182D1" w14:textId="501B3D60" w:rsidR="00927B08" w:rsidRPr="00927B08" w:rsidRDefault="00927B08"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 xml:space="preserve">SC State Plan has failed to adopt OSHA’s initial FY 2016 maximum and minimum penalty increase and subsequent annual penalty amount increases.  </w:t>
            </w:r>
          </w:p>
        </w:tc>
        <w:tc>
          <w:tcPr>
            <w:tcW w:w="3330" w:type="dxa"/>
          </w:tcPr>
          <w:p w14:paraId="666439A1" w14:textId="59A6373A" w:rsidR="00927B08" w:rsidRPr="00927B08" w:rsidRDefault="00927B08" w:rsidP="00992BD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927B08">
              <w:rPr>
                <w:rFonts w:asciiTheme="minorHAnsi" w:hAnsiTheme="minorHAnsi" w:cstheme="minorHAnsi"/>
              </w:rPr>
              <w:t xml:space="preserve"> SC OSHA should work with their </w:t>
            </w:r>
            <w:r w:rsidR="008B38C3">
              <w:rPr>
                <w:rFonts w:asciiTheme="minorHAnsi" w:hAnsiTheme="minorHAnsi" w:cstheme="minorHAnsi"/>
              </w:rPr>
              <w:t>s</w:t>
            </w:r>
            <w:r w:rsidR="0033492C" w:rsidRPr="00927B08">
              <w:rPr>
                <w:rFonts w:asciiTheme="minorHAnsi" w:hAnsiTheme="minorHAnsi" w:cstheme="minorHAnsi"/>
              </w:rPr>
              <w:t>tate</w:t>
            </w:r>
            <w:r w:rsidRPr="00927B08">
              <w:rPr>
                <w:rFonts w:asciiTheme="minorHAnsi" w:hAnsiTheme="minorHAnsi" w:cstheme="minorHAnsi"/>
              </w:rPr>
              <w:t xml:space="preserve"> authorities to complete the legislative changes necessary to adopt the maximum and minimum penalty increase and subsequent annual increases to be at least as effective as federal OSHA penalty levels.</w:t>
            </w:r>
          </w:p>
        </w:tc>
        <w:tc>
          <w:tcPr>
            <w:tcW w:w="3510" w:type="dxa"/>
          </w:tcPr>
          <w:p w14:paraId="564BB9C4" w14:textId="77777777" w:rsidR="009C045E" w:rsidRPr="009C045E" w:rsidRDefault="009C045E" w:rsidP="009C04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9C045E">
              <w:rPr>
                <w:rFonts w:asciiTheme="minorHAnsi" w:eastAsia="PMingLiU" w:hAnsiTheme="minorHAnsi" w:cstheme="minorHAnsi"/>
                <w:bCs/>
              </w:rPr>
              <w:t>Regarding failure to adopt the increase in penalties, SC OSHA is closely following the recently filed declaratory judgment action,</w:t>
            </w:r>
          </w:p>
          <w:p w14:paraId="32227BC1" w14:textId="6FF27600" w:rsidR="009C045E" w:rsidRPr="009C045E" w:rsidRDefault="009C045E" w:rsidP="009C04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9C045E">
              <w:rPr>
                <w:rFonts w:asciiTheme="minorHAnsi" w:eastAsia="PMingLiU" w:hAnsiTheme="minorHAnsi" w:cstheme="minorHAnsi"/>
                <w:bCs/>
              </w:rPr>
              <w:t>McMaster v. U.S. Dept. of Labor.</w:t>
            </w:r>
          </w:p>
          <w:p w14:paraId="2E03CE0D" w14:textId="77777777" w:rsidR="00927B08" w:rsidRPr="009C045E" w:rsidRDefault="00927B08" w:rsidP="009C045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p>
        </w:tc>
        <w:tc>
          <w:tcPr>
            <w:tcW w:w="1440" w:type="dxa"/>
          </w:tcPr>
          <w:p w14:paraId="630491A0" w14:textId="77777777" w:rsidR="00927B08" w:rsidRPr="00927B08" w:rsidRDefault="00927B08" w:rsidP="00927B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pPr>
          </w:p>
        </w:tc>
        <w:tc>
          <w:tcPr>
            <w:tcW w:w="1260" w:type="dxa"/>
          </w:tcPr>
          <w:p w14:paraId="41539D36" w14:textId="67D96221" w:rsidR="00927B08" w:rsidRPr="00AA57D9" w:rsidRDefault="00833364" w:rsidP="00927B0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AA57D9">
              <w:rPr>
                <w:rFonts w:cs="Calibri"/>
                <w:iCs/>
              </w:rPr>
              <w:t>Open</w:t>
            </w:r>
          </w:p>
        </w:tc>
      </w:tr>
    </w:tbl>
    <w:p w14:paraId="04409505" w14:textId="77777777" w:rsidR="00AD505E" w:rsidRPr="00476C08" w:rsidRDefault="00AD505E" w:rsidP="007A71AC">
      <w:pPr>
        <w:widowControl/>
        <w:autoSpaceDE/>
        <w:autoSpaceDN/>
        <w:adjustRightInd/>
        <w:rPr>
          <w:rFonts w:cs="Calibri"/>
          <w:iCs/>
          <w:color w:val="0070C0"/>
        </w:rPr>
      </w:pPr>
    </w:p>
    <w:p w14:paraId="5A163C8E" w14:textId="618D1C31" w:rsidR="00AA57D9" w:rsidRPr="008164E8" w:rsidRDefault="00AA57D9" w:rsidP="00AA57D9">
      <w:pPr>
        <w:widowControl/>
        <w:autoSpaceDE/>
        <w:autoSpaceDN/>
        <w:adjustRightInd/>
        <w:rPr>
          <w:rFonts w:cs="Calibri"/>
          <w:iCs/>
          <w:color w:val="0070C0"/>
        </w:rPr>
        <w:sectPr w:rsidR="00AA57D9" w:rsidRPr="008164E8" w:rsidSect="00476C08">
          <w:headerReference w:type="default" r:id="rId19"/>
          <w:headerReference w:type="first" r:id="rId20"/>
          <w:footerReference w:type="first" r:id="rId21"/>
          <w:pgSz w:w="15840" w:h="12240" w:orient="landscape"/>
          <w:pgMar w:top="1440" w:right="1440" w:bottom="1440" w:left="1440" w:header="630" w:footer="720" w:gutter="0"/>
          <w:cols w:space="720"/>
          <w:titlePg/>
          <w:docGrid w:linePitch="360"/>
        </w:sectPr>
      </w:pPr>
    </w:p>
    <w:p w14:paraId="1B0B407C" w14:textId="6FE7F597" w:rsidR="00690C0D" w:rsidRPr="00D93CB3" w:rsidRDefault="00690C0D" w:rsidP="000F63C1">
      <w:pPr>
        <w:pStyle w:val="Heading3"/>
        <w:numPr>
          <w:ilvl w:val="0"/>
          <w:numId w:val="0"/>
        </w:numPr>
        <w:rPr>
          <w:color w:val="0070C0"/>
        </w:rPr>
      </w:pPr>
      <w:bookmarkStart w:id="48" w:name="_Toc119418672"/>
      <w:r w:rsidRPr="008E4054">
        <w:t xml:space="preserve">Appendix D – </w:t>
      </w:r>
      <w:bookmarkStart w:id="49" w:name="_Hlk119349018"/>
      <w:r w:rsidRPr="008E4054">
        <w:t>FY 20</w:t>
      </w:r>
      <w:r w:rsidR="008B38C3">
        <w:t>24</w:t>
      </w:r>
      <w:r w:rsidRPr="008E4054">
        <w:t xml:space="preserve"> State Activity Mandated Measures (SAMM) Report</w:t>
      </w:r>
      <w:bookmarkEnd w:id="48"/>
      <w:bookmarkEnd w:id="49"/>
    </w:p>
    <w:p w14:paraId="19B594E3" w14:textId="35E986FE" w:rsidR="00690C0D" w:rsidRPr="000767C0" w:rsidRDefault="00690C0D" w:rsidP="00476C08">
      <w:pPr>
        <w:pStyle w:val="Header"/>
      </w:pPr>
      <w:r w:rsidRPr="00042327">
        <w:t xml:space="preserve">FY </w:t>
      </w:r>
      <w:r>
        <w:t>20</w:t>
      </w:r>
      <w:r w:rsidR="00B14E44">
        <w:t>24</w:t>
      </w:r>
      <w:r w:rsidRPr="00042327">
        <w:t xml:space="preserve"> </w:t>
      </w:r>
      <w:r w:rsidR="00B14E44">
        <w:t xml:space="preserve">South Carolina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46"/>
        <w:gridCol w:w="1188"/>
        <w:gridCol w:w="1323"/>
        <w:gridCol w:w="4359"/>
      </w:tblGrid>
      <w:tr w:rsidR="0052654E" w:rsidRPr="001C1E47" w14:paraId="4B607DC1" w14:textId="77777777" w:rsidTr="005265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57458A14" w14:textId="757F59F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bookmarkStart w:id="50" w:name="_Hlk179982501"/>
            <w:r w:rsidRPr="00563560">
              <w:rPr>
                <w:rFonts w:eastAsia="PMingLiU" w:cs="Calibri"/>
                <w:color w:val="auto"/>
              </w:rPr>
              <w:t>SAMM Number</w:t>
            </w:r>
          </w:p>
        </w:tc>
        <w:tc>
          <w:tcPr>
            <w:tcW w:w="2446" w:type="dxa"/>
            <w:tcBorders>
              <w:left w:val="single" w:sz="4" w:space="0" w:color="000000"/>
              <w:right w:val="single" w:sz="4" w:space="0" w:color="000000"/>
            </w:tcBorders>
            <w:shd w:val="clear" w:color="auto" w:fill="auto"/>
          </w:tcPr>
          <w:p w14:paraId="21CEF63D" w14:textId="3FB7B44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563560">
              <w:rPr>
                <w:rFonts w:eastAsia="PMingLiU" w:cs="Calibri"/>
                <w:color w:val="auto"/>
              </w:rPr>
              <w:t>SAMM Name</w:t>
            </w:r>
          </w:p>
        </w:tc>
        <w:tc>
          <w:tcPr>
            <w:tcW w:w="1188" w:type="dxa"/>
            <w:tcBorders>
              <w:left w:val="single" w:sz="4" w:space="0" w:color="000000"/>
              <w:right w:val="single" w:sz="4" w:space="0" w:color="000000"/>
            </w:tcBorders>
            <w:shd w:val="clear" w:color="auto" w:fill="auto"/>
          </w:tcPr>
          <w:p w14:paraId="1BC934E4" w14:textId="0C1E149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563560">
              <w:rPr>
                <w:rFonts w:eastAsia="PMingLiU" w:cs="Calibri"/>
                <w:color w:val="auto"/>
              </w:rPr>
              <w:t>State Plan Data</w:t>
            </w:r>
          </w:p>
        </w:tc>
        <w:tc>
          <w:tcPr>
            <w:tcW w:w="1323" w:type="dxa"/>
            <w:tcBorders>
              <w:left w:val="single" w:sz="4" w:space="0" w:color="000000"/>
              <w:right w:val="single" w:sz="4" w:space="0" w:color="000000"/>
            </w:tcBorders>
            <w:shd w:val="clear" w:color="auto" w:fill="auto"/>
          </w:tcPr>
          <w:p w14:paraId="10FEC12F" w14:textId="345655D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563560">
              <w:rPr>
                <w:rFonts w:eastAsia="PMingLiU" w:cs="Calibri"/>
                <w:color w:val="auto"/>
              </w:rPr>
              <w:t>Further Review Level</w:t>
            </w:r>
          </w:p>
        </w:tc>
        <w:tc>
          <w:tcPr>
            <w:tcW w:w="4359" w:type="dxa"/>
            <w:tcBorders>
              <w:left w:val="single" w:sz="4" w:space="0" w:color="000000"/>
            </w:tcBorders>
            <w:shd w:val="clear" w:color="auto" w:fill="auto"/>
          </w:tcPr>
          <w:p w14:paraId="1845DDF3" w14:textId="7D43A8E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563560">
              <w:rPr>
                <w:rFonts w:eastAsia="PMingLiU" w:cs="Calibri"/>
                <w:color w:val="auto"/>
              </w:rPr>
              <w:t>Notes</w:t>
            </w:r>
          </w:p>
        </w:tc>
      </w:tr>
      <w:tr w:rsidR="0052654E" w:rsidRPr="001C1E47" w14:paraId="23E15083"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4FC54415" w14:textId="3015DAB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1a</w:t>
            </w:r>
          </w:p>
        </w:tc>
        <w:tc>
          <w:tcPr>
            <w:tcW w:w="2446" w:type="dxa"/>
          </w:tcPr>
          <w:p w14:paraId="5DD1B3D7" w14:textId="7775A59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 xml:space="preserve">Average number of </w:t>
            </w:r>
            <w:r w:rsidR="00270E6A" w:rsidRPr="00563560">
              <w:rPr>
                <w:rFonts w:asciiTheme="minorHAnsi" w:hAnsiTheme="minorHAnsi" w:cstheme="minorHAnsi"/>
              </w:rPr>
              <w:t>workdays</w:t>
            </w:r>
            <w:r w:rsidRPr="00563560">
              <w:rPr>
                <w:rFonts w:asciiTheme="minorHAnsi" w:hAnsiTheme="minorHAnsi" w:cstheme="minorHAnsi"/>
              </w:rPr>
              <w:t xml:space="preserve"> to initiate complaint inspections (state formula)</w:t>
            </w:r>
          </w:p>
        </w:tc>
        <w:tc>
          <w:tcPr>
            <w:tcW w:w="1188" w:type="dxa"/>
          </w:tcPr>
          <w:p w14:paraId="50ED339E" w14:textId="584272C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69.97</w:t>
            </w:r>
          </w:p>
        </w:tc>
        <w:tc>
          <w:tcPr>
            <w:tcW w:w="1323" w:type="dxa"/>
          </w:tcPr>
          <w:p w14:paraId="36E21F8C" w14:textId="4B3BA406"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7</w:t>
            </w:r>
          </w:p>
        </w:tc>
        <w:tc>
          <w:tcPr>
            <w:tcW w:w="4359" w:type="dxa"/>
          </w:tcPr>
          <w:p w14:paraId="1BE10DF6" w14:textId="6D2C8FB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negotiated by OSHA and the State Plan.</w:t>
            </w:r>
          </w:p>
        </w:tc>
      </w:tr>
      <w:tr w:rsidR="0052654E" w:rsidRPr="001C1E47" w14:paraId="6E87F5F9"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15DA89A2" w14:textId="68BE2EA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1b</w:t>
            </w:r>
          </w:p>
        </w:tc>
        <w:tc>
          <w:tcPr>
            <w:tcW w:w="2446" w:type="dxa"/>
          </w:tcPr>
          <w:p w14:paraId="7BDECFBC" w14:textId="2297C4E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 xml:space="preserve">Average number of </w:t>
            </w:r>
            <w:r w:rsidR="00270E6A" w:rsidRPr="00563560">
              <w:rPr>
                <w:rFonts w:asciiTheme="minorHAnsi" w:hAnsiTheme="minorHAnsi" w:cstheme="minorHAnsi"/>
              </w:rPr>
              <w:t>workdays</w:t>
            </w:r>
            <w:r w:rsidRPr="00563560">
              <w:rPr>
                <w:rFonts w:asciiTheme="minorHAnsi" w:hAnsiTheme="minorHAnsi" w:cstheme="minorHAnsi"/>
              </w:rPr>
              <w:t xml:space="preserve"> to initiate complaint inspections (federal formula)</w:t>
            </w:r>
          </w:p>
        </w:tc>
        <w:tc>
          <w:tcPr>
            <w:tcW w:w="1188" w:type="dxa"/>
          </w:tcPr>
          <w:p w14:paraId="2DD44EDE" w14:textId="4E882C2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7.13</w:t>
            </w:r>
          </w:p>
        </w:tc>
        <w:tc>
          <w:tcPr>
            <w:tcW w:w="1323" w:type="dxa"/>
          </w:tcPr>
          <w:p w14:paraId="44E25FF5" w14:textId="4DCFAEE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N/A</w:t>
            </w:r>
          </w:p>
        </w:tc>
        <w:tc>
          <w:tcPr>
            <w:tcW w:w="4359" w:type="dxa"/>
          </w:tcPr>
          <w:p w14:paraId="3B881485" w14:textId="5B54974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This measure is for informational purposes only and is not a mandated measure.</w:t>
            </w:r>
          </w:p>
        </w:tc>
      </w:tr>
      <w:tr w:rsidR="0052654E" w:rsidRPr="001C1E47" w14:paraId="7254895F"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70F4527B" w14:textId="2CC59AF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2a</w:t>
            </w:r>
          </w:p>
        </w:tc>
        <w:tc>
          <w:tcPr>
            <w:tcW w:w="2446" w:type="dxa"/>
          </w:tcPr>
          <w:p w14:paraId="680D30CB" w14:textId="4C0D7C8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 xml:space="preserve">Average number of </w:t>
            </w:r>
            <w:r w:rsidR="00270E6A" w:rsidRPr="00563560">
              <w:rPr>
                <w:rFonts w:asciiTheme="minorHAnsi" w:hAnsiTheme="minorHAnsi" w:cstheme="minorHAnsi"/>
              </w:rPr>
              <w:t>workdays</w:t>
            </w:r>
            <w:r w:rsidRPr="00563560">
              <w:rPr>
                <w:rFonts w:asciiTheme="minorHAnsi" w:hAnsiTheme="minorHAnsi" w:cstheme="minorHAnsi"/>
              </w:rPr>
              <w:t xml:space="preserve"> to initiate complaint investigations (state formula)</w:t>
            </w:r>
          </w:p>
        </w:tc>
        <w:tc>
          <w:tcPr>
            <w:tcW w:w="1188" w:type="dxa"/>
          </w:tcPr>
          <w:p w14:paraId="5D15BC2D" w14:textId="153525C2"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63.60</w:t>
            </w:r>
          </w:p>
        </w:tc>
        <w:tc>
          <w:tcPr>
            <w:tcW w:w="1323" w:type="dxa"/>
          </w:tcPr>
          <w:p w14:paraId="25E101C9" w14:textId="2AC69EE4"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5</w:t>
            </w:r>
          </w:p>
        </w:tc>
        <w:tc>
          <w:tcPr>
            <w:tcW w:w="4359" w:type="dxa"/>
          </w:tcPr>
          <w:p w14:paraId="440E4407" w14:textId="0F4E6099"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negotiated by OSHA and the State Plan.</w:t>
            </w:r>
          </w:p>
        </w:tc>
      </w:tr>
      <w:tr w:rsidR="0052654E" w:rsidRPr="001C1E47" w14:paraId="43AA3020"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3026F0A2" w14:textId="45E4E4D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2b</w:t>
            </w:r>
          </w:p>
        </w:tc>
        <w:tc>
          <w:tcPr>
            <w:tcW w:w="2446" w:type="dxa"/>
          </w:tcPr>
          <w:p w14:paraId="60EA38B6" w14:textId="355ACDF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 xml:space="preserve">Average number of </w:t>
            </w:r>
            <w:r w:rsidR="00270E6A" w:rsidRPr="00563560">
              <w:rPr>
                <w:rFonts w:asciiTheme="minorHAnsi" w:hAnsiTheme="minorHAnsi" w:cstheme="minorHAnsi"/>
              </w:rPr>
              <w:t>workdays</w:t>
            </w:r>
            <w:r w:rsidRPr="00563560">
              <w:rPr>
                <w:rFonts w:asciiTheme="minorHAnsi" w:hAnsiTheme="minorHAnsi" w:cstheme="minorHAnsi"/>
              </w:rPr>
              <w:t xml:space="preserve"> to initiate complaint investigations (federal formula)</w:t>
            </w:r>
          </w:p>
        </w:tc>
        <w:tc>
          <w:tcPr>
            <w:tcW w:w="1188" w:type="dxa"/>
          </w:tcPr>
          <w:p w14:paraId="148E915C" w14:textId="32E8B2E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8.37</w:t>
            </w:r>
          </w:p>
        </w:tc>
        <w:tc>
          <w:tcPr>
            <w:tcW w:w="1323" w:type="dxa"/>
          </w:tcPr>
          <w:p w14:paraId="3C6B37D6" w14:textId="2E34EF0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N/A</w:t>
            </w:r>
          </w:p>
        </w:tc>
        <w:tc>
          <w:tcPr>
            <w:tcW w:w="4359" w:type="dxa"/>
          </w:tcPr>
          <w:p w14:paraId="7849D62B" w14:textId="4E31EFF8"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This measure is for informational purposes only and is not a mandated measure.</w:t>
            </w:r>
          </w:p>
        </w:tc>
      </w:tr>
      <w:tr w:rsidR="0052654E" w:rsidRPr="001C1E47" w14:paraId="463E07C8"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730502E1" w14:textId="7B3EEE76"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3</w:t>
            </w:r>
          </w:p>
        </w:tc>
        <w:tc>
          <w:tcPr>
            <w:tcW w:w="2446" w:type="dxa"/>
          </w:tcPr>
          <w:p w14:paraId="224C67FA" w14:textId="4CF8102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Percent of complaints and referrals responded to within one workday (imminent danger)</w:t>
            </w:r>
          </w:p>
        </w:tc>
        <w:tc>
          <w:tcPr>
            <w:tcW w:w="1188" w:type="dxa"/>
          </w:tcPr>
          <w:p w14:paraId="683DAD92" w14:textId="6ACA44A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N/A</w:t>
            </w:r>
          </w:p>
        </w:tc>
        <w:tc>
          <w:tcPr>
            <w:tcW w:w="1323" w:type="dxa"/>
          </w:tcPr>
          <w:p w14:paraId="2138AC62" w14:textId="15A0F98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100%</w:t>
            </w:r>
          </w:p>
        </w:tc>
        <w:tc>
          <w:tcPr>
            <w:tcW w:w="4359" w:type="dxa"/>
          </w:tcPr>
          <w:p w14:paraId="1639E620" w14:textId="4E39E5E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fixed for all State Plans.</w:t>
            </w:r>
          </w:p>
        </w:tc>
      </w:tr>
      <w:tr w:rsidR="0052654E" w:rsidRPr="001C1E47" w14:paraId="448E8EB5"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54BD594C" w14:textId="0B1F3195"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4</w:t>
            </w:r>
          </w:p>
        </w:tc>
        <w:tc>
          <w:tcPr>
            <w:tcW w:w="2446" w:type="dxa"/>
          </w:tcPr>
          <w:p w14:paraId="7F17AA0C" w14:textId="7E71EED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Number of denials where entry not obtained</w:t>
            </w:r>
          </w:p>
        </w:tc>
        <w:tc>
          <w:tcPr>
            <w:tcW w:w="1188" w:type="dxa"/>
          </w:tcPr>
          <w:p w14:paraId="49E38EB6" w14:textId="520CAE9C"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2</w:t>
            </w:r>
          </w:p>
        </w:tc>
        <w:tc>
          <w:tcPr>
            <w:tcW w:w="1323" w:type="dxa"/>
          </w:tcPr>
          <w:p w14:paraId="39E6BBCD" w14:textId="7421CE4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0</w:t>
            </w:r>
          </w:p>
        </w:tc>
        <w:tc>
          <w:tcPr>
            <w:tcW w:w="4359" w:type="dxa"/>
          </w:tcPr>
          <w:p w14:paraId="63BF7F96" w14:textId="76388714"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fixed for all State Plans.</w:t>
            </w:r>
          </w:p>
        </w:tc>
      </w:tr>
      <w:tr w:rsidR="0052654E" w:rsidRPr="001C1E47" w14:paraId="391899CE" w14:textId="77777777" w:rsidTr="0052654E">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1682132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5a</w:t>
            </w:r>
          </w:p>
        </w:tc>
        <w:tc>
          <w:tcPr>
            <w:tcW w:w="2446" w:type="dxa"/>
          </w:tcPr>
          <w:p w14:paraId="6F060D7F" w14:textId="2C5CCDB8"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Average number of violations per inspection with violations by violation type (SWRU)</w:t>
            </w:r>
          </w:p>
        </w:tc>
        <w:tc>
          <w:tcPr>
            <w:tcW w:w="1188" w:type="dxa"/>
          </w:tcPr>
          <w:p w14:paraId="5640B786" w14:textId="3F8530C1"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1.93</w:t>
            </w:r>
          </w:p>
        </w:tc>
        <w:tc>
          <w:tcPr>
            <w:tcW w:w="1323" w:type="dxa"/>
          </w:tcPr>
          <w:p w14:paraId="73AC26AA"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+/- 20% of 1.74</w:t>
            </w:r>
          </w:p>
          <w:p w14:paraId="2E543DB2"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B24EFBC" w14:textId="7777777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330DF263" w14:textId="6A02BFB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52654E" w:rsidRPr="001C1E47" w14:paraId="0C0C34AD"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7FD14581" w14:textId="6062272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5b</w:t>
            </w:r>
          </w:p>
        </w:tc>
        <w:tc>
          <w:tcPr>
            <w:tcW w:w="2446" w:type="dxa"/>
          </w:tcPr>
          <w:p w14:paraId="1A64659E" w14:textId="509E405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Average number of violations per inspection with violations by violation type (other)</w:t>
            </w:r>
          </w:p>
        </w:tc>
        <w:tc>
          <w:tcPr>
            <w:tcW w:w="1188" w:type="dxa"/>
          </w:tcPr>
          <w:p w14:paraId="189B2CB4" w14:textId="197E7B7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0.29</w:t>
            </w:r>
          </w:p>
        </w:tc>
        <w:tc>
          <w:tcPr>
            <w:tcW w:w="1323" w:type="dxa"/>
          </w:tcPr>
          <w:p w14:paraId="24546691"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+/- 20% of 0.94</w:t>
            </w:r>
          </w:p>
          <w:p w14:paraId="10600A9C" w14:textId="779D5ECC"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4F83BD91" w14:textId="081AD50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52654E" w:rsidRPr="001C1E47" w14:paraId="73051CF9"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4B4D91E3" w14:textId="345715F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6</w:t>
            </w:r>
          </w:p>
        </w:tc>
        <w:tc>
          <w:tcPr>
            <w:tcW w:w="2446" w:type="dxa"/>
          </w:tcPr>
          <w:p w14:paraId="79E27E6A" w14:textId="57E1793C"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Percent of total inspections in state and local government workplaces</w:t>
            </w:r>
          </w:p>
        </w:tc>
        <w:tc>
          <w:tcPr>
            <w:tcW w:w="1188" w:type="dxa"/>
          </w:tcPr>
          <w:p w14:paraId="01189742" w14:textId="7112D014"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5.70%</w:t>
            </w:r>
          </w:p>
        </w:tc>
        <w:tc>
          <w:tcPr>
            <w:tcW w:w="1323" w:type="dxa"/>
          </w:tcPr>
          <w:p w14:paraId="27DC25D9"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+/- 5% of</w:t>
            </w:r>
          </w:p>
          <w:p w14:paraId="7678C0FD" w14:textId="43A4B5B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Grant 5.36%</w:t>
            </w:r>
          </w:p>
        </w:tc>
        <w:tc>
          <w:tcPr>
            <w:tcW w:w="4359" w:type="dxa"/>
          </w:tcPr>
          <w:p w14:paraId="11909732" w14:textId="61B678C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5.09% to 5.63%.</w:t>
            </w:r>
          </w:p>
        </w:tc>
      </w:tr>
      <w:tr w:rsidR="0052654E" w:rsidRPr="001C1E47" w14:paraId="47E35DEE"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2635650F" w14:textId="1F8CF87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7a</w:t>
            </w:r>
          </w:p>
        </w:tc>
        <w:tc>
          <w:tcPr>
            <w:tcW w:w="2446" w:type="dxa"/>
          </w:tcPr>
          <w:p w14:paraId="6972B9CD" w14:textId="49F75A9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Planned v. actual inspections (safety)</w:t>
            </w:r>
          </w:p>
        </w:tc>
        <w:tc>
          <w:tcPr>
            <w:tcW w:w="1188" w:type="dxa"/>
          </w:tcPr>
          <w:p w14:paraId="714EE701" w14:textId="212AC96C"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301</w:t>
            </w:r>
          </w:p>
        </w:tc>
        <w:tc>
          <w:tcPr>
            <w:tcW w:w="1323" w:type="dxa"/>
          </w:tcPr>
          <w:p w14:paraId="5662C076"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xml:space="preserve">+/- 5% of </w:t>
            </w:r>
          </w:p>
          <w:p w14:paraId="70DE1282" w14:textId="257E4AC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Grant 195</w:t>
            </w:r>
          </w:p>
        </w:tc>
        <w:tc>
          <w:tcPr>
            <w:tcW w:w="4359" w:type="dxa"/>
          </w:tcPr>
          <w:p w14:paraId="127905E2" w14:textId="5B1FA52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number negotiated by OSHA and the State Plan through the grant application.  The range of acceptable data not requiring further review is from 185 to 205 for safety.</w:t>
            </w:r>
          </w:p>
        </w:tc>
      </w:tr>
      <w:tr w:rsidR="0052654E" w:rsidRPr="001C1E47" w14:paraId="41D7E5AF"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78976174" w14:textId="2707BA91"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563560">
              <w:rPr>
                <w:rFonts w:eastAsia="PMingLiU" w:cs="Calibri"/>
              </w:rPr>
              <w:t>7b</w:t>
            </w:r>
          </w:p>
        </w:tc>
        <w:tc>
          <w:tcPr>
            <w:tcW w:w="2446" w:type="dxa"/>
          </w:tcPr>
          <w:p w14:paraId="628291DB" w14:textId="343FD35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Planned v. actual inspections (health)</w:t>
            </w:r>
          </w:p>
        </w:tc>
        <w:tc>
          <w:tcPr>
            <w:tcW w:w="1188" w:type="dxa"/>
          </w:tcPr>
          <w:p w14:paraId="46225BFE" w14:textId="591037A4"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120</w:t>
            </w:r>
          </w:p>
        </w:tc>
        <w:tc>
          <w:tcPr>
            <w:tcW w:w="1323" w:type="dxa"/>
          </w:tcPr>
          <w:p w14:paraId="790536D4"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xml:space="preserve">+/- 5% of </w:t>
            </w:r>
          </w:p>
          <w:p w14:paraId="615D1DB6" w14:textId="581556E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Grant 85</w:t>
            </w:r>
          </w:p>
        </w:tc>
        <w:tc>
          <w:tcPr>
            <w:tcW w:w="4359" w:type="dxa"/>
          </w:tcPr>
          <w:p w14:paraId="4C49AF53" w14:textId="428ED5A5"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number negotiated by OSHA and the State Plan through the grant application.  The range of acceptable data not requiring further review is from 81 to 89 for health.</w:t>
            </w:r>
          </w:p>
        </w:tc>
      </w:tr>
      <w:tr w:rsidR="0052654E" w:rsidRPr="001C1E47" w14:paraId="19A930B8"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12933EF2" w14:textId="2BF82F1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8</w:t>
            </w:r>
          </w:p>
        </w:tc>
        <w:tc>
          <w:tcPr>
            <w:tcW w:w="2446" w:type="dxa"/>
          </w:tcPr>
          <w:p w14:paraId="35E2919F" w14:textId="41BA624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Average current serious penalty in private sector - total (1 to greater than 250 workers)</w:t>
            </w:r>
          </w:p>
        </w:tc>
        <w:tc>
          <w:tcPr>
            <w:tcW w:w="1188" w:type="dxa"/>
          </w:tcPr>
          <w:p w14:paraId="4FF95415" w14:textId="553FA076"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$1,772.04</w:t>
            </w:r>
          </w:p>
        </w:tc>
        <w:tc>
          <w:tcPr>
            <w:tcW w:w="1323" w:type="dxa"/>
          </w:tcPr>
          <w:p w14:paraId="04FBC2A3"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xml:space="preserve">+/- 25% of </w:t>
            </w:r>
          </w:p>
          <w:p w14:paraId="49668CAE"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563560">
              <w:rPr>
                <w:rFonts w:asciiTheme="minorHAnsi" w:eastAsia="PMingLiU" w:hAnsiTheme="minorHAnsi" w:cstheme="minorHAnsi"/>
              </w:rPr>
              <w:t>$3,793.81</w:t>
            </w:r>
          </w:p>
          <w:p w14:paraId="7AD30EF7" w14:textId="7777777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0DF20B53" w14:textId="0938554C" w:rsidR="0052654E" w:rsidRPr="001C1E47" w:rsidRDefault="0052654E" w:rsidP="0052654E">
            <w:pPr>
              <w:ind w:right="1331"/>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The further review level is based on a three-year national average.  The range of acceptable data not requiring further review is from $2,845.36 to $4,742.27.</w:t>
            </w:r>
          </w:p>
        </w:tc>
      </w:tr>
      <w:tr w:rsidR="0052654E" w:rsidRPr="001C1E47" w14:paraId="4CF9D609"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0ABEB3DA" w14:textId="447E3DF1"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563560">
              <w:rPr>
                <w:rFonts w:eastAsia="PMingLiU" w:cs="Calibri"/>
              </w:rPr>
              <w:t>8a</w:t>
            </w:r>
          </w:p>
        </w:tc>
        <w:tc>
          <w:tcPr>
            <w:tcW w:w="2446" w:type="dxa"/>
          </w:tcPr>
          <w:p w14:paraId="3CED370E"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Average current serious penalty in private sector</w:t>
            </w:r>
          </w:p>
          <w:p w14:paraId="7C4696DD" w14:textId="7365DB0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 xml:space="preserve"> (1-25 workers)</w:t>
            </w:r>
          </w:p>
        </w:tc>
        <w:tc>
          <w:tcPr>
            <w:tcW w:w="1188" w:type="dxa"/>
          </w:tcPr>
          <w:p w14:paraId="3B168483" w14:textId="490718A9"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$1,093.00</w:t>
            </w:r>
          </w:p>
        </w:tc>
        <w:tc>
          <w:tcPr>
            <w:tcW w:w="1323" w:type="dxa"/>
          </w:tcPr>
          <w:p w14:paraId="3049D5E0"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xml:space="preserve">+/- 25% of </w:t>
            </w:r>
          </w:p>
          <w:p w14:paraId="1B9EBAFC"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$2,498.51</w:t>
            </w:r>
          </w:p>
          <w:p w14:paraId="4DC91B0C" w14:textId="7777777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371F75E0" w14:textId="1F0D5C35"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$1,873.88 to $3,123.14.</w:t>
            </w:r>
          </w:p>
        </w:tc>
      </w:tr>
      <w:tr w:rsidR="0052654E" w:rsidRPr="001C1E47" w14:paraId="2F293093"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2794F1EF" w14:textId="6701A9B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563560">
              <w:rPr>
                <w:rFonts w:eastAsia="PMingLiU" w:cs="Calibri"/>
              </w:rPr>
              <w:t>8b</w:t>
            </w:r>
          </w:p>
        </w:tc>
        <w:tc>
          <w:tcPr>
            <w:tcW w:w="2446" w:type="dxa"/>
          </w:tcPr>
          <w:p w14:paraId="3C300618"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xml:space="preserve">Average current serious penalty in private sector </w:t>
            </w:r>
          </w:p>
          <w:p w14:paraId="0CB214A9" w14:textId="19668A9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(26-100 workers</w:t>
            </w:r>
            <w:r w:rsidRPr="00563560">
              <w:rPr>
                <w:rFonts w:asciiTheme="minorHAnsi" w:hAnsiTheme="minorHAnsi" w:cstheme="minorHAnsi"/>
                <w:b/>
              </w:rPr>
              <w:t>)</w:t>
            </w:r>
          </w:p>
        </w:tc>
        <w:tc>
          <w:tcPr>
            <w:tcW w:w="1188" w:type="dxa"/>
          </w:tcPr>
          <w:p w14:paraId="26CF4361" w14:textId="6B0BFE2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$1,599.73</w:t>
            </w:r>
          </w:p>
        </w:tc>
        <w:tc>
          <w:tcPr>
            <w:tcW w:w="1323" w:type="dxa"/>
          </w:tcPr>
          <w:p w14:paraId="46234AFC"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xml:space="preserve">+/- 25% of </w:t>
            </w:r>
          </w:p>
          <w:p w14:paraId="53006D67"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$4,322.61</w:t>
            </w:r>
          </w:p>
          <w:p w14:paraId="6AB595C0" w14:textId="7777777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533EE6CD" w14:textId="771E62D8"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$3,241.96 to $5,403.26.</w:t>
            </w:r>
          </w:p>
        </w:tc>
      </w:tr>
      <w:tr w:rsidR="0052654E" w:rsidRPr="001C1E47" w14:paraId="786F3F1A"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5A3932AB" w14:textId="46133AF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563560">
              <w:rPr>
                <w:rFonts w:eastAsia="PMingLiU" w:cs="Calibri"/>
              </w:rPr>
              <w:t>8c</w:t>
            </w:r>
          </w:p>
        </w:tc>
        <w:tc>
          <w:tcPr>
            <w:tcW w:w="2446" w:type="dxa"/>
          </w:tcPr>
          <w:p w14:paraId="5D5AC3D8"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Average current serious penalty in private sector</w:t>
            </w:r>
          </w:p>
          <w:p w14:paraId="10D9592B" w14:textId="7E18100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(101-250 workers)</w:t>
            </w:r>
          </w:p>
        </w:tc>
        <w:tc>
          <w:tcPr>
            <w:tcW w:w="1188" w:type="dxa"/>
          </w:tcPr>
          <w:p w14:paraId="7D3E6F14" w14:textId="5FB707C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$1,890.21</w:t>
            </w:r>
          </w:p>
        </w:tc>
        <w:tc>
          <w:tcPr>
            <w:tcW w:w="1323" w:type="dxa"/>
          </w:tcPr>
          <w:p w14:paraId="0BB36240"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xml:space="preserve">+/- 25% of </w:t>
            </w:r>
          </w:p>
          <w:p w14:paraId="7BCCE0C0"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$6,114.84</w:t>
            </w:r>
          </w:p>
          <w:p w14:paraId="0194F828" w14:textId="7777777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4B00CAC2" w14:textId="42C388C8"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$4,586.13 to $7,643.55.</w:t>
            </w:r>
          </w:p>
        </w:tc>
      </w:tr>
      <w:tr w:rsidR="0052654E" w:rsidRPr="001C1E47" w14:paraId="44B346AD"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5ED4D0D0" w14:textId="15DE93C2"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563560">
              <w:rPr>
                <w:rFonts w:eastAsia="PMingLiU" w:cs="Calibri"/>
              </w:rPr>
              <w:t>8d</w:t>
            </w:r>
          </w:p>
        </w:tc>
        <w:tc>
          <w:tcPr>
            <w:tcW w:w="2446" w:type="dxa"/>
          </w:tcPr>
          <w:p w14:paraId="57EFDDCB"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Average current serious penalty in private sector</w:t>
            </w:r>
          </w:p>
          <w:p w14:paraId="48DDBB4B" w14:textId="281CA404"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(greater than 250 workers)</w:t>
            </w:r>
          </w:p>
        </w:tc>
        <w:tc>
          <w:tcPr>
            <w:tcW w:w="1188" w:type="dxa"/>
          </w:tcPr>
          <w:p w14:paraId="7D66FCF1" w14:textId="6C198B6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$3,005.81</w:t>
            </w:r>
          </w:p>
        </w:tc>
        <w:tc>
          <w:tcPr>
            <w:tcW w:w="1323" w:type="dxa"/>
          </w:tcPr>
          <w:p w14:paraId="2B04CE99"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xml:space="preserve">+/- 25% of </w:t>
            </w:r>
          </w:p>
          <w:p w14:paraId="72768CA2"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$7,533.58</w:t>
            </w:r>
          </w:p>
          <w:p w14:paraId="3FB5515E" w14:textId="7777777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29FF5D83" w14:textId="59263B5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$5,650.19 to $9,416.98.</w:t>
            </w:r>
          </w:p>
        </w:tc>
      </w:tr>
      <w:tr w:rsidR="0052654E" w:rsidRPr="001C1E47" w14:paraId="6F99001F"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2CAB3DC1" w14:textId="5FD1A8F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9a</w:t>
            </w:r>
          </w:p>
        </w:tc>
        <w:tc>
          <w:tcPr>
            <w:tcW w:w="2446" w:type="dxa"/>
          </w:tcPr>
          <w:p w14:paraId="406CE5F6" w14:textId="6D85B3E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Percent in compliance (safety)</w:t>
            </w:r>
          </w:p>
        </w:tc>
        <w:tc>
          <w:tcPr>
            <w:tcW w:w="1188" w:type="dxa"/>
          </w:tcPr>
          <w:p w14:paraId="2CBEE7D5" w14:textId="72E3531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51.89%</w:t>
            </w:r>
          </w:p>
        </w:tc>
        <w:tc>
          <w:tcPr>
            <w:tcW w:w="1323" w:type="dxa"/>
          </w:tcPr>
          <w:p w14:paraId="53301E49"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+/- 20% of</w:t>
            </w:r>
          </w:p>
          <w:p w14:paraId="0A52EE0A" w14:textId="7806A9F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32.83%</w:t>
            </w:r>
          </w:p>
        </w:tc>
        <w:tc>
          <w:tcPr>
            <w:tcW w:w="4359" w:type="dxa"/>
          </w:tcPr>
          <w:p w14:paraId="2A829BA0" w14:textId="468BC87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26.27% to 39.40% for safety.</w:t>
            </w:r>
          </w:p>
        </w:tc>
      </w:tr>
      <w:tr w:rsidR="0052654E" w:rsidRPr="001C1E47" w14:paraId="3EB76E55"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5BA68B8A" w14:textId="631E3555"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9b</w:t>
            </w:r>
          </w:p>
        </w:tc>
        <w:tc>
          <w:tcPr>
            <w:tcW w:w="2446" w:type="dxa"/>
          </w:tcPr>
          <w:p w14:paraId="1F4404BA" w14:textId="6C50EB5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Percent in compliance (health)</w:t>
            </w:r>
          </w:p>
        </w:tc>
        <w:tc>
          <w:tcPr>
            <w:tcW w:w="1188" w:type="dxa"/>
          </w:tcPr>
          <w:p w14:paraId="0F761403" w14:textId="6A9211E6"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69.23%</w:t>
            </w:r>
          </w:p>
        </w:tc>
        <w:tc>
          <w:tcPr>
            <w:tcW w:w="1323" w:type="dxa"/>
          </w:tcPr>
          <w:p w14:paraId="3668D984"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+/- 20% of</w:t>
            </w:r>
          </w:p>
          <w:p w14:paraId="203D8062" w14:textId="6F6D6B6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44.18%</w:t>
            </w:r>
          </w:p>
        </w:tc>
        <w:tc>
          <w:tcPr>
            <w:tcW w:w="4359" w:type="dxa"/>
          </w:tcPr>
          <w:p w14:paraId="7272F1E9" w14:textId="43D89E2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35.34% to 53.01% for health.</w:t>
            </w:r>
          </w:p>
        </w:tc>
      </w:tr>
      <w:tr w:rsidR="0052654E" w:rsidRPr="001C1E47" w14:paraId="6BD622B6"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1E1081EE" w14:textId="61C07041"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10</w:t>
            </w:r>
          </w:p>
        </w:tc>
        <w:tc>
          <w:tcPr>
            <w:tcW w:w="2446" w:type="dxa"/>
          </w:tcPr>
          <w:p w14:paraId="7A555323" w14:textId="30EC4EA6"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Percent of work-related fatalities responded to in one workday</w:t>
            </w:r>
          </w:p>
        </w:tc>
        <w:tc>
          <w:tcPr>
            <w:tcW w:w="1188" w:type="dxa"/>
          </w:tcPr>
          <w:p w14:paraId="36635117" w14:textId="1FFB6A3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100%</w:t>
            </w:r>
          </w:p>
        </w:tc>
        <w:tc>
          <w:tcPr>
            <w:tcW w:w="1323" w:type="dxa"/>
          </w:tcPr>
          <w:p w14:paraId="1B2A9E13" w14:textId="5E13D692"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100%</w:t>
            </w:r>
          </w:p>
        </w:tc>
        <w:tc>
          <w:tcPr>
            <w:tcW w:w="4359" w:type="dxa"/>
          </w:tcPr>
          <w:p w14:paraId="4CFEF3A7" w14:textId="4C01958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fixed for all State Plans.</w:t>
            </w:r>
          </w:p>
        </w:tc>
      </w:tr>
      <w:tr w:rsidR="0052654E" w:rsidRPr="001C1E47" w14:paraId="2893D3CE"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10FE802E" w14:textId="4C0632A6"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11a</w:t>
            </w:r>
          </w:p>
        </w:tc>
        <w:tc>
          <w:tcPr>
            <w:tcW w:w="2446" w:type="dxa"/>
          </w:tcPr>
          <w:p w14:paraId="0E881318" w14:textId="243E24B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Average lapse time (safety)</w:t>
            </w:r>
          </w:p>
        </w:tc>
        <w:tc>
          <w:tcPr>
            <w:tcW w:w="1188" w:type="dxa"/>
          </w:tcPr>
          <w:p w14:paraId="155143E8" w14:textId="0BA0ABCB"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67.58</w:t>
            </w:r>
          </w:p>
        </w:tc>
        <w:tc>
          <w:tcPr>
            <w:tcW w:w="1323" w:type="dxa"/>
          </w:tcPr>
          <w:p w14:paraId="2DEB3754"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+/- 20% of 56.02</w:t>
            </w:r>
          </w:p>
          <w:p w14:paraId="4105E6C0" w14:textId="21CB8701"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1A7228CC" w14:textId="78B16EA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44.82 to 67.23for safety.</w:t>
            </w:r>
          </w:p>
        </w:tc>
      </w:tr>
      <w:tr w:rsidR="0052654E" w:rsidRPr="001C1E47" w14:paraId="71994532"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4A315A6E" w14:textId="1D3DA44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11b</w:t>
            </w:r>
          </w:p>
        </w:tc>
        <w:tc>
          <w:tcPr>
            <w:tcW w:w="2446" w:type="dxa"/>
          </w:tcPr>
          <w:p w14:paraId="62670A92" w14:textId="4E825D9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Average lapse time (health)</w:t>
            </w:r>
          </w:p>
        </w:tc>
        <w:tc>
          <w:tcPr>
            <w:tcW w:w="1188" w:type="dxa"/>
          </w:tcPr>
          <w:p w14:paraId="260D705D" w14:textId="12EB68E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87.19</w:t>
            </w:r>
          </w:p>
        </w:tc>
        <w:tc>
          <w:tcPr>
            <w:tcW w:w="1323" w:type="dxa"/>
          </w:tcPr>
          <w:p w14:paraId="6C2312D8"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+/- 20% of 67.21</w:t>
            </w:r>
          </w:p>
          <w:p w14:paraId="4447221B" w14:textId="52D875F5"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59" w:type="dxa"/>
          </w:tcPr>
          <w:p w14:paraId="77F448C9" w14:textId="6C7DAD7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53.77 to 80.65 for health.</w:t>
            </w:r>
          </w:p>
        </w:tc>
      </w:tr>
      <w:tr w:rsidR="0052654E" w:rsidRPr="001C1E47" w14:paraId="13BCA211"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20008ADF" w14:textId="6A2DA41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12</w:t>
            </w:r>
          </w:p>
        </w:tc>
        <w:tc>
          <w:tcPr>
            <w:tcW w:w="2446" w:type="dxa"/>
          </w:tcPr>
          <w:p w14:paraId="4FDC62A7" w14:textId="7B3CF868"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Percent penalty retained</w:t>
            </w:r>
          </w:p>
        </w:tc>
        <w:tc>
          <w:tcPr>
            <w:tcW w:w="1188" w:type="dxa"/>
          </w:tcPr>
          <w:p w14:paraId="54C1921C" w14:textId="012DA859"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76.67%</w:t>
            </w:r>
          </w:p>
        </w:tc>
        <w:tc>
          <w:tcPr>
            <w:tcW w:w="1323" w:type="dxa"/>
          </w:tcPr>
          <w:p w14:paraId="4C2B349D"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+/- 15% of</w:t>
            </w:r>
          </w:p>
          <w:p w14:paraId="5AD20280" w14:textId="308E35F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70.81%</w:t>
            </w:r>
          </w:p>
        </w:tc>
        <w:tc>
          <w:tcPr>
            <w:tcW w:w="4359" w:type="dxa"/>
          </w:tcPr>
          <w:p w14:paraId="45B6E003" w14:textId="08C5B08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based on a three-year national average.  The range of acceptable data not requiring further review is from 60.19% to 81.44%.</w:t>
            </w:r>
          </w:p>
        </w:tc>
      </w:tr>
      <w:tr w:rsidR="0052654E" w:rsidRPr="001C1E47" w14:paraId="2EAC34D6"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46A22AE3" w14:textId="67293F24"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13</w:t>
            </w:r>
          </w:p>
        </w:tc>
        <w:tc>
          <w:tcPr>
            <w:tcW w:w="2446" w:type="dxa"/>
          </w:tcPr>
          <w:p w14:paraId="56540F98" w14:textId="1CEC6363"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Percent of initial inspections with worker walk-around representation or worker interview</w:t>
            </w:r>
          </w:p>
        </w:tc>
        <w:tc>
          <w:tcPr>
            <w:tcW w:w="1188" w:type="dxa"/>
          </w:tcPr>
          <w:p w14:paraId="71E71ED8" w14:textId="234A7389"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100%</w:t>
            </w:r>
          </w:p>
        </w:tc>
        <w:tc>
          <w:tcPr>
            <w:tcW w:w="1323" w:type="dxa"/>
          </w:tcPr>
          <w:p w14:paraId="4A97427F" w14:textId="5E73FA7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100%</w:t>
            </w:r>
          </w:p>
        </w:tc>
        <w:tc>
          <w:tcPr>
            <w:tcW w:w="4359" w:type="dxa"/>
          </w:tcPr>
          <w:p w14:paraId="27DEF00F" w14:textId="75E141D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The further review level is fixed for all State Plans.</w:t>
            </w:r>
          </w:p>
        </w:tc>
      </w:tr>
      <w:tr w:rsidR="0052654E" w:rsidRPr="001C1E47" w14:paraId="0083664F"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1F73B0DD" w14:textId="62261C50"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14</w:t>
            </w:r>
          </w:p>
        </w:tc>
        <w:tc>
          <w:tcPr>
            <w:tcW w:w="2446" w:type="dxa"/>
          </w:tcPr>
          <w:p w14:paraId="3454CDD3" w14:textId="395A8C0C"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Percent of 11(c) investigations completed within 90 days</w:t>
            </w:r>
          </w:p>
        </w:tc>
        <w:tc>
          <w:tcPr>
            <w:tcW w:w="1188" w:type="dxa"/>
          </w:tcPr>
          <w:p w14:paraId="3468F2B1" w14:textId="7A9868A2"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N/A</w:t>
            </w:r>
          </w:p>
        </w:tc>
        <w:tc>
          <w:tcPr>
            <w:tcW w:w="1323" w:type="dxa"/>
          </w:tcPr>
          <w:p w14:paraId="39333E60" w14:textId="43F2F8B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N/A</w:t>
            </w:r>
          </w:p>
        </w:tc>
        <w:tc>
          <w:tcPr>
            <w:tcW w:w="4359" w:type="dxa"/>
          </w:tcPr>
          <w:p w14:paraId="7DECCD0D" w14:textId="71E58A9C"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F87A91">
              <w:rPr>
                <w:rFonts w:asciiTheme="minorHAnsi" w:eastAsia="PMingLiU" w:hAnsiTheme="minorHAnsi" w:cstheme="minorHAnsi"/>
              </w:rPr>
              <w:t>This measure is not being reported for FY 2024 due to the transition to the new SAMM measures starting in FY 2025.</w:t>
            </w:r>
          </w:p>
        </w:tc>
      </w:tr>
      <w:tr w:rsidR="0052654E" w:rsidRPr="001C1E47" w14:paraId="570F3912"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4BF89E78" w14:textId="379E1EA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15</w:t>
            </w:r>
          </w:p>
        </w:tc>
        <w:tc>
          <w:tcPr>
            <w:tcW w:w="2446" w:type="dxa"/>
          </w:tcPr>
          <w:p w14:paraId="1BE43D29" w14:textId="7FD0716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Percent of 11(c) complaints that are meritorious</w:t>
            </w:r>
          </w:p>
        </w:tc>
        <w:tc>
          <w:tcPr>
            <w:tcW w:w="1188" w:type="dxa"/>
          </w:tcPr>
          <w:p w14:paraId="1E0B0B7D" w14:textId="5B3CC45F"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N/A</w:t>
            </w:r>
          </w:p>
        </w:tc>
        <w:tc>
          <w:tcPr>
            <w:tcW w:w="1323" w:type="dxa"/>
          </w:tcPr>
          <w:p w14:paraId="147E9AB5" w14:textId="45465152"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N/A</w:t>
            </w:r>
          </w:p>
        </w:tc>
        <w:tc>
          <w:tcPr>
            <w:tcW w:w="4359" w:type="dxa"/>
          </w:tcPr>
          <w:p w14:paraId="5801C5D4" w14:textId="3085DC59"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F87A91">
              <w:rPr>
                <w:rFonts w:asciiTheme="minorHAnsi" w:eastAsia="PMingLiU" w:hAnsiTheme="minorHAnsi" w:cstheme="minorHAnsi"/>
              </w:rPr>
              <w:t>This measure is not being reported for FY 2024 due to the transition to the new SAMM measures starting in FY 2025.</w:t>
            </w:r>
          </w:p>
        </w:tc>
      </w:tr>
      <w:tr w:rsidR="0052654E" w:rsidRPr="001C1E47" w14:paraId="06EFF7B6"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7E0D4652" w14:textId="657C29D4"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16</w:t>
            </w:r>
          </w:p>
        </w:tc>
        <w:tc>
          <w:tcPr>
            <w:tcW w:w="2446" w:type="dxa"/>
          </w:tcPr>
          <w:p w14:paraId="5E4FAF60" w14:textId="0DE248D5"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Average number of calendar days to complete an 11(c) investigation</w:t>
            </w:r>
          </w:p>
        </w:tc>
        <w:tc>
          <w:tcPr>
            <w:tcW w:w="1188" w:type="dxa"/>
          </w:tcPr>
          <w:p w14:paraId="3207CBD2" w14:textId="35AA8457"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eastAsia="PMingLiU" w:hAnsiTheme="minorHAnsi" w:cstheme="minorHAnsi"/>
              </w:rPr>
              <w:t>N/A</w:t>
            </w:r>
          </w:p>
        </w:tc>
        <w:tc>
          <w:tcPr>
            <w:tcW w:w="1323" w:type="dxa"/>
            <w:shd w:val="clear" w:color="auto" w:fill="auto"/>
          </w:tcPr>
          <w:p w14:paraId="7022F7E0" w14:textId="69A3D75E"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N/A</w:t>
            </w:r>
          </w:p>
        </w:tc>
        <w:tc>
          <w:tcPr>
            <w:tcW w:w="4359" w:type="dxa"/>
          </w:tcPr>
          <w:p w14:paraId="088C3C3F" w14:textId="32309C12"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F87A91">
              <w:rPr>
                <w:rFonts w:asciiTheme="minorHAnsi" w:eastAsia="PMingLiU" w:hAnsiTheme="minorHAnsi" w:cstheme="minorHAnsi"/>
              </w:rPr>
              <w:t>This measure is not being reported for FY 2024 due to the transition to the new SAMM measures starting in FY 2025.</w:t>
            </w:r>
          </w:p>
        </w:tc>
      </w:tr>
      <w:tr w:rsidR="0052654E" w:rsidRPr="001C1E47" w14:paraId="464BCA80" w14:textId="77777777" w:rsidTr="0052654E">
        <w:tc>
          <w:tcPr>
            <w:cnfStyle w:val="001000000000" w:firstRow="0" w:lastRow="0" w:firstColumn="1" w:lastColumn="0" w:oddVBand="0" w:evenVBand="0" w:oddHBand="0" w:evenHBand="0" w:firstRowFirstColumn="0" w:firstRowLastColumn="0" w:lastRowFirstColumn="0" w:lastRowLastColumn="0"/>
            <w:tcW w:w="1034" w:type="dxa"/>
          </w:tcPr>
          <w:p w14:paraId="3EFEA4C9" w14:textId="6EFF25FA"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3560">
              <w:rPr>
                <w:rFonts w:eastAsia="PMingLiU" w:cs="Calibri"/>
              </w:rPr>
              <w:t>17</w:t>
            </w:r>
          </w:p>
        </w:tc>
        <w:tc>
          <w:tcPr>
            <w:tcW w:w="2446" w:type="dxa"/>
          </w:tcPr>
          <w:p w14:paraId="4A04782E" w14:textId="155C71D9"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563560">
              <w:rPr>
                <w:rFonts w:asciiTheme="minorHAnsi" w:hAnsiTheme="minorHAnsi" w:cstheme="minorHAnsi"/>
              </w:rPr>
              <w:t>Percent of enforcement presence</w:t>
            </w:r>
          </w:p>
        </w:tc>
        <w:tc>
          <w:tcPr>
            <w:tcW w:w="1188" w:type="dxa"/>
          </w:tcPr>
          <w:p w14:paraId="2883494A" w14:textId="087DEF58"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0.41</w:t>
            </w:r>
            <w:r w:rsidRPr="00563560">
              <w:rPr>
                <w:rFonts w:asciiTheme="minorHAnsi" w:hAnsiTheme="minorHAnsi" w:cstheme="minorHAnsi"/>
              </w:rPr>
              <w:t>%</w:t>
            </w:r>
          </w:p>
        </w:tc>
        <w:tc>
          <w:tcPr>
            <w:tcW w:w="1323" w:type="dxa"/>
          </w:tcPr>
          <w:p w14:paraId="40FB200B" w14:textId="77777777" w:rsidR="0052654E" w:rsidRPr="00563560" w:rsidRDefault="0052654E" w:rsidP="005265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3560">
              <w:rPr>
                <w:rFonts w:asciiTheme="minorHAnsi" w:hAnsiTheme="minorHAnsi" w:cstheme="minorHAnsi"/>
              </w:rPr>
              <w:t>+/- 25% of</w:t>
            </w:r>
          </w:p>
          <w:p w14:paraId="315D63EF" w14:textId="7D09181D"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p>
        </w:tc>
        <w:tc>
          <w:tcPr>
            <w:tcW w:w="4359" w:type="dxa"/>
          </w:tcPr>
          <w:p w14:paraId="66CFA076" w14:textId="4ED4EF3C" w:rsidR="0052654E" w:rsidRPr="001C1E47" w:rsidRDefault="0052654E" w:rsidP="0052654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3560">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0.75</w:t>
            </w:r>
            <w:r w:rsidRPr="00563560">
              <w:rPr>
                <w:rFonts w:asciiTheme="minorHAnsi" w:hAnsiTheme="minorHAnsi" w:cstheme="minorHAnsi"/>
              </w:rPr>
              <w:t xml:space="preserve">% to </w:t>
            </w:r>
            <w:r>
              <w:rPr>
                <w:rFonts w:asciiTheme="minorHAnsi" w:hAnsiTheme="minorHAnsi" w:cstheme="minorHAnsi"/>
              </w:rPr>
              <w:t>1.25</w:t>
            </w:r>
            <w:r w:rsidRPr="00563560">
              <w:rPr>
                <w:rFonts w:asciiTheme="minorHAnsi" w:hAnsiTheme="minorHAnsi" w:cstheme="minorHAnsi"/>
              </w:rPr>
              <w:t>%.</w:t>
            </w:r>
          </w:p>
        </w:tc>
      </w:tr>
      <w:bookmarkEnd w:id="50"/>
    </w:tbl>
    <w:p w14:paraId="723E33DA" w14:textId="77777777" w:rsidR="005128CD" w:rsidRPr="001C1E47" w:rsidRDefault="005128CD" w:rsidP="007A71AC">
      <w:pPr>
        <w:widowControl/>
        <w:autoSpaceDE/>
        <w:autoSpaceDN/>
        <w:adjustRightInd/>
        <w:rPr>
          <w:rFonts w:cs="Calibri"/>
          <w:b/>
          <w:color w:val="1F497D"/>
          <w:sz w:val="28"/>
          <w:szCs w:val="28"/>
        </w:rPr>
      </w:pP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4A00AD13" w14:textId="77777777" w:rsidR="000A134A" w:rsidRPr="001C1E47" w:rsidRDefault="000A134A" w:rsidP="007A71AC">
      <w:pPr>
        <w:widowControl/>
        <w:autoSpaceDE/>
        <w:autoSpaceDN/>
        <w:adjustRightInd/>
        <w:rPr>
          <w:rFonts w:cs="Calibri"/>
          <w: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22"/>
          <w:footerReference w:type="default" r:id="rId23"/>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24"/>
      <w:footerReference w:type="default" r:id="rId25"/>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36A3" w14:textId="77777777" w:rsidR="0004013F" w:rsidRDefault="0004013F" w:rsidP="00C872A0">
      <w:r>
        <w:separator/>
      </w:r>
    </w:p>
  </w:endnote>
  <w:endnote w:type="continuationSeparator" w:id="0">
    <w:p w14:paraId="0676B72E" w14:textId="77777777" w:rsidR="0004013F" w:rsidRDefault="0004013F"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940858"/>
      <w:docPartObj>
        <w:docPartGallery w:val="Page Numbers (Bottom of Page)"/>
        <w:docPartUnique/>
      </w:docPartObj>
    </w:sdtPr>
    <w:sdtEndPr>
      <w:rPr>
        <w:noProof/>
      </w:rPr>
    </w:sdtEndPr>
    <w:sdtContent>
      <w:p w14:paraId="3A5EE581" w14:textId="77777777" w:rsidR="008F5A8F" w:rsidRDefault="008F5A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9756C9" w14:textId="77777777" w:rsidR="008F5A8F" w:rsidRDefault="008F5A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5C38" w14:textId="77777777" w:rsidR="008F5A8F" w:rsidRDefault="008F5A8F">
    <w:pPr>
      <w:pStyle w:val="Footer"/>
      <w:jc w:val="center"/>
    </w:pPr>
  </w:p>
  <w:p w14:paraId="5DC97223" w14:textId="77777777" w:rsidR="008F5A8F" w:rsidRDefault="008F5A8F"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8F5A8F" w:rsidRDefault="008F5A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8F5A8F" w:rsidRDefault="008F5A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8F5A8F" w:rsidRDefault="008F5A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8F5A8F" w:rsidRDefault="008F5A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8F5A8F" w:rsidRDefault="008F5A8F">
    <w:pPr>
      <w:pStyle w:val="Footer"/>
      <w:jc w:val="center"/>
    </w:pPr>
    <w:r>
      <w:t>B-1</w:t>
    </w:r>
  </w:p>
  <w:p w14:paraId="1056AAF8" w14:textId="77777777" w:rsidR="008F5A8F" w:rsidRDefault="008F5A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8F5A8F" w:rsidRDefault="008F5A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8F5A8F" w:rsidRDefault="008F5A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55C41B5C" w:rsidR="008F5A8F" w:rsidRDefault="008F5A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8F5A8F" w:rsidRPr="00E20610" w:rsidRDefault="008F5A8F"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8F5A8F" w:rsidRPr="000E07E7" w:rsidRDefault="008F5A8F"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0AE4" w14:textId="77777777" w:rsidR="0004013F" w:rsidRDefault="0004013F" w:rsidP="00C872A0">
      <w:r>
        <w:separator/>
      </w:r>
    </w:p>
  </w:footnote>
  <w:footnote w:type="continuationSeparator" w:id="0">
    <w:p w14:paraId="68477A4E" w14:textId="77777777" w:rsidR="0004013F" w:rsidRDefault="0004013F"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8F5A8F" w:rsidRPr="00B6741C" w:rsidRDefault="008F5A8F"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8F5A8F" w:rsidRPr="00B6741C" w:rsidRDefault="008F5A8F"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6DDC3988" w:rsidR="008F5A8F" w:rsidRPr="00283FF9" w:rsidRDefault="008F5A8F" w:rsidP="00476C08">
    <w:pPr>
      <w:pStyle w:val="Heading2"/>
    </w:pPr>
    <w:r w:rsidRPr="00283FF9">
      <w:t xml:space="preserve">Appendix B – </w:t>
    </w:r>
    <w:r>
      <w:t>Observation</w:t>
    </w:r>
    <w:r w:rsidRPr="00283FF9">
      <w:t>s and Federal Monitoring Plans</w:t>
    </w:r>
  </w:p>
  <w:p w14:paraId="5EEDD947" w14:textId="7B32B4C1" w:rsidR="008F5A8F" w:rsidRDefault="008F5A8F" w:rsidP="000A134A">
    <w:pPr>
      <w:jc w:val="center"/>
    </w:pPr>
    <w:r>
      <w:t>FY 2022 [</w:t>
    </w:r>
    <w:r>
      <w:rPr>
        <w:i/>
      </w:rPr>
      <w:t>State Plan Name</w:t>
    </w:r>
    <w:r w:rsidRPr="001056A7">
      <w:t>]</w:t>
    </w:r>
    <w:r w:rsidRPr="003E7A6E">
      <w:t xml:space="preserve"> </w:t>
    </w:r>
    <w:r>
      <w:t>Follow-up FAME Report</w:t>
    </w:r>
  </w:p>
  <w:p w14:paraId="65B55A33" w14:textId="77777777" w:rsidR="008F5A8F" w:rsidRDefault="008F5A8F" w:rsidP="000A134A">
    <w:pPr>
      <w:jc w:val="center"/>
    </w:pPr>
  </w:p>
  <w:p w14:paraId="79523575" w14:textId="77777777" w:rsidR="008F5A8F" w:rsidRDefault="008F5A8F"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8F5A8F" w:rsidRDefault="008F5A8F" w:rsidP="009A2ED6">
    <w:pPr>
      <w:pStyle w:val="Header"/>
      <w:jc w:val="center"/>
      <w:rPr>
        <w:b/>
      </w:rPr>
    </w:pPr>
  </w:p>
  <w:p w14:paraId="2DCFF2A3" w14:textId="77777777" w:rsidR="008F5A8F" w:rsidRPr="009A2ED6" w:rsidRDefault="008F5A8F" w:rsidP="009A2ED6">
    <w:pPr>
      <w:pStyle w:val="Header"/>
      <w:jc w:val="center"/>
      <w:rPr>
        <w:b/>
      </w:rPr>
    </w:pPr>
  </w:p>
  <w:p w14:paraId="1D9C2B96" w14:textId="77777777" w:rsidR="008F5A8F" w:rsidRPr="000767C0" w:rsidRDefault="008F5A8F"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8F5A8F" w:rsidRPr="006F2309" w:rsidRDefault="008F5A8F"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8F5A8F" w:rsidRPr="00D2585B" w:rsidRDefault="008F5A8F"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8F5A8F" w:rsidRPr="000767C0" w:rsidRDefault="008F5A8F"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5DF35FF"/>
    <w:multiLevelType w:val="hybridMultilevel"/>
    <w:tmpl w:val="1F2E7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345405202">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514568799">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67797267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537427853">
    <w:abstractNumId w:val="31"/>
  </w:num>
  <w:num w:numId="5" w16cid:durableId="1581133424">
    <w:abstractNumId w:val="29"/>
  </w:num>
  <w:num w:numId="6" w16cid:durableId="1667857362">
    <w:abstractNumId w:val="26"/>
  </w:num>
  <w:num w:numId="7" w16cid:durableId="2028285209">
    <w:abstractNumId w:val="27"/>
  </w:num>
  <w:num w:numId="8" w16cid:durableId="1187018995">
    <w:abstractNumId w:val="30"/>
  </w:num>
  <w:num w:numId="9" w16cid:durableId="1662196766">
    <w:abstractNumId w:val="28"/>
  </w:num>
  <w:num w:numId="10" w16cid:durableId="1199204056">
    <w:abstractNumId w:val="32"/>
  </w:num>
  <w:num w:numId="11" w16cid:durableId="1739664255">
    <w:abstractNumId w:val="23"/>
  </w:num>
  <w:num w:numId="12" w16cid:durableId="1841117387">
    <w:abstractNumId w:val="25"/>
  </w:num>
  <w:num w:numId="13" w16cid:durableId="145918601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805"/>
    <w:rsid w:val="00002B73"/>
    <w:rsid w:val="000036AB"/>
    <w:rsid w:val="00004200"/>
    <w:rsid w:val="00007781"/>
    <w:rsid w:val="000116C0"/>
    <w:rsid w:val="00013163"/>
    <w:rsid w:val="00014C7A"/>
    <w:rsid w:val="00014DEC"/>
    <w:rsid w:val="00016214"/>
    <w:rsid w:val="00016803"/>
    <w:rsid w:val="0001706D"/>
    <w:rsid w:val="00017349"/>
    <w:rsid w:val="00021274"/>
    <w:rsid w:val="000217D1"/>
    <w:rsid w:val="00021FE0"/>
    <w:rsid w:val="00022BEE"/>
    <w:rsid w:val="00022E7F"/>
    <w:rsid w:val="00023E67"/>
    <w:rsid w:val="000246A6"/>
    <w:rsid w:val="000248F0"/>
    <w:rsid w:val="0002572C"/>
    <w:rsid w:val="00025F57"/>
    <w:rsid w:val="00026D63"/>
    <w:rsid w:val="00027093"/>
    <w:rsid w:val="0003442F"/>
    <w:rsid w:val="00034A4E"/>
    <w:rsid w:val="00035083"/>
    <w:rsid w:val="0003567C"/>
    <w:rsid w:val="00036865"/>
    <w:rsid w:val="00036BF8"/>
    <w:rsid w:val="00036EB4"/>
    <w:rsid w:val="00036F0D"/>
    <w:rsid w:val="00037F48"/>
    <w:rsid w:val="0004013F"/>
    <w:rsid w:val="000404ED"/>
    <w:rsid w:val="00042327"/>
    <w:rsid w:val="00043515"/>
    <w:rsid w:val="00044436"/>
    <w:rsid w:val="000447C9"/>
    <w:rsid w:val="000449F8"/>
    <w:rsid w:val="00045479"/>
    <w:rsid w:val="00045BD6"/>
    <w:rsid w:val="00045C51"/>
    <w:rsid w:val="00046151"/>
    <w:rsid w:val="000468C6"/>
    <w:rsid w:val="00046BEE"/>
    <w:rsid w:val="00046DBA"/>
    <w:rsid w:val="00046E13"/>
    <w:rsid w:val="00046EB9"/>
    <w:rsid w:val="000470EE"/>
    <w:rsid w:val="0005007B"/>
    <w:rsid w:val="00050FEB"/>
    <w:rsid w:val="000517FA"/>
    <w:rsid w:val="00052B36"/>
    <w:rsid w:val="00053951"/>
    <w:rsid w:val="00053A2C"/>
    <w:rsid w:val="00054416"/>
    <w:rsid w:val="00054900"/>
    <w:rsid w:val="00055243"/>
    <w:rsid w:val="0005533E"/>
    <w:rsid w:val="00055B40"/>
    <w:rsid w:val="00055F2C"/>
    <w:rsid w:val="00057840"/>
    <w:rsid w:val="00060D39"/>
    <w:rsid w:val="00061875"/>
    <w:rsid w:val="000625FB"/>
    <w:rsid w:val="0006398D"/>
    <w:rsid w:val="00064DBF"/>
    <w:rsid w:val="00065AB2"/>
    <w:rsid w:val="0006611A"/>
    <w:rsid w:val="00066A7B"/>
    <w:rsid w:val="00066C52"/>
    <w:rsid w:val="000701E4"/>
    <w:rsid w:val="0007073F"/>
    <w:rsid w:val="0007157F"/>
    <w:rsid w:val="00071E71"/>
    <w:rsid w:val="000724F1"/>
    <w:rsid w:val="0007306B"/>
    <w:rsid w:val="0007364A"/>
    <w:rsid w:val="000743D1"/>
    <w:rsid w:val="00074876"/>
    <w:rsid w:val="000760CB"/>
    <w:rsid w:val="00076601"/>
    <w:rsid w:val="000767C0"/>
    <w:rsid w:val="00077410"/>
    <w:rsid w:val="00083A76"/>
    <w:rsid w:val="00085230"/>
    <w:rsid w:val="000855C8"/>
    <w:rsid w:val="0008602A"/>
    <w:rsid w:val="00086F2F"/>
    <w:rsid w:val="0008759E"/>
    <w:rsid w:val="00087B24"/>
    <w:rsid w:val="00087EE9"/>
    <w:rsid w:val="00090155"/>
    <w:rsid w:val="000902ED"/>
    <w:rsid w:val="0009134A"/>
    <w:rsid w:val="000914EA"/>
    <w:rsid w:val="00091ABD"/>
    <w:rsid w:val="00091AE2"/>
    <w:rsid w:val="00091B54"/>
    <w:rsid w:val="00091F0A"/>
    <w:rsid w:val="000923E0"/>
    <w:rsid w:val="00092555"/>
    <w:rsid w:val="000929B5"/>
    <w:rsid w:val="00092F1B"/>
    <w:rsid w:val="00093239"/>
    <w:rsid w:val="0009535D"/>
    <w:rsid w:val="0009583F"/>
    <w:rsid w:val="00096650"/>
    <w:rsid w:val="000969E2"/>
    <w:rsid w:val="000A0802"/>
    <w:rsid w:val="000A0F3B"/>
    <w:rsid w:val="000A134A"/>
    <w:rsid w:val="000A1C41"/>
    <w:rsid w:val="000A1CE9"/>
    <w:rsid w:val="000A2DE7"/>
    <w:rsid w:val="000A3878"/>
    <w:rsid w:val="000A40EC"/>
    <w:rsid w:val="000A5595"/>
    <w:rsid w:val="000A55DB"/>
    <w:rsid w:val="000A658C"/>
    <w:rsid w:val="000A7279"/>
    <w:rsid w:val="000A7A05"/>
    <w:rsid w:val="000B07D7"/>
    <w:rsid w:val="000B1A5B"/>
    <w:rsid w:val="000B1ECC"/>
    <w:rsid w:val="000B22E4"/>
    <w:rsid w:val="000B3A37"/>
    <w:rsid w:val="000B440B"/>
    <w:rsid w:val="000B4852"/>
    <w:rsid w:val="000B6316"/>
    <w:rsid w:val="000B6A8A"/>
    <w:rsid w:val="000C04C6"/>
    <w:rsid w:val="000C0E15"/>
    <w:rsid w:val="000C0E53"/>
    <w:rsid w:val="000C12C6"/>
    <w:rsid w:val="000C1882"/>
    <w:rsid w:val="000C1ED8"/>
    <w:rsid w:val="000C295F"/>
    <w:rsid w:val="000C2E74"/>
    <w:rsid w:val="000C368E"/>
    <w:rsid w:val="000C38BD"/>
    <w:rsid w:val="000C4141"/>
    <w:rsid w:val="000C43DE"/>
    <w:rsid w:val="000C46E4"/>
    <w:rsid w:val="000C5C82"/>
    <w:rsid w:val="000C7C9A"/>
    <w:rsid w:val="000D343F"/>
    <w:rsid w:val="000D4560"/>
    <w:rsid w:val="000D4A64"/>
    <w:rsid w:val="000D750A"/>
    <w:rsid w:val="000D7AAD"/>
    <w:rsid w:val="000E0408"/>
    <w:rsid w:val="000E07E7"/>
    <w:rsid w:val="000E0DD1"/>
    <w:rsid w:val="000E152E"/>
    <w:rsid w:val="000E1AA2"/>
    <w:rsid w:val="000E20A2"/>
    <w:rsid w:val="000E46F3"/>
    <w:rsid w:val="000E58BC"/>
    <w:rsid w:val="000E5C64"/>
    <w:rsid w:val="000E6466"/>
    <w:rsid w:val="000E6C33"/>
    <w:rsid w:val="000E7F42"/>
    <w:rsid w:val="000F04FF"/>
    <w:rsid w:val="000F1D68"/>
    <w:rsid w:val="000F1E49"/>
    <w:rsid w:val="000F46ED"/>
    <w:rsid w:val="000F4DA3"/>
    <w:rsid w:val="000F53F3"/>
    <w:rsid w:val="000F5631"/>
    <w:rsid w:val="000F5A36"/>
    <w:rsid w:val="000F5A3A"/>
    <w:rsid w:val="000F63C1"/>
    <w:rsid w:val="000F6A5C"/>
    <w:rsid w:val="000F74DE"/>
    <w:rsid w:val="000F7ECC"/>
    <w:rsid w:val="00101D2C"/>
    <w:rsid w:val="001029D3"/>
    <w:rsid w:val="001039FA"/>
    <w:rsid w:val="00103EE3"/>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5CCF"/>
    <w:rsid w:val="00126880"/>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4F0"/>
    <w:rsid w:val="00144A53"/>
    <w:rsid w:val="00145BC1"/>
    <w:rsid w:val="001469F6"/>
    <w:rsid w:val="001471B8"/>
    <w:rsid w:val="00147B01"/>
    <w:rsid w:val="00147F8B"/>
    <w:rsid w:val="00150F03"/>
    <w:rsid w:val="001515BB"/>
    <w:rsid w:val="00151CFD"/>
    <w:rsid w:val="00151F3B"/>
    <w:rsid w:val="00152207"/>
    <w:rsid w:val="00152D5E"/>
    <w:rsid w:val="00153F79"/>
    <w:rsid w:val="00155591"/>
    <w:rsid w:val="00156402"/>
    <w:rsid w:val="00156CD6"/>
    <w:rsid w:val="00156E0C"/>
    <w:rsid w:val="00157520"/>
    <w:rsid w:val="00160815"/>
    <w:rsid w:val="00161740"/>
    <w:rsid w:val="0016336D"/>
    <w:rsid w:val="00163E90"/>
    <w:rsid w:val="00172085"/>
    <w:rsid w:val="00173853"/>
    <w:rsid w:val="0017552C"/>
    <w:rsid w:val="00176DF8"/>
    <w:rsid w:val="00177A1E"/>
    <w:rsid w:val="00177D70"/>
    <w:rsid w:val="00182B5C"/>
    <w:rsid w:val="00182CE0"/>
    <w:rsid w:val="001843E2"/>
    <w:rsid w:val="00184E43"/>
    <w:rsid w:val="00185C7D"/>
    <w:rsid w:val="00186063"/>
    <w:rsid w:val="001861B8"/>
    <w:rsid w:val="00187065"/>
    <w:rsid w:val="00187182"/>
    <w:rsid w:val="001875F4"/>
    <w:rsid w:val="001902FE"/>
    <w:rsid w:val="001916DE"/>
    <w:rsid w:val="001919B8"/>
    <w:rsid w:val="001927A4"/>
    <w:rsid w:val="00192881"/>
    <w:rsid w:val="00192C14"/>
    <w:rsid w:val="00193E53"/>
    <w:rsid w:val="001941DE"/>
    <w:rsid w:val="00195153"/>
    <w:rsid w:val="001958C8"/>
    <w:rsid w:val="001974AE"/>
    <w:rsid w:val="001A2967"/>
    <w:rsid w:val="001A335E"/>
    <w:rsid w:val="001A3671"/>
    <w:rsid w:val="001A3B77"/>
    <w:rsid w:val="001A5BF1"/>
    <w:rsid w:val="001A6B79"/>
    <w:rsid w:val="001A7BB9"/>
    <w:rsid w:val="001A7F60"/>
    <w:rsid w:val="001B0219"/>
    <w:rsid w:val="001B02D7"/>
    <w:rsid w:val="001B0632"/>
    <w:rsid w:val="001B0AF1"/>
    <w:rsid w:val="001B160F"/>
    <w:rsid w:val="001B1E72"/>
    <w:rsid w:val="001B284A"/>
    <w:rsid w:val="001B346B"/>
    <w:rsid w:val="001B4133"/>
    <w:rsid w:val="001B6DA7"/>
    <w:rsid w:val="001B77A2"/>
    <w:rsid w:val="001C154D"/>
    <w:rsid w:val="001C1E47"/>
    <w:rsid w:val="001C2B11"/>
    <w:rsid w:val="001C3276"/>
    <w:rsid w:val="001C44E8"/>
    <w:rsid w:val="001C560E"/>
    <w:rsid w:val="001C58C2"/>
    <w:rsid w:val="001C620B"/>
    <w:rsid w:val="001D1819"/>
    <w:rsid w:val="001D1A16"/>
    <w:rsid w:val="001D2778"/>
    <w:rsid w:val="001D6530"/>
    <w:rsid w:val="001D681F"/>
    <w:rsid w:val="001D6D59"/>
    <w:rsid w:val="001D6E5F"/>
    <w:rsid w:val="001D7428"/>
    <w:rsid w:val="001D7613"/>
    <w:rsid w:val="001E0801"/>
    <w:rsid w:val="001E0EFF"/>
    <w:rsid w:val="001E1542"/>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8CC"/>
    <w:rsid w:val="0020506D"/>
    <w:rsid w:val="00205391"/>
    <w:rsid w:val="00205A99"/>
    <w:rsid w:val="00205B95"/>
    <w:rsid w:val="00205F2C"/>
    <w:rsid w:val="0020733F"/>
    <w:rsid w:val="00207B94"/>
    <w:rsid w:val="00210157"/>
    <w:rsid w:val="00210E15"/>
    <w:rsid w:val="00211626"/>
    <w:rsid w:val="00211FED"/>
    <w:rsid w:val="0021277A"/>
    <w:rsid w:val="00212BC7"/>
    <w:rsid w:val="0021380C"/>
    <w:rsid w:val="00213FCA"/>
    <w:rsid w:val="00216621"/>
    <w:rsid w:val="00216B0E"/>
    <w:rsid w:val="00217433"/>
    <w:rsid w:val="00217437"/>
    <w:rsid w:val="0022017B"/>
    <w:rsid w:val="00222350"/>
    <w:rsid w:val="00223062"/>
    <w:rsid w:val="002231D3"/>
    <w:rsid w:val="002235F3"/>
    <w:rsid w:val="00223B1E"/>
    <w:rsid w:val="002247E7"/>
    <w:rsid w:val="0022537C"/>
    <w:rsid w:val="0022685E"/>
    <w:rsid w:val="00227868"/>
    <w:rsid w:val="00230915"/>
    <w:rsid w:val="00230D53"/>
    <w:rsid w:val="0023191B"/>
    <w:rsid w:val="002337B2"/>
    <w:rsid w:val="00233C64"/>
    <w:rsid w:val="00235DCD"/>
    <w:rsid w:val="00236320"/>
    <w:rsid w:val="002377D2"/>
    <w:rsid w:val="002404BA"/>
    <w:rsid w:val="0024190E"/>
    <w:rsid w:val="002427F7"/>
    <w:rsid w:val="00243015"/>
    <w:rsid w:val="0024338F"/>
    <w:rsid w:val="002441C0"/>
    <w:rsid w:val="0024463F"/>
    <w:rsid w:val="002511A8"/>
    <w:rsid w:val="002511E9"/>
    <w:rsid w:val="002512E8"/>
    <w:rsid w:val="00251FA2"/>
    <w:rsid w:val="002523FB"/>
    <w:rsid w:val="002529E8"/>
    <w:rsid w:val="00253249"/>
    <w:rsid w:val="002536CB"/>
    <w:rsid w:val="0025526A"/>
    <w:rsid w:val="00255EA4"/>
    <w:rsid w:val="002575E1"/>
    <w:rsid w:val="00260A89"/>
    <w:rsid w:val="00260C9F"/>
    <w:rsid w:val="00261A11"/>
    <w:rsid w:val="00262382"/>
    <w:rsid w:val="00262A51"/>
    <w:rsid w:val="00262DDC"/>
    <w:rsid w:val="002648FC"/>
    <w:rsid w:val="00265778"/>
    <w:rsid w:val="002658D0"/>
    <w:rsid w:val="0026686B"/>
    <w:rsid w:val="00267338"/>
    <w:rsid w:val="002679E5"/>
    <w:rsid w:val="00270695"/>
    <w:rsid w:val="002707B8"/>
    <w:rsid w:val="0027084D"/>
    <w:rsid w:val="00270E6A"/>
    <w:rsid w:val="002725BC"/>
    <w:rsid w:val="002731DE"/>
    <w:rsid w:val="002735F9"/>
    <w:rsid w:val="00273CD1"/>
    <w:rsid w:val="00274463"/>
    <w:rsid w:val="0027502F"/>
    <w:rsid w:val="00276175"/>
    <w:rsid w:val="00277C24"/>
    <w:rsid w:val="002808E1"/>
    <w:rsid w:val="0028166F"/>
    <w:rsid w:val="00281733"/>
    <w:rsid w:val="0028174D"/>
    <w:rsid w:val="00281A30"/>
    <w:rsid w:val="002823D9"/>
    <w:rsid w:val="002831C6"/>
    <w:rsid w:val="00283FF9"/>
    <w:rsid w:val="00290B29"/>
    <w:rsid w:val="00292313"/>
    <w:rsid w:val="002938C8"/>
    <w:rsid w:val="00294168"/>
    <w:rsid w:val="00294245"/>
    <w:rsid w:val="0029485A"/>
    <w:rsid w:val="002948AE"/>
    <w:rsid w:val="00294FD0"/>
    <w:rsid w:val="002954DC"/>
    <w:rsid w:val="0029647F"/>
    <w:rsid w:val="002966F6"/>
    <w:rsid w:val="00296B1E"/>
    <w:rsid w:val="00297ABC"/>
    <w:rsid w:val="002A2421"/>
    <w:rsid w:val="002A39F7"/>
    <w:rsid w:val="002A40A1"/>
    <w:rsid w:val="002A4594"/>
    <w:rsid w:val="002A4934"/>
    <w:rsid w:val="002A50A7"/>
    <w:rsid w:val="002A65C4"/>
    <w:rsid w:val="002A6CAA"/>
    <w:rsid w:val="002A6EA8"/>
    <w:rsid w:val="002B020A"/>
    <w:rsid w:val="002B228C"/>
    <w:rsid w:val="002B334F"/>
    <w:rsid w:val="002B33AB"/>
    <w:rsid w:val="002B3506"/>
    <w:rsid w:val="002B3E37"/>
    <w:rsid w:val="002B4100"/>
    <w:rsid w:val="002B4250"/>
    <w:rsid w:val="002B429D"/>
    <w:rsid w:val="002B43F3"/>
    <w:rsid w:val="002B4830"/>
    <w:rsid w:val="002B4F49"/>
    <w:rsid w:val="002B63FA"/>
    <w:rsid w:val="002B7D36"/>
    <w:rsid w:val="002C1E78"/>
    <w:rsid w:val="002C21A1"/>
    <w:rsid w:val="002C4C80"/>
    <w:rsid w:val="002C4E8C"/>
    <w:rsid w:val="002C65D1"/>
    <w:rsid w:val="002D0261"/>
    <w:rsid w:val="002D1D1E"/>
    <w:rsid w:val="002D473A"/>
    <w:rsid w:val="002D4F37"/>
    <w:rsid w:val="002D54B7"/>
    <w:rsid w:val="002D61CE"/>
    <w:rsid w:val="002D693D"/>
    <w:rsid w:val="002D6E03"/>
    <w:rsid w:val="002D7D41"/>
    <w:rsid w:val="002E030B"/>
    <w:rsid w:val="002E211F"/>
    <w:rsid w:val="002E397D"/>
    <w:rsid w:val="002E3CDE"/>
    <w:rsid w:val="002E43B7"/>
    <w:rsid w:val="002E4405"/>
    <w:rsid w:val="002E4FDC"/>
    <w:rsid w:val="002E50F9"/>
    <w:rsid w:val="002E516E"/>
    <w:rsid w:val="002E5F0C"/>
    <w:rsid w:val="002E6386"/>
    <w:rsid w:val="002E69A9"/>
    <w:rsid w:val="002E6E73"/>
    <w:rsid w:val="002E799C"/>
    <w:rsid w:val="002E7F23"/>
    <w:rsid w:val="002F140C"/>
    <w:rsid w:val="002F2F24"/>
    <w:rsid w:val="002F313C"/>
    <w:rsid w:val="002F4FA0"/>
    <w:rsid w:val="002F5F07"/>
    <w:rsid w:val="002F78C9"/>
    <w:rsid w:val="002F7F47"/>
    <w:rsid w:val="0030105C"/>
    <w:rsid w:val="00302EDA"/>
    <w:rsid w:val="00304846"/>
    <w:rsid w:val="00304930"/>
    <w:rsid w:val="0030523E"/>
    <w:rsid w:val="00306137"/>
    <w:rsid w:val="003112B9"/>
    <w:rsid w:val="00312D97"/>
    <w:rsid w:val="00312FDE"/>
    <w:rsid w:val="0031493F"/>
    <w:rsid w:val="00315E58"/>
    <w:rsid w:val="003161DE"/>
    <w:rsid w:val="00316C94"/>
    <w:rsid w:val="00320A32"/>
    <w:rsid w:val="00322518"/>
    <w:rsid w:val="00322C51"/>
    <w:rsid w:val="003235C8"/>
    <w:rsid w:val="003249AC"/>
    <w:rsid w:val="0032597C"/>
    <w:rsid w:val="0032664D"/>
    <w:rsid w:val="003276DD"/>
    <w:rsid w:val="00327926"/>
    <w:rsid w:val="00327E12"/>
    <w:rsid w:val="003306BF"/>
    <w:rsid w:val="00330F6C"/>
    <w:rsid w:val="00331F49"/>
    <w:rsid w:val="00334155"/>
    <w:rsid w:val="0033492C"/>
    <w:rsid w:val="0033567A"/>
    <w:rsid w:val="00336613"/>
    <w:rsid w:val="00336FF6"/>
    <w:rsid w:val="0033715B"/>
    <w:rsid w:val="00337932"/>
    <w:rsid w:val="003400CE"/>
    <w:rsid w:val="00340ED2"/>
    <w:rsid w:val="00341DD1"/>
    <w:rsid w:val="00343604"/>
    <w:rsid w:val="00343F69"/>
    <w:rsid w:val="00344186"/>
    <w:rsid w:val="00344D3F"/>
    <w:rsid w:val="0034504D"/>
    <w:rsid w:val="00345174"/>
    <w:rsid w:val="0034562A"/>
    <w:rsid w:val="003478A8"/>
    <w:rsid w:val="00351ABE"/>
    <w:rsid w:val="00351DAD"/>
    <w:rsid w:val="00351E74"/>
    <w:rsid w:val="00352455"/>
    <w:rsid w:val="0035480E"/>
    <w:rsid w:val="0035483B"/>
    <w:rsid w:val="0035620E"/>
    <w:rsid w:val="0035765D"/>
    <w:rsid w:val="0036069D"/>
    <w:rsid w:val="00360CDE"/>
    <w:rsid w:val="003625AF"/>
    <w:rsid w:val="00363176"/>
    <w:rsid w:val="00363AF6"/>
    <w:rsid w:val="0036420B"/>
    <w:rsid w:val="00366FCA"/>
    <w:rsid w:val="003675BA"/>
    <w:rsid w:val="00371016"/>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3A3B"/>
    <w:rsid w:val="00384D3F"/>
    <w:rsid w:val="003861AB"/>
    <w:rsid w:val="0038622A"/>
    <w:rsid w:val="00386A92"/>
    <w:rsid w:val="00387B03"/>
    <w:rsid w:val="00387C8A"/>
    <w:rsid w:val="0039036E"/>
    <w:rsid w:val="00391D6F"/>
    <w:rsid w:val="00392C0A"/>
    <w:rsid w:val="0039497C"/>
    <w:rsid w:val="00395A18"/>
    <w:rsid w:val="00395D36"/>
    <w:rsid w:val="0039632A"/>
    <w:rsid w:val="00396964"/>
    <w:rsid w:val="00396CFB"/>
    <w:rsid w:val="003A15AE"/>
    <w:rsid w:val="003A1E5E"/>
    <w:rsid w:val="003A1F58"/>
    <w:rsid w:val="003A20DA"/>
    <w:rsid w:val="003A2119"/>
    <w:rsid w:val="003A4F3E"/>
    <w:rsid w:val="003A53CD"/>
    <w:rsid w:val="003A6DB0"/>
    <w:rsid w:val="003A79DB"/>
    <w:rsid w:val="003B022E"/>
    <w:rsid w:val="003B2977"/>
    <w:rsid w:val="003B3314"/>
    <w:rsid w:val="003B39BA"/>
    <w:rsid w:val="003B3D85"/>
    <w:rsid w:val="003B3DD0"/>
    <w:rsid w:val="003B572B"/>
    <w:rsid w:val="003B5B99"/>
    <w:rsid w:val="003B7931"/>
    <w:rsid w:val="003C24E4"/>
    <w:rsid w:val="003C25AC"/>
    <w:rsid w:val="003C3292"/>
    <w:rsid w:val="003C45C1"/>
    <w:rsid w:val="003C553A"/>
    <w:rsid w:val="003C5C8B"/>
    <w:rsid w:val="003C664A"/>
    <w:rsid w:val="003C70C3"/>
    <w:rsid w:val="003D0C21"/>
    <w:rsid w:val="003D248B"/>
    <w:rsid w:val="003D2F9B"/>
    <w:rsid w:val="003D4587"/>
    <w:rsid w:val="003D4ED4"/>
    <w:rsid w:val="003D53B8"/>
    <w:rsid w:val="003D5D7B"/>
    <w:rsid w:val="003D6D33"/>
    <w:rsid w:val="003D7117"/>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6C61"/>
    <w:rsid w:val="003F7844"/>
    <w:rsid w:val="003F78C1"/>
    <w:rsid w:val="003F7A1E"/>
    <w:rsid w:val="004007AC"/>
    <w:rsid w:val="00401AD3"/>
    <w:rsid w:val="00401DF0"/>
    <w:rsid w:val="0040227E"/>
    <w:rsid w:val="00403973"/>
    <w:rsid w:val="00403ADC"/>
    <w:rsid w:val="0040424A"/>
    <w:rsid w:val="00406F24"/>
    <w:rsid w:val="004103CD"/>
    <w:rsid w:val="00410A18"/>
    <w:rsid w:val="00410CBE"/>
    <w:rsid w:val="004119E8"/>
    <w:rsid w:val="00411E44"/>
    <w:rsid w:val="004134D7"/>
    <w:rsid w:val="004138A5"/>
    <w:rsid w:val="00414885"/>
    <w:rsid w:val="004148C0"/>
    <w:rsid w:val="00414F98"/>
    <w:rsid w:val="00414FD7"/>
    <w:rsid w:val="0041560D"/>
    <w:rsid w:val="004158E0"/>
    <w:rsid w:val="00416112"/>
    <w:rsid w:val="00422070"/>
    <w:rsid w:val="00423066"/>
    <w:rsid w:val="0042395F"/>
    <w:rsid w:val="0042568D"/>
    <w:rsid w:val="0042591F"/>
    <w:rsid w:val="00425EE1"/>
    <w:rsid w:val="00426918"/>
    <w:rsid w:val="0042694A"/>
    <w:rsid w:val="004276D5"/>
    <w:rsid w:val="00430741"/>
    <w:rsid w:val="00431115"/>
    <w:rsid w:val="00431F6C"/>
    <w:rsid w:val="00433E1A"/>
    <w:rsid w:val="00435253"/>
    <w:rsid w:val="004359BB"/>
    <w:rsid w:val="0044042E"/>
    <w:rsid w:val="00440DF1"/>
    <w:rsid w:val="004419F6"/>
    <w:rsid w:val="00443054"/>
    <w:rsid w:val="00443D46"/>
    <w:rsid w:val="00446455"/>
    <w:rsid w:val="0045049B"/>
    <w:rsid w:val="00450C7B"/>
    <w:rsid w:val="00451441"/>
    <w:rsid w:val="00451D3D"/>
    <w:rsid w:val="00451DA6"/>
    <w:rsid w:val="00454277"/>
    <w:rsid w:val="00454FE1"/>
    <w:rsid w:val="00456119"/>
    <w:rsid w:val="00456A58"/>
    <w:rsid w:val="00456AB3"/>
    <w:rsid w:val="00456C45"/>
    <w:rsid w:val="00457149"/>
    <w:rsid w:val="0046047E"/>
    <w:rsid w:val="004608A5"/>
    <w:rsid w:val="00461412"/>
    <w:rsid w:val="00464590"/>
    <w:rsid w:val="00464C75"/>
    <w:rsid w:val="004658D1"/>
    <w:rsid w:val="00466B8D"/>
    <w:rsid w:val="004701F4"/>
    <w:rsid w:val="00470794"/>
    <w:rsid w:val="00471DCC"/>
    <w:rsid w:val="004729E0"/>
    <w:rsid w:val="00472AD0"/>
    <w:rsid w:val="00473850"/>
    <w:rsid w:val="00473A4D"/>
    <w:rsid w:val="00473DD7"/>
    <w:rsid w:val="00473E98"/>
    <w:rsid w:val="004740E8"/>
    <w:rsid w:val="00474125"/>
    <w:rsid w:val="004745DA"/>
    <w:rsid w:val="00474896"/>
    <w:rsid w:val="00475ABB"/>
    <w:rsid w:val="00475E79"/>
    <w:rsid w:val="00476392"/>
    <w:rsid w:val="00476C08"/>
    <w:rsid w:val="0047789A"/>
    <w:rsid w:val="00477CFD"/>
    <w:rsid w:val="00480BEA"/>
    <w:rsid w:val="004811CE"/>
    <w:rsid w:val="00483334"/>
    <w:rsid w:val="004834B7"/>
    <w:rsid w:val="00483779"/>
    <w:rsid w:val="0048380E"/>
    <w:rsid w:val="00486665"/>
    <w:rsid w:val="0048668C"/>
    <w:rsid w:val="00486971"/>
    <w:rsid w:val="00486BE3"/>
    <w:rsid w:val="00487D91"/>
    <w:rsid w:val="00490395"/>
    <w:rsid w:val="0049137F"/>
    <w:rsid w:val="00491855"/>
    <w:rsid w:val="00491ECF"/>
    <w:rsid w:val="00492379"/>
    <w:rsid w:val="004923EB"/>
    <w:rsid w:val="0049240B"/>
    <w:rsid w:val="0049342D"/>
    <w:rsid w:val="0049420B"/>
    <w:rsid w:val="0049474F"/>
    <w:rsid w:val="004954D4"/>
    <w:rsid w:val="00496760"/>
    <w:rsid w:val="00497316"/>
    <w:rsid w:val="00497C0D"/>
    <w:rsid w:val="00497CF7"/>
    <w:rsid w:val="004A17E0"/>
    <w:rsid w:val="004A3BCA"/>
    <w:rsid w:val="004A43C3"/>
    <w:rsid w:val="004A57F6"/>
    <w:rsid w:val="004A5A2F"/>
    <w:rsid w:val="004A613F"/>
    <w:rsid w:val="004A7D72"/>
    <w:rsid w:val="004B0D97"/>
    <w:rsid w:val="004B106A"/>
    <w:rsid w:val="004B1409"/>
    <w:rsid w:val="004B31ED"/>
    <w:rsid w:val="004B394F"/>
    <w:rsid w:val="004B3D81"/>
    <w:rsid w:val="004B7A53"/>
    <w:rsid w:val="004C1432"/>
    <w:rsid w:val="004C3ECD"/>
    <w:rsid w:val="004C4576"/>
    <w:rsid w:val="004C5BB7"/>
    <w:rsid w:val="004C5E86"/>
    <w:rsid w:val="004C641B"/>
    <w:rsid w:val="004C7081"/>
    <w:rsid w:val="004C7EFC"/>
    <w:rsid w:val="004D0505"/>
    <w:rsid w:val="004D05C8"/>
    <w:rsid w:val="004D0B18"/>
    <w:rsid w:val="004D0DD0"/>
    <w:rsid w:val="004D194A"/>
    <w:rsid w:val="004D2808"/>
    <w:rsid w:val="004D4A2C"/>
    <w:rsid w:val="004D5294"/>
    <w:rsid w:val="004D7611"/>
    <w:rsid w:val="004E11D8"/>
    <w:rsid w:val="004E15DF"/>
    <w:rsid w:val="004E1A8C"/>
    <w:rsid w:val="004E22AA"/>
    <w:rsid w:val="004E3225"/>
    <w:rsid w:val="004E40FD"/>
    <w:rsid w:val="004E479F"/>
    <w:rsid w:val="004E4C79"/>
    <w:rsid w:val="004E505A"/>
    <w:rsid w:val="004E58BC"/>
    <w:rsid w:val="004E5A56"/>
    <w:rsid w:val="004E6043"/>
    <w:rsid w:val="004E72DE"/>
    <w:rsid w:val="004E7417"/>
    <w:rsid w:val="004E7689"/>
    <w:rsid w:val="004F36C8"/>
    <w:rsid w:val="004F4B9A"/>
    <w:rsid w:val="004F4D6A"/>
    <w:rsid w:val="004F5900"/>
    <w:rsid w:val="004F5FF4"/>
    <w:rsid w:val="004F6A13"/>
    <w:rsid w:val="004F706D"/>
    <w:rsid w:val="004F7483"/>
    <w:rsid w:val="004F7758"/>
    <w:rsid w:val="0050077F"/>
    <w:rsid w:val="00500DEF"/>
    <w:rsid w:val="00501CB0"/>
    <w:rsid w:val="00502D50"/>
    <w:rsid w:val="00505199"/>
    <w:rsid w:val="005055D6"/>
    <w:rsid w:val="00510256"/>
    <w:rsid w:val="0051107A"/>
    <w:rsid w:val="00511BBB"/>
    <w:rsid w:val="00512339"/>
    <w:rsid w:val="005128CD"/>
    <w:rsid w:val="005129C3"/>
    <w:rsid w:val="005133E4"/>
    <w:rsid w:val="00513906"/>
    <w:rsid w:val="00513BF3"/>
    <w:rsid w:val="0051489E"/>
    <w:rsid w:val="00514AFF"/>
    <w:rsid w:val="00515320"/>
    <w:rsid w:val="00516517"/>
    <w:rsid w:val="005175EF"/>
    <w:rsid w:val="005179A1"/>
    <w:rsid w:val="00521191"/>
    <w:rsid w:val="005218C3"/>
    <w:rsid w:val="00521951"/>
    <w:rsid w:val="00522159"/>
    <w:rsid w:val="0052483D"/>
    <w:rsid w:val="00524EA4"/>
    <w:rsid w:val="00525623"/>
    <w:rsid w:val="00525FC2"/>
    <w:rsid w:val="0052604A"/>
    <w:rsid w:val="005263ED"/>
    <w:rsid w:val="0052654E"/>
    <w:rsid w:val="00530F7B"/>
    <w:rsid w:val="00531978"/>
    <w:rsid w:val="005353EA"/>
    <w:rsid w:val="005367D5"/>
    <w:rsid w:val="00536FF5"/>
    <w:rsid w:val="00537B32"/>
    <w:rsid w:val="00537E35"/>
    <w:rsid w:val="00540A1E"/>
    <w:rsid w:val="00540D4C"/>
    <w:rsid w:val="00541BE6"/>
    <w:rsid w:val="00542FFC"/>
    <w:rsid w:val="00543D20"/>
    <w:rsid w:val="00543F37"/>
    <w:rsid w:val="00545558"/>
    <w:rsid w:val="00545AD4"/>
    <w:rsid w:val="005461C0"/>
    <w:rsid w:val="00547B1C"/>
    <w:rsid w:val="005504BC"/>
    <w:rsid w:val="00551791"/>
    <w:rsid w:val="00551CAB"/>
    <w:rsid w:val="00552EB3"/>
    <w:rsid w:val="00553AA5"/>
    <w:rsid w:val="00554025"/>
    <w:rsid w:val="005543E0"/>
    <w:rsid w:val="00555259"/>
    <w:rsid w:val="005556B2"/>
    <w:rsid w:val="00561459"/>
    <w:rsid w:val="00561B12"/>
    <w:rsid w:val="0056204C"/>
    <w:rsid w:val="00562433"/>
    <w:rsid w:val="00562CA4"/>
    <w:rsid w:val="00562F0E"/>
    <w:rsid w:val="005630F4"/>
    <w:rsid w:val="00563644"/>
    <w:rsid w:val="005647C8"/>
    <w:rsid w:val="00565D72"/>
    <w:rsid w:val="00565F80"/>
    <w:rsid w:val="005660FD"/>
    <w:rsid w:val="005672B5"/>
    <w:rsid w:val="005700FC"/>
    <w:rsid w:val="00571660"/>
    <w:rsid w:val="0057283B"/>
    <w:rsid w:val="00575B51"/>
    <w:rsid w:val="00576178"/>
    <w:rsid w:val="0057789C"/>
    <w:rsid w:val="005819C5"/>
    <w:rsid w:val="0058238F"/>
    <w:rsid w:val="005824E9"/>
    <w:rsid w:val="005837BD"/>
    <w:rsid w:val="00583D86"/>
    <w:rsid w:val="0058464C"/>
    <w:rsid w:val="00584756"/>
    <w:rsid w:val="005860FD"/>
    <w:rsid w:val="00587EE4"/>
    <w:rsid w:val="00590091"/>
    <w:rsid w:val="0059044C"/>
    <w:rsid w:val="0059072C"/>
    <w:rsid w:val="005911D7"/>
    <w:rsid w:val="005915D6"/>
    <w:rsid w:val="00591A40"/>
    <w:rsid w:val="00591F96"/>
    <w:rsid w:val="0059477F"/>
    <w:rsid w:val="00594F37"/>
    <w:rsid w:val="00597441"/>
    <w:rsid w:val="005A0888"/>
    <w:rsid w:val="005A1AFE"/>
    <w:rsid w:val="005A2A3C"/>
    <w:rsid w:val="005A2CEC"/>
    <w:rsid w:val="005A2F63"/>
    <w:rsid w:val="005A2F6F"/>
    <w:rsid w:val="005A3A93"/>
    <w:rsid w:val="005A573D"/>
    <w:rsid w:val="005A59F4"/>
    <w:rsid w:val="005A5B9A"/>
    <w:rsid w:val="005A5C27"/>
    <w:rsid w:val="005A5EEE"/>
    <w:rsid w:val="005A6B9B"/>
    <w:rsid w:val="005A7708"/>
    <w:rsid w:val="005B090F"/>
    <w:rsid w:val="005B0F17"/>
    <w:rsid w:val="005B368D"/>
    <w:rsid w:val="005B3E85"/>
    <w:rsid w:val="005B3F89"/>
    <w:rsid w:val="005B50B8"/>
    <w:rsid w:val="005B5B2D"/>
    <w:rsid w:val="005B5BFC"/>
    <w:rsid w:val="005B7C09"/>
    <w:rsid w:val="005C050B"/>
    <w:rsid w:val="005C138B"/>
    <w:rsid w:val="005C1BFC"/>
    <w:rsid w:val="005C3F96"/>
    <w:rsid w:val="005C489D"/>
    <w:rsid w:val="005C59CE"/>
    <w:rsid w:val="005C5F99"/>
    <w:rsid w:val="005C6529"/>
    <w:rsid w:val="005C78C6"/>
    <w:rsid w:val="005D027D"/>
    <w:rsid w:val="005D1B1B"/>
    <w:rsid w:val="005D1F76"/>
    <w:rsid w:val="005D1FFE"/>
    <w:rsid w:val="005D21B7"/>
    <w:rsid w:val="005D25EC"/>
    <w:rsid w:val="005D2ABC"/>
    <w:rsid w:val="005D2D1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4085"/>
    <w:rsid w:val="005F70AA"/>
    <w:rsid w:val="005F77E4"/>
    <w:rsid w:val="00600B02"/>
    <w:rsid w:val="00600D22"/>
    <w:rsid w:val="00601444"/>
    <w:rsid w:val="006025A4"/>
    <w:rsid w:val="00602B66"/>
    <w:rsid w:val="00602EF3"/>
    <w:rsid w:val="006036FD"/>
    <w:rsid w:val="006049B0"/>
    <w:rsid w:val="006052CE"/>
    <w:rsid w:val="0060680E"/>
    <w:rsid w:val="006068EA"/>
    <w:rsid w:val="006109F6"/>
    <w:rsid w:val="0061177B"/>
    <w:rsid w:val="006124DB"/>
    <w:rsid w:val="0061276B"/>
    <w:rsid w:val="0061362E"/>
    <w:rsid w:val="00614E35"/>
    <w:rsid w:val="00615341"/>
    <w:rsid w:val="006160BF"/>
    <w:rsid w:val="0061616D"/>
    <w:rsid w:val="006163AE"/>
    <w:rsid w:val="00616ADA"/>
    <w:rsid w:val="006175A7"/>
    <w:rsid w:val="00617839"/>
    <w:rsid w:val="006220FA"/>
    <w:rsid w:val="00622546"/>
    <w:rsid w:val="006239C7"/>
    <w:rsid w:val="00623BE6"/>
    <w:rsid w:val="0062454B"/>
    <w:rsid w:val="006252C6"/>
    <w:rsid w:val="0062576C"/>
    <w:rsid w:val="00626033"/>
    <w:rsid w:val="00630505"/>
    <w:rsid w:val="00630850"/>
    <w:rsid w:val="00630922"/>
    <w:rsid w:val="00630E11"/>
    <w:rsid w:val="00631143"/>
    <w:rsid w:val="00631459"/>
    <w:rsid w:val="00631C17"/>
    <w:rsid w:val="0063248E"/>
    <w:rsid w:val="006324CB"/>
    <w:rsid w:val="00632CF0"/>
    <w:rsid w:val="00632E7D"/>
    <w:rsid w:val="006331B0"/>
    <w:rsid w:val="0063415D"/>
    <w:rsid w:val="00634539"/>
    <w:rsid w:val="006345B2"/>
    <w:rsid w:val="00634CBC"/>
    <w:rsid w:val="0063506D"/>
    <w:rsid w:val="006360DB"/>
    <w:rsid w:val="006367E9"/>
    <w:rsid w:val="00636B85"/>
    <w:rsid w:val="006375CA"/>
    <w:rsid w:val="00641025"/>
    <w:rsid w:val="00642D80"/>
    <w:rsid w:val="00643DC9"/>
    <w:rsid w:val="006460B8"/>
    <w:rsid w:val="0064646B"/>
    <w:rsid w:val="006479EF"/>
    <w:rsid w:val="006514A3"/>
    <w:rsid w:val="006529AA"/>
    <w:rsid w:val="00653015"/>
    <w:rsid w:val="00654707"/>
    <w:rsid w:val="0065591D"/>
    <w:rsid w:val="0066010E"/>
    <w:rsid w:val="00660D00"/>
    <w:rsid w:val="006615C5"/>
    <w:rsid w:val="006626FF"/>
    <w:rsid w:val="00664D23"/>
    <w:rsid w:val="00665A63"/>
    <w:rsid w:val="0066658E"/>
    <w:rsid w:val="006665E1"/>
    <w:rsid w:val="006668D8"/>
    <w:rsid w:val="00666D5A"/>
    <w:rsid w:val="006672E3"/>
    <w:rsid w:val="00667656"/>
    <w:rsid w:val="006679D1"/>
    <w:rsid w:val="00670051"/>
    <w:rsid w:val="00670523"/>
    <w:rsid w:val="00670587"/>
    <w:rsid w:val="00672D7A"/>
    <w:rsid w:val="00672E10"/>
    <w:rsid w:val="0067419C"/>
    <w:rsid w:val="00675471"/>
    <w:rsid w:val="00675794"/>
    <w:rsid w:val="006765F9"/>
    <w:rsid w:val="00680333"/>
    <w:rsid w:val="00680E08"/>
    <w:rsid w:val="00681833"/>
    <w:rsid w:val="00681BE0"/>
    <w:rsid w:val="00681DA9"/>
    <w:rsid w:val="006824A9"/>
    <w:rsid w:val="00683610"/>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424B"/>
    <w:rsid w:val="006A6EF2"/>
    <w:rsid w:val="006A7077"/>
    <w:rsid w:val="006A7B6C"/>
    <w:rsid w:val="006B0D8F"/>
    <w:rsid w:val="006B16CD"/>
    <w:rsid w:val="006B22CB"/>
    <w:rsid w:val="006B2C36"/>
    <w:rsid w:val="006B2D7C"/>
    <w:rsid w:val="006B4C20"/>
    <w:rsid w:val="006B5041"/>
    <w:rsid w:val="006B5FC7"/>
    <w:rsid w:val="006B664F"/>
    <w:rsid w:val="006B72DC"/>
    <w:rsid w:val="006C0489"/>
    <w:rsid w:val="006C0DF1"/>
    <w:rsid w:val="006C0E24"/>
    <w:rsid w:val="006C19FF"/>
    <w:rsid w:val="006C4152"/>
    <w:rsid w:val="006C4B0D"/>
    <w:rsid w:val="006C5C95"/>
    <w:rsid w:val="006C70ED"/>
    <w:rsid w:val="006D045D"/>
    <w:rsid w:val="006D05F8"/>
    <w:rsid w:val="006D1520"/>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3730"/>
    <w:rsid w:val="006E4ADC"/>
    <w:rsid w:val="006E508A"/>
    <w:rsid w:val="006E5B1C"/>
    <w:rsid w:val="006E6CC3"/>
    <w:rsid w:val="006F01DD"/>
    <w:rsid w:val="006F10FB"/>
    <w:rsid w:val="006F1799"/>
    <w:rsid w:val="006F1912"/>
    <w:rsid w:val="006F22ED"/>
    <w:rsid w:val="006F2309"/>
    <w:rsid w:val="006F3F20"/>
    <w:rsid w:val="006F4D78"/>
    <w:rsid w:val="006F511E"/>
    <w:rsid w:val="006F5CBA"/>
    <w:rsid w:val="006F5D72"/>
    <w:rsid w:val="00700807"/>
    <w:rsid w:val="00702538"/>
    <w:rsid w:val="007025D9"/>
    <w:rsid w:val="0070369D"/>
    <w:rsid w:val="00704431"/>
    <w:rsid w:val="00704FC9"/>
    <w:rsid w:val="007052B7"/>
    <w:rsid w:val="00705A09"/>
    <w:rsid w:val="00710360"/>
    <w:rsid w:val="00710CEC"/>
    <w:rsid w:val="00713426"/>
    <w:rsid w:val="00714CC3"/>
    <w:rsid w:val="00716505"/>
    <w:rsid w:val="0072002A"/>
    <w:rsid w:val="0072015A"/>
    <w:rsid w:val="00720230"/>
    <w:rsid w:val="00720865"/>
    <w:rsid w:val="00723121"/>
    <w:rsid w:val="00723250"/>
    <w:rsid w:val="007232E0"/>
    <w:rsid w:val="007249B2"/>
    <w:rsid w:val="00724A9A"/>
    <w:rsid w:val="00725BBB"/>
    <w:rsid w:val="00725F2C"/>
    <w:rsid w:val="007270F4"/>
    <w:rsid w:val="00731276"/>
    <w:rsid w:val="007324F0"/>
    <w:rsid w:val="00733729"/>
    <w:rsid w:val="00733D36"/>
    <w:rsid w:val="007340FB"/>
    <w:rsid w:val="00737B21"/>
    <w:rsid w:val="007408CB"/>
    <w:rsid w:val="00740F2A"/>
    <w:rsid w:val="0074312B"/>
    <w:rsid w:val="007443F6"/>
    <w:rsid w:val="007453B6"/>
    <w:rsid w:val="007458FA"/>
    <w:rsid w:val="007467DE"/>
    <w:rsid w:val="00747710"/>
    <w:rsid w:val="00747E84"/>
    <w:rsid w:val="00750ADF"/>
    <w:rsid w:val="00753357"/>
    <w:rsid w:val="00753BCD"/>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71BAB"/>
    <w:rsid w:val="00771C54"/>
    <w:rsid w:val="00773A9F"/>
    <w:rsid w:val="007740BD"/>
    <w:rsid w:val="007747BE"/>
    <w:rsid w:val="00775886"/>
    <w:rsid w:val="007767D7"/>
    <w:rsid w:val="007768DF"/>
    <w:rsid w:val="007768FB"/>
    <w:rsid w:val="00776F99"/>
    <w:rsid w:val="00777C67"/>
    <w:rsid w:val="007802AD"/>
    <w:rsid w:val="0078047F"/>
    <w:rsid w:val="00780E29"/>
    <w:rsid w:val="00781203"/>
    <w:rsid w:val="00781312"/>
    <w:rsid w:val="00781F73"/>
    <w:rsid w:val="00782FF3"/>
    <w:rsid w:val="00783189"/>
    <w:rsid w:val="00784129"/>
    <w:rsid w:val="007845E1"/>
    <w:rsid w:val="00784ACA"/>
    <w:rsid w:val="00784C55"/>
    <w:rsid w:val="00785927"/>
    <w:rsid w:val="00785982"/>
    <w:rsid w:val="00785B2E"/>
    <w:rsid w:val="00787686"/>
    <w:rsid w:val="00787E50"/>
    <w:rsid w:val="0079063F"/>
    <w:rsid w:val="00793D9F"/>
    <w:rsid w:val="00795EF2"/>
    <w:rsid w:val="007968B8"/>
    <w:rsid w:val="00796B1B"/>
    <w:rsid w:val="00797F0C"/>
    <w:rsid w:val="007A0B2C"/>
    <w:rsid w:val="007A0FEC"/>
    <w:rsid w:val="007A12C9"/>
    <w:rsid w:val="007A17BB"/>
    <w:rsid w:val="007A272C"/>
    <w:rsid w:val="007A2B3E"/>
    <w:rsid w:val="007A2EE6"/>
    <w:rsid w:val="007A32FB"/>
    <w:rsid w:val="007A4FC9"/>
    <w:rsid w:val="007A584C"/>
    <w:rsid w:val="007A6EEF"/>
    <w:rsid w:val="007A71AC"/>
    <w:rsid w:val="007A7AF1"/>
    <w:rsid w:val="007B18D0"/>
    <w:rsid w:val="007B1F3E"/>
    <w:rsid w:val="007B21AB"/>
    <w:rsid w:val="007B2E9D"/>
    <w:rsid w:val="007B5830"/>
    <w:rsid w:val="007B5E8E"/>
    <w:rsid w:val="007B6843"/>
    <w:rsid w:val="007B68EF"/>
    <w:rsid w:val="007C0A36"/>
    <w:rsid w:val="007C0B6B"/>
    <w:rsid w:val="007C0D75"/>
    <w:rsid w:val="007C126B"/>
    <w:rsid w:val="007C13B8"/>
    <w:rsid w:val="007C2617"/>
    <w:rsid w:val="007C2FE3"/>
    <w:rsid w:val="007C3072"/>
    <w:rsid w:val="007C35EE"/>
    <w:rsid w:val="007C38C6"/>
    <w:rsid w:val="007C4D6B"/>
    <w:rsid w:val="007C4FEE"/>
    <w:rsid w:val="007C68B5"/>
    <w:rsid w:val="007C79A2"/>
    <w:rsid w:val="007D1457"/>
    <w:rsid w:val="007D1485"/>
    <w:rsid w:val="007D1D5D"/>
    <w:rsid w:val="007D2511"/>
    <w:rsid w:val="007D316D"/>
    <w:rsid w:val="007D354A"/>
    <w:rsid w:val="007D41D8"/>
    <w:rsid w:val="007D462C"/>
    <w:rsid w:val="007D4FDA"/>
    <w:rsid w:val="007D5AD8"/>
    <w:rsid w:val="007D6269"/>
    <w:rsid w:val="007D62F3"/>
    <w:rsid w:val="007D6425"/>
    <w:rsid w:val="007D7696"/>
    <w:rsid w:val="007D7CC6"/>
    <w:rsid w:val="007E01D5"/>
    <w:rsid w:val="007E120E"/>
    <w:rsid w:val="007E45A7"/>
    <w:rsid w:val="007E48CF"/>
    <w:rsid w:val="007E69EB"/>
    <w:rsid w:val="007E6F1C"/>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917"/>
    <w:rsid w:val="00803AF3"/>
    <w:rsid w:val="00803DB8"/>
    <w:rsid w:val="00804AA4"/>
    <w:rsid w:val="00805FBE"/>
    <w:rsid w:val="00806A19"/>
    <w:rsid w:val="00806A3A"/>
    <w:rsid w:val="00810570"/>
    <w:rsid w:val="008113FD"/>
    <w:rsid w:val="00812232"/>
    <w:rsid w:val="008129C1"/>
    <w:rsid w:val="00812AA1"/>
    <w:rsid w:val="008131FA"/>
    <w:rsid w:val="008133C0"/>
    <w:rsid w:val="00814A3A"/>
    <w:rsid w:val="008150A3"/>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69A1"/>
    <w:rsid w:val="00826AD4"/>
    <w:rsid w:val="0082711E"/>
    <w:rsid w:val="00827686"/>
    <w:rsid w:val="00827EC4"/>
    <w:rsid w:val="00830CC4"/>
    <w:rsid w:val="0083168B"/>
    <w:rsid w:val="00831D33"/>
    <w:rsid w:val="00832D88"/>
    <w:rsid w:val="00832F6E"/>
    <w:rsid w:val="00833364"/>
    <w:rsid w:val="0083338D"/>
    <w:rsid w:val="00833722"/>
    <w:rsid w:val="00833FB6"/>
    <w:rsid w:val="00834BC3"/>
    <w:rsid w:val="00834C36"/>
    <w:rsid w:val="00837C6D"/>
    <w:rsid w:val="008418E9"/>
    <w:rsid w:val="00842FE7"/>
    <w:rsid w:val="00844277"/>
    <w:rsid w:val="00844434"/>
    <w:rsid w:val="00844F3B"/>
    <w:rsid w:val="008455EF"/>
    <w:rsid w:val="00845891"/>
    <w:rsid w:val="0084695A"/>
    <w:rsid w:val="00850E16"/>
    <w:rsid w:val="00852018"/>
    <w:rsid w:val="00852226"/>
    <w:rsid w:val="008543E8"/>
    <w:rsid w:val="00856121"/>
    <w:rsid w:val="00860AF0"/>
    <w:rsid w:val="008618B2"/>
    <w:rsid w:val="008626CE"/>
    <w:rsid w:val="00862760"/>
    <w:rsid w:val="008628D6"/>
    <w:rsid w:val="00866163"/>
    <w:rsid w:val="00866362"/>
    <w:rsid w:val="00867A25"/>
    <w:rsid w:val="008700BA"/>
    <w:rsid w:val="00873666"/>
    <w:rsid w:val="0087426E"/>
    <w:rsid w:val="00874736"/>
    <w:rsid w:val="008748B4"/>
    <w:rsid w:val="008751F6"/>
    <w:rsid w:val="00875CD5"/>
    <w:rsid w:val="00876085"/>
    <w:rsid w:val="00876854"/>
    <w:rsid w:val="00876986"/>
    <w:rsid w:val="008769F5"/>
    <w:rsid w:val="008804BC"/>
    <w:rsid w:val="00880D1A"/>
    <w:rsid w:val="00880D91"/>
    <w:rsid w:val="00881D81"/>
    <w:rsid w:val="00881E2C"/>
    <w:rsid w:val="00882C12"/>
    <w:rsid w:val="00882F2B"/>
    <w:rsid w:val="00883566"/>
    <w:rsid w:val="008849FF"/>
    <w:rsid w:val="00884ED9"/>
    <w:rsid w:val="00885812"/>
    <w:rsid w:val="008859AC"/>
    <w:rsid w:val="008869C8"/>
    <w:rsid w:val="00886AC3"/>
    <w:rsid w:val="0088770C"/>
    <w:rsid w:val="00892D3A"/>
    <w:rsid w:val="00896574"/>
    <w:rsid w:val="008979C1"/>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38C3"/>
    <w:rsid w:val="008B5A3C"/>
    <w:rsid w:val="008B6B71"/>
    <w:rsid w:val="008C0158"/>
    <w:rsid w:val="008C174F"/>
    <w:rsid w:val="008C3F3A"/>
    <w:rsid w:val="008C4902"/>
    <w:rsid w:val="008C5042"/>
    <w:rsid w:val="008C544B"/>
    <w:rsid w:val="008D10A6"/>
    <w:rsid w:val="008D1581"/>
    <w:rsid w:val="008D1BAD"/>
    <w:rsid w:val="008D1C55"/>
    <w:rsid w:val="008D289A"/>
    <w:rsid w:val="008D33E2"/>
    <w:rsid w:val="008D4019"/>
    <w:rsid w:val="008D51F3"/>
    <w:rsid w:val="008E051D"/>
    <w:rsid w:val="008E0F34"/>
    <w:rsid w:val="008E1E03"/>
    <w:rsid w:val="008E2B3B"/>
    <w:rsid w:val="008E4054"/>
    <w:rsid w:val="008E4A0D"/>
    <w:rsid w:val="008E7142"/>
    <w:rsid w:val="008F093F"/>
    <w:rsid w:val="008F1B64"/>
    <w:rsid w:val="008F2A12"/>
    <w:rsid w:val="008F431C"/>
    <w:rsid w:val="008F43B7"/>
    <w:rsid w:val="008F4901"/>
    <w:rsid w:val="008F5289"/>
    <w:rsid w:val="008F5430"/>
    <w:rsid w:val="008F5A8F"/>
    <w:rsid w:val="008F6AD8"/>
    <w:rsid w:val="008F79E8"/>
    <w:rsid w:val="0090108A"/>
    <w:rsid w:val="00901219"/>
    <w:rsid w:val="00901BA6"/>
    <w:rsid w:val="00901D43"/>
    <w:rsid w:val="009042CC"/>
    <w:rsid w:val="00904571"/>
    <w:rsid w:val="00906134"/>
    <w:rsid w:val="00906FE7"/>
    <w:rsid w:val="009070B9"/>
    <w:rsid w:val="00907160"/>
    <w:rsid w:val="009076A8"/>
    <w:rsid w:val="00907EC8"/>
    <w:rsid w:val="00907EF2"/>
    <w:rsid w:val="00910D95"/>
    <w:rsid w:val="009127A4"/>
    <w:rsid w:val="00912AE9"/>
    <w:rsid w:val="00913D5F"/>
    <w:rsid w:val="00914A3B"/>
    <w:rsid w:val="00915712"/>
    <w:rsid w:val="009159B2"/>
    <w:rsid w:val="0091695C"/>
    <w:rsid w:val="00916A3B"/>
    <w:rsid w:val="009179D3"/>
    <w:rsid w:val="00917A1A"/>
    <w:rsid w:val="00917B96"/>
    <w:rsid w:val="00917CEB"/>
    <w:rsid w:val="00920BBD"/>
    <w:rsid w:val="00921D13"/>
    <w:rsid w:val="00925876"/>
    <w:rsid w:val="0092646E"/>
    <w:rsid w:val="00927B08"/>
    <w:rsid w:val="009310B5"/>
    <w:rsid w:val="00931611"/>
    <w:rsid w:val="009329AE"/>
    <w:rsid w:val="00933C53"/>
    <w:rsid w:val="00934C83"/>
    <w:rsid w:val="00935A61"/>
    <w:rsid w:val="009369AE"/>
    <w:rsid w:val="0094439D"/>
    <w:rsid w:val="00944AFA"/>
    <w:rsid w:val="00945650"/>
    <w:rsid w:val="00945FE2"/>
    <w:rsid w:val="0094621D"/>
    <w:rsid w:val="00950727"/>
    <w:rsid w:val="009508E4"/>
    <w:rsid w:val="00951FDB"/>
    <w:rsid w:val="009522DA"/>
    <w:rsid w:val="009523D7"/>
    <w:rsid w:val="00953E02"/>
    <w:rsid w:val="00954323"/>
    <w:rsid w:val="00954BC2"/>
    <w:rsid w:val="009558FA"/>
    <w:rsid w:val="009567B8"/>
    <w:rsid w:val="00957E7E"/>
    <w:rsid w:val="00957E99"/>
    <w:rsid w:val="00960D34"/>
    <w:rsid w:val="009611D2"/>
    <w:rsid w:val="0096202E"/>
    <w:rsid w:val="009621A0"/>
    <w:rsid w:val="00962BC2"/>
    <w:rsid w:val="00963D5E"/>
    <w:rsid w:val="00964224"/>
    <w:rsid w:val="00964965"/>
    <w:rsid w:val="0096696A"/>
    <w:rsid w:val="00967201"/>
    <w:rsid w:val="00967C74"/>
    <w:rsid w:val="00971645"/>
    <w:rsid w:val="00971FDA"/>
    <w:rsid w:val="009722A8"/>
    <w:rsid w:val="00972548"/>
    <w:rsid w:val="009728FF"/>
    <w:rsid w:val="00974888"/>
    <w:rsid w:val="00974B47"/>
    <w:rsid w:val="00974D53"/>
    <w:rsid w:val="00974D5D"/>
    <w:rsid w:val="009752FF"/>
    <w:rsid w:val="009760C4"/>
    <w:rsid w:val="00976E27"/>
    <w:rsid w:val="009772A5"/>
    <w:rsid w:val="00977550"/>
    <w:rsid w:val="00980B5D"/>
    <w:rsid w:val="00981173"/>
    <w:rsid w:val="00981A75"/>
    <w:rsid w:val="00981F83"/>
    <w:rsid w:val="009820F8"/>
    <w:rsid w:val="009841A8"/>
    <w:rsid w:val="009868BE"/>
    <w:rsid w:val="00986B64"/>
    <w:rsid w:val="00986EFA"/>
    <w:rsid w:val="009876A4"/>
    <w:rsid w:val="009917E9"/>
    <w:rsid w:val="00992416"/>
    <w:rsid w:val="00992BD0"/>
    <w:rsid w:val="00993789"/>
    <w:rsid w:val="00994B4C"/>
    <w:rsid w:val="00994F61"/>
    <w:rsid w:val="00996057"/>
    <w:rsid w:val="00996394"/>
    <w:rsid w:val="00996C89"/>
    <w:rsid w:val="00996CB7"/>
    <w:rsid w:val="009979B9"/>
    <w:rsid w:val="009A03C7"/>
    <w:rsid w:val="009A0703"/>
    <w:rsid w:val="009A1399"/>
    <w:rsid w:val="009A22FD"/>
    <w:rsid w:val="009A2A9B"/>
    <w:rsid w:val="009A2ED6"/>
    <w:rsid w:val="009A31E7"/>
    <w:rsid w:val="009A4DCA"/>
    <w:rsid w:val="009A546A"/>
    <w:rsid w:val="009A621C"/>
    <w:rsid w:val="009A6677"/>
    <w:rsid w:val="009A6C66"/>
    <w:rsid w:val="009A6EF9"/>
    <w:rsid w:val="009A7BBC"/>
    <w:rsid w:val="009B2728"/>
    <w:rsid w:val="009B2A11"/>
    <w:rsid w:val="009B5581"/>
    <w:rsid w:val="009B5940"/>
    <w:rsid w:val="009B63ED"/>
    <w:rsid w:val="009B710D"/>
    <w:rsid w:val="009C045E"/>
    <w:rsid w:val="009C1345"/>
    <w:rsid w:val="009C3862"/>
    <w:rsid w:val="009C4171"/>
    <w:rsid w:val="009C433B"/>
    <w:rsid w:val="009C475C"/>
    <w:rsid w:val="009C5878"/>
    <w:rsid w:val="009C60A5"/>
    <w:rsid w:val="009C75C9"/>
    <w:rsid w:val="009D0393"/>
    <w:rsid w:val="009D1492"/>
    <w:rsid w:val="009D169E"/>
    <w:rsid w:val="009D17E7"/>
    <w:rsid w:val="009D2602"/>
    <w:rsid w:val="009D3234"/>
    <w:rsid w:val="009D346D"/>
    <w:rsid w:val="009D41B7"/>
    <w:rsid w:val="009D5CA7"/>
    <w:rsid w:val="009D65CD"/>
    <w:rsid w:val="009D6E2E"/>
    <w:rsid w:val="009D7298"/>
    <w:rsid w:val="009E03C7"/>
    <w:rsid w:val="009E12B5"/>
    <w:rsid w:val="009E1EB2"/>
    <w:rsid w:val="009E3C1C"/>
    <w:rsid w:val="009E3F6F"/>
    <w:rsid w:val="009E6ACB"/>
    <w:rsid w:val="009F1043"/>
    <w:rsid w:val="009F2D78"/>
    <w:rsid w:val="009F36CA"/>
    <w:rsid w:val="009F4FE2"/>
    <w:rsid w:val="009F58F9"/>
    <w:rsid w:val="009F6167"/>
    <w:rsid w:val="009F66AD"/>
    <w:rsid w:val="009F752A"/>
    <w:rsid w:val="00A003BE"/>
    <w:rsid w:val="00A00EE1"/>
    <w:rsid w:val="00A0204C"/>
    <w:rsid w:val="00A022AB"/>
    <w:rsid w:val="00A02B33"/>
    <w:rsid w:val="00A03435"/>
    <w:rsid w:val="00A03567"/>
    <w:rsid w:val="00A0385F"/>
    <w:rsid w:val="00A05313"/>
    <w:rsid w:val="00A058E9"/>
    <w:rsid w:val="00A06C2D"/>
    <w:rsid w:val="00A079D0"/>
    <w:rsid w:val="00A11132"/>
    <w:rsid w:val="00A11756"/>
    <w:rsid w:val="00A11969"/>
    <w:rsid w:val="00A12DE8"/>
    <w:rsid w:val="00A157B9"/>
    <w:rsid w:val="00A158FB"/>
    <w:rsid w:val="00A1712E"/>
    <w:rsid w:val="00A17F2D"/>
    <w:rsid w:val="00A20667"/>
    <w:rsid w:val="00A220D3"/>
    <w:rsid w:val="00A22348"/>
    <w:rsid w:val="00A243D6"/>
    <w:rsid w:val="00A24C62"/>
    <w:rsid w:val="00A24D16"/>
    <w:rsid w:val="00A254EC"/>
    <w:rsid w:val="00A25F51"/>
    <w:rsid w:val="00A26182"/>
    <w:rsid w:val="00A30382"/>
    <w:rsid w:val="00A30CEC"/>
    <w:rsid w:val="00A3188E"/>
    <w:rsid w:val="00A32604"/>
    <w:rsid w:val="00A32EF3"/>
    <w:rsid w:val="00A33959"/>
    <w:rsid w:val="00A34E6C"/>
    <w:rsid w:val="00A35312"/>
    <w:rsid w:val="00A354C8"/>
    <w:rsid w:val="00A407E6"/>
    <w:rsid w:val="00A40E00"/>
    <w:rsid w:val="00A417AE"/>
    <w:rsid w:val="00A43345"/>
    <w:rsid w:val="00A447E6"/>
    <w:rsid w:val="00A463E3"/>
    <w:rsid w:val="00A505C2"/>
    <w:rsid w:val="00A50AD6"/>
    <w:rsid w:val="00A50D0F"/>
    <w:rsid w:val="00A50E2B"/>
    <w:rsid w:val="00A51495"/>
    <w:rsid w:val="00A54097"/>
    <w:rsid w:val="00A54DAA"/>
    <w:rsid w:val="00A573A8"/>
    <w:rsid w:val="00A57661"/>
    <w:rsid w:val="00A60E34"/>
    <w:rsid w:val="00A62074"/>
    <w:rsid w:val="00A62606"/>
    <w:rsid w:val="00A62EA7"/>
    <w:rsid w:val="00A6459E"/>
    <w:rsid w:val="00A64686"/>
    <w:rsid w:val="00A64CAE"/>
    <w:rsid w:val="00A64D56"/>
    <w:rsid w:val="00A6578C"/>
    <w:rsid w:val="00A6605D"/>
    <w:rsid w:val="00A66496"/>
    <w:rsid w:val="00A717E4"/>
    <w:rsid w:val="00A71A0A"/>
    <w:rsid w:val="00A72227"/>
    <w:rsid w:val="00A72CC1"/>
    <w:rsid w:val="00A73E12"/>
    <w:rsid w:val="00A73F73"/>
    <w:rsid w:val="00A748F2"/>
    <w:rsid w:val="00A74939"/>
    <w:rsid w:val="00A75A7A"/>
    <w:rsid w:val="00A76AED"/>
    <w:rsid w:val="00A77B52"/>
    <w:rsid w:val="00A77BE7"/>
    <w:rsid w:val="00A77D68"/>
    <w:rsid w:val="00A80044"/>
    <w:rsid w:val="00A81845"/>
    <w:rsid w:val="00A819AE"/>
    <w:rsid w:val="00A8271D"/>
    <w:rsid w:val="00A82B34"/>
    <w:rsid w:val="00A83611"/>
    <w:rsid w:val="00A84B21"/>
    <w:rsid w:val="00A8580C"/>
    <w:rsid w:val="00A85A45"/>
    <w:rsid w:val="00A85F3E"/>
    <w:rsid w:val="00A86639"/>
    <w:rsid w:val="00A86A92"/>
    <w:rsid w:val="00A86CEB"/>
    <w:rsid w:val="00A8750A"/>
    <w:rsid w:val="00A90AA5"/>
    <w:rsid w:val="00A912BA"/>
    <w:rsid w:val="00A924F3"/>
    <w:rsid w:val="00A92AF0"/>
    <w:rsid w:val="00A94369"/>
    <w:rsid w:val="00A95A67"/>
    <w:rsid w:val="00A97923"/>
    <w:rsid w:val="00AA0E31"/>
    <w:rsid w:val="00AA150D"/>
    <w:rsid w:val="00AA1803"/>
    <w:rsid w:val="00AA20EA"/>
    <w:rsid w:val="00AA446F"/>
    <w:rsid w:val="00AA4B6A"/>
    <w:rsid w:val="00AA4FE4"/>
    <w:rsid w:val="00AA57D9"/>
    <w:rsid w:val="00AA59A6"/>
    <w:rsid w:val="00AA7274"/>
    <w:rsid w:val="00AA739B"/>
    <w:rsid w:val="00AB0D80"/>
    <w:rsid w:val="00AB16D9"/>
    <w:rsid w:val="00AB1C49"/>
    <w:rsid w:val="00AB1FC8"/>
    <w:rsid w:val="00AB284D"/>
    <w:rsid w:val="00AB2F02"/>
    <w:rsid w:val="00AB304E"/>
    <w:rsid w:val="00AB4C69"/>
    <w:rsid w:val="00AB6C17"/>
    <w:rsid w:val="00AC0A9D"/>
    <w:rsid w:val="00AC0C9E"/>
    <w:rsid w:val="00AC20C0"/>
    <w:rsid w:val="00AC22F0"/>
    <w:rsid w:val="00AC2876"/>
    <w:rsid w:val="00AC2FAC"/>
    <w:rsid w:val="00AC3349"/>
    <w:rsid w:val="00AC33C8"/>
    <w:rsid w:val="00AC449A"/>
    <w:rsid w:val="00AC4C13"/>
    <w:rsid w:val="00AC4C74"/>
    <w:rsid w:val="00AC4CD2"/>
    <w:rsid w:val="00AC5D5B"/>
    <w:rsid w:val="00AC7BE1"/>
    <w:rsid w:val="00AD059B"/>
    <w:rsid w:val="00AD102A"/>
    <w:rsid w:val="00AD1502"/>
    <w:rsid w:val="00AD1796"/>
    <w:rsid w:val="00AD1974"/>
    <w:rsid w:val="00AD2329"/>
    <w:rsid w:val="00AD2353"/>
    <w:rsid w:val="00AD239A"/>
    <w:rsid w:val="00AD26D4"/>
    <w:rsid w:val="00AD3102"/>
    <w:rsid w:val="00AD3EDC"/>
    <w:rsid w:val="00AD4BF1"/>
    <w:rsid w:val="00AD505E"/>
    <w:rsid w:val="00AD5CCC"/>
    <w:rsid w:val="00AD5F97"/>
    <w:rsid w:val="00AD6CC5"/>
    <w:rsid w:val="00AD713A"/>
    <w:rsid w:val="00AD7E0B"/>
    <w:rsid w:val="00AE0E58"/>
    <w:rsid w:val="00AE594A"/>
    <w:rsid w:val="00AF0189"/>
    <w:rsid w:val="00AF061D"/>
    <w:rsid w:val="00AF12CE"/>
    <w:rsid w:val="00AF1430"/>
    <w:rsid w:val="00AF1DFC"/>
    <w:rsid w:val="00AF3FE0"/>
    <w:rsid w:val="00AF45EB"/>
    <w:rsid w:val="00AF4794"/>
    <w:rsid w:val="00AF695E"/>
    <w:rsid w:val="00AF7191"/>
    <w:rsid w:val="00AF7C74"/>
    <w:rsid w:val="00B001EB"/>
    <w:rsid w:val="00B004D7"/>
    <w:rsid w:val="00B00586"/>
    <w:rsid w:val="00B00972"/>
    <w:rsid w:val="00B0098B"/>
    <w:rsid w:val="00B0271B"/>
    <w:rsid w:val="00B034BE"/>
    <w:rsid w:val="00B041BF"/>
    <w:rsid w:val="00B06B70"/>
    <w:rsid w:val="00B14E44"/>
    <w:rsid w:val="00B16A33"/>
    <w:rsid w:val="00B17AC0"/>
    <w:rsid w:val="00B17B7B"/>
    <w:rsid w:val="00B17D41"/>
    <w:rsid w:val="00B21333"/>
    <w:rsid w:val="00B24AD9"/>
    <w:rsid w:val="00B25959"/>
    <w:rsid w:val="00B267CA"/>
    <w:rsid w:val="00B32A7C"/>
    <w:rsid w:val="00B3572E"/>
    <w:rsid w:val="00B40734"/>
    <w:rsid w:val="00B40C90"/>
    <w:rsid w:val="00B41FAA"/>
    <w:rsid w:val="00B42919"/>
    <w:rsid w:val="00B433DF"/>
    <w:rsid w:val="00B44AE2"/>
    <w:rsid w:val="00B44EFF"/>
    <w:rsid w:val="00B46F12"/>
    <w:rsid w:val="00B478D4"/>
    <w:rsid w:val="00B507D8"/>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5E5A"/>
    <w:rsid w:val="00B663E4"/>
    <w:rsid w:val="00B66C2A"/>
    <w:rsid w:val="00B6741C"/>
    <w:rsid w:val="00B70AD6"/>
    <w:rsid w:val="00B710C6"/>
    <w:rsid w:val="00B71940"/>
    <w:rsid w:val="00B72D36"/>
    <w:rsid w:val="00B73342"/>
    <w:rsid w:val="00B735E5"/>
    <w:rsid w:val="00B743E8"/>
    <w:rsid w:val="00B75FEC"/>
    <w:rsid w:val="00B76239"/>
    <w:rsid w:val="00B775F5"/>
    <w:rsid w:val="00B808E4"/>
    <w:rsid w:val="00B810C9"/>
    <w:rsid w:val="00B81A7D"/>
    <w:rsid w:val="00B823A3"/>
    <w:rsid w:val="00B83729"/>
    <w:rsid w:val="00B839FB"/>
    <w:rsid w:val="00B83DFF"/>
    <w:rsid w:val="00B84A9F"/>
    <w:rsid w:val="00B85C12"/>
    <w:rsid w:val="00B8620B"/>
    <w:rsid w:val="00B907AF"/>
    <w:rsid w:val="00B909F2"/>
    <w:rsid w:val="00B928DE"/>
    <w:rsid w:val="00B92912"/>
    <w:rsid w:val="00B92BEA"/>
    <w:rsid w:val="00B95605"/>
    <w:rsid w:val="00B968AA"/>
    <w:rsid w:val="00B96B6A"/>
    <w:rsid w:val="00BA0943"/>
    <w:rsid w:val="00BA0C81"/>
    <w:rsid w:val="00BA1F04"/>
    <w:rsid w:val="00BA21E1"/>
    <w:rsid w:val="00BA23ED"/>
    <w:rsid w:val="00BA34AC"/>
    <w:rsid w:val="00BA423F"/>
    <w:rsid w:val="00BA49C1"/>
    <w:rsid w:val="00BA5CA2"/>
    <w:rsid w:val="00BA64E8"/>
    <w:rsid w:val="00BA6512"/>
    <w:rsid w:val="00BA75BB"/>
    <w:rsid w:val="00BA7CD8"/>
    <w:rsid w:val="00BB0343"/>
    <w:rsid w:val="00BB0396"/>
    <w:rsid w:val="00BB09F8"/>
    <w:rsid w:val="00BB0DDB"/>
    <w:rsid w:val="00BB235B"/>
    <w:rsid w:val="00BB27EB"/>
    <w:rsid w:val="00BB344E"/>
    <w:rsid w:val="00BB3CBD"/>
    <w:rsid w:val="00BB458D"/>
    <w:rsid w:val="00BB5CDE"/>
    <w:rsid w:val="00BB6000"/>
    <w:rsid w:val="00BB600D"/>
    <w:rsid w:val="00BB6524"/>
    <w:rsid w:val="00BB72F4"/>
    <w:rsid w:val="00BB7D5B"/>
    <w:rsid w:val="00BC0542"/>
    <w:rsid w:val="00BC06BA"/>
    <w:rsid w:val="00BC0BB3"/>
    <w:rsid w:val="00BC0E8D"/>
    <w:rsid w:val="00BC10BC"/>
    <w:rsid w:val="00BC17C3"/>
    <w:rsid w:val="00BC23FB"/>
    <w:rsid w:val="00BC2458"/>
    <w:rsid w:val="00BC4418"/>
    <w:rsid w:val="00BC6254"/>
    <w:rsid w:val="00BC7CB3"/>
    <w:rsid w:val="00BD0358"/>
    <w:rsid w:val="00BD05FC"/>
    <w:rsid w:val="00BD15DE"/>
    <w:rsid w:val="00BD24B2"/>
    <w:rsid w:val="00BD2B8D"/>
    <w:rsid w:val="00BD3834"/>
    <w:rsid w:val="00BD5923"/>
    <w:rsid w:val="00BD5BB8"/>
    <w:rsid w:val="00BD6750"/>
    <w:rsid w:val="00BD7018"/>
    <w:rsid w:val="00BD7A6B"/>
    <w:rsid w:val="00BD7D58"/>
    <w:rsid w:val="00BD7DD0"/>
    <w:rsid w:val="00BE0493"/>
    <w:rsid w:val="00BE156D"/>
    <w:rsid w:val="00BE66F9"/>
    <w:rsid w:val="00BF0B4F"/>
    <w:rsid w:val="00BF363B"/>
    <w:rsid w:val="00BF4442"/>
    <w:rsid w:val="00BF487A"/>
    <w:rsid w:val="00BF5642"/>
    <w:rsid w:val="00BF61D8"/>
    <w:rsid w:val="00BF640F"/>
    <w:rsid w:val="00BF7129"/>
    <w:rsid w:val="00C033E7"/>
    <w:rsid w:val="00C04166"/>
    <w:rsid w:val="00C07DF4"/>
    <w:rsid w:val="00C10836"/>
    <w:rsid w:val="00C108B8"/>
    <w:rsid w:val="00C11FD0"/>
    <w:rsid w:val="00C122BA"/>
    <w:rsid w:val="00C12986"/>
    <w:rsid w:val="00C12D78"/>
    <w:rsid w:val="00C12FB5"/>
    <w:rsid w:val="00C1417E"/>
    <w:rsid w:val="00C14885"/>
    <w:rsid w:val="00C15234"/>
    <w:rsid w:val="00C15A52"/>
    <w:rsid w:val="00C15E83"/>
    <w:rsid w:val="00C1632D"/>
    <w:rsid w:val="00C170C0"/>
    <w:rsid w:val="00C17DE9"/>
    <w:rsid w:val="00C204A6"/>
    <w:rsid w:val="00C2197D"/>
    <w:rsid w:val="00C22DAC"/>
    <w:rsid w:val="00C2352A"/>
    <w:rsid w:val="00C239B5"/>
    <w:rsid w:val="00C23BD1"/>
    <w:rsid w:val="00C2723D"/>
    <w:rsid w:val="00C300E4"/>
    <w:rsid w:val="00C303A9"/>
    <w:rsid w:val="00C303F0"/>
    <w:rsid w:val="00C3052C"/>
    <w:rsid w:val="00C306A7"/>
    <w:rsid w:val="00C30CD3"/>
    <w:rsid w:val="00C310C0"/>
    <w:rsid w:val="00C31569"/>
    <w:rsid w:val="00C31905"/>
    <w:rsid w:val="00C31AF7"/>
    <w:rsid w:val="00C3355A"/>
    <w:rsid w:val="00C33CFA"/>
    <w:rsid w:val="00C344E9"/>
    <w:rsid w:val="00C35F90"/>
    <w:rsid w:val="00C36BFD"/>
    <w:rsid w:val="00C37C60"/>
    <w:rsid w:val="00C42588"/>
    <w:rsid w:val="00C443EA"/>
    <w:rsid w:val="00C449C8"/>
    <w:rsid w:val="00C451D8"/>
    <w:rsid w:val="00C460A7"/>
    <w:rsid w:val="00C4636A"/>
    <w:rsid w:val="00C4663F"/>
    <w:rsid w:val="00C50524"/>
    <w:rsid w:val="00C51EEC"/>
    <w:rsid w:val="00C52170"/>
    <w:rsid w:val="00C53011"/>
    <w:rsid w:val="00C5303D"/>
    <w:rsid w:val="00C53328"/>
    <w:rsid w:val="00C53BC4"/>
    <w:rsid w:val="00C55A51"/>
    <w:rsid w:val="00C55A71"/>
    <w:rsid w:val="00C608B8"/>
    <w:rsid w:val="00C610FD"/>
    <w:rsid w:val="00C61DF7"/>
    <w:rsid w:val="00C632AD"/>
    <w:rsid w:val="00C6348B"/>
    <w:rsid w:val="00C63620"/>
    <w:rsid w:val="00C66BC5"/>
    <w:rsid w:val="00C67434"/>
    <w:rsid w:val="00C70077"/>
    <w:rsid w:val="00C704AA"/>
    <w:rsid w:val="00C71652"/>
    <w:rsid w:val="00C7184D"/>
    <w:rsid w:val="00C72DC0"/>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1905"/>
    <w:rsid w:val="00CA2E36"/>
    <w:rsid w:val="00CA3671"/>
    <w:rsid w:val="00CA396C"/>
    <w:rsid w:val="00CA3D17"/>
    <w:rsid w:val="00CA5380"/>
    <w:rsid w:val="00CB04A3"/>
    <w:rsid w:val="00CB0B25"/>
    <w:rsid w:val="00CB1B3B"/>
    <w:rsid w:val="00CB28CD"/>
    <w:rsid w:val="00CB2A34"/>
    <w:rsid w:val="00CB5257"/>
    <w:rsid w:val="00CB52E3"/>
    <w:rsid w:val="00CB540B"/>
    <w:rsid w:val="00CC014E"/>
    <w:rsid w:val="00CC1054"/>
    <w:rsid w:val="00CC2251"/>
    <w:rsid w:val="00CC22A8"/>
    <w:rsid w:val="00CC4104"/>
    <w:rsid w:val="00CC665E"/>
    <w:rsid w:val="00CC6E87"/>
    <w:rsid w:val="00CC79E0"/>
    <w:rsid w:val="00CD059B"/>
    <w:rsid w:val="00CD1748"/>
    <w:rsid w:val="00CD251B"/>
    <w:rsid w:val="00CD25B8"/>
    <w:rsid w:val="00CD5793"/>
    <w:rsid w:val="00CD5E06"/>
    <w:rsid w:val="00CD670F"/>
    <w:rsid w:val="00CE0290"/>
    <w:rsid w:val="00CE0BF0"/>
    <w:rsid w:val="00CE0EF4"/>
    <w:rsid w:val="00CE0FA9"/>
    <w:rsid w:val="00CE1258"/>
    <w:rsid w:val="00CE1EF8"/>
    <w:rsid w:val="00CE2BEB"/>
    <w:rsid w:val="00CE3842"/>
    <w:rsid w:val="00CE4800"/>
    <w:rsid w:val="00CE51EE"/>
    <w:rsid w:val="00CE57AA"/>
    <w:rsid w:val="00CE7F54"/>
    <w:rsid w:val="00CF0BB6"/>
    <w:rsid w:val="00CF2BA3"/>
    <w:rsid w:val="00CF3423"/>
    <w:rsid w:val="00CF3986"/>
    <w:rsid w:val="00CF4C38"/>
    <w:rsid w:val="00CF6302"/>
    <w:rsid w:val="00D00330"/>
    <w:rsid w:val="00D0089D"/>
    <w:rsid w:val="00D00FD6"/>
    <w:rsid w:val="00D012B0"/>
    <w:rsid w:val="00D027E6"/>
    <w:rsid w:val="00D02E83"/>
    <w:rsid w:val="00D03079"/>
    <w:rsid w:val="00D03616"/>
    <w:rsid w:val="00D03F7E"/>
    <w:rsid w:val="00D04A2A"/>
    <w:rsid w:val="00D05841"/>
    <w:rsid w:val="00D05C27"/>
    <w:rsid w:val="00D05D30"/>
    <w:rsid w:val="00D05F8E"/>
    <w:rsid w:val="00D06F43"/>
    <w:rsid w:val="00D07BB7"/>
    <w:rsid w:val="00D10BDF"/>
    <w:rsid w:val="00D110CF"/>
    <w:rsid w:val="00D1186B"/>
    <w:rsid w:val="00D11C10"/>
    <w:rsid w:val="00D12DCB"/>
    <w:rsid w:val="00D132FA"/>
    <w:rsid w:val="00D13EB0"/>
    <w:rsid w:val="00D1424F"/>
    <w:rsid w:val="00D144D9"/>
    <w:rsid w:val="00D1582D"/>
    <w:rsid w:val="00D15D33"/>
    <w:rsid w:val="00D1749C"/>
    <w:rsid w:val="00D202A1"/>
    <w:rsid w:val="00D20CE3"/>
    <w:rsid w:val="00D21063"/>
    <w:rsid w:val="00D214C1"/>
    <w:rsid w:val="00D219D6"/>
    <w:rsid w:val="00D228CE"/>
    <w:rsid w:val="00D23477"/>
    <w:rsid w:val="00D23754"/>
    <w:rsid w:val="00D24728"/>
    <w:rsid w:val="00D25027"/>
    <w:rsid w:val="00D254BA"/>
    <w:rsid w:val="00D256CC"/>
    <w:rsid w:val="00D2585B"/>
    <w:rsid w:val="00D26A8A"/>
    <w:rsid w:val="00D305E7"/>
    <w:rsid w:val="00D31519"/>
    <w:rsid w:val="00D31E7C"/>
    <w:rsid w:val="00D32C28"/>
    <w:rsid w:val="00D3428F"/>
    <w:rsid w:val="00D3493F"/>
    <w:rsid w:val="00D34D18"/>
    <w:rsid w:val="00D35071"/>
    <w:rsid w:val="00D359A1"/>
    <w:rsid w:val="00D37B8F"/>
    <w:rsid w:val="00D37D8A"/>
    <w:rsid w:val="00D40574"/>
    <w:rsid w:val="00D41A52"/>
    <w:rsid w:val="00D41B13"/>
    <w:rsid w:val="00D42966"/>
    <w:rsid w:val="00D44789"/>
    <w:rsid w:val="00D46800"/>
    <w:rsid w:val="00D46C7E"/>
    <w:rsid w:val="00D46D6E"/>
    <w:rsid w:val="00D4786B"/>
    <w:rsid w:val="00D50B41"/>
    <w:rsid w:val="00D50E0E"/>
    <w:rsid w:val="00D51662"/>
    <w:rsid w:val="00D519B7"/>
    <w:rsid w:val="00D51D7E"/>
    <w:rsid w:val="00D52B7F"/>
    <w:rsid w:val="00D53657"/>
    <w:rsid w:val="00D53AA6"/>
    <w:rsid w:val="00D54C49"/>
    <w:rsid w:val="00D55598"/>
    <w:rsid w:val="00D557BF"/>
    <w:rsid w:val="00D56517"/>
    <w:rsid w:val="00D571B4"/>
    <w:rsid w:val="00D60C9C"/>
    <w:rsid w:val="00D620BC"/>
    <w:rsid w:val="00D6289E"/>
    <w:rsid w:val="00D62F4F"/>
    <w:rsid w:val="00D6337A"/>
    <w:rsid w:val="00D63C8B"/>
    <w:rsid w:val="00D63CFD"/>
    <w:rsid w:val="00D641D6"/>
    <w:rsid w:val="00D65888"/>
    <w:rsid w:val="00D66301"/>
    <w:rsid w:val="00D701DD"/>
    <w:rsid w:val="00D70B1F"/>
    <w:rsid w:val="00D717AD"/>
    <w:rsid w:val="00D72659"/>
    <w:rsid w:val="00D72C6E"/>
    <w:rsid w:val="00D72DDD"/>
    <w:rsid w:val="00D7419B"/>
    <w:rsid w:val="00D742B5"/>
    <w:rsid w:val="00D7654E"/>
    <w:rsid w:val="00D77279"/>
    <w:rsid w:val="00D80209"/>
    <w:rsid w:val="00D8047B"/>
    <w:rsid w:val="00D81445"/>
    <w:rsid w:val="00D82509"/>
    <w:rsid w:val="00D825EA"/>
    <w:rsid w:val="00D82A17"/>
    <w:rsid w:val="00D83995"/>
    <w:rsid w:val="00D83CC0"/>
    <w:rsid w:val="00D83D8F"/>
    <w:rsid w:val="00D84607"/>
    <w:rsid w:val="00D84901"/>
    <w:rsid w:val="00D84D5B"/>
    <w:rsid w:val="00D86250"/>
    <w:rsid w:val="00D8651C"/>
    <w:rsid w:val="00D86879"/>
    <w:rsid w:val="00D87A46"/>
    <w:rsid w:val="00D87EFC"/>
    <w:rsid w:val="00D91654"/>
    <w:rsid w:val="00D93CB3"/>
    <w:rsid w:val="00D95665"/>
    <w:rsid w:val="00D96D6A"/>
    <w:rsid w:val="00D96F97"/>
    <w:rsid w:val="00D97421"/>
    <w:rsid w:val="00D97481"/>
    <w:rsid w:val="00D97C66"/>
    <w:rsid w:val="00DA10A4"/>
    <w:rsid w:val="00DA1B90"/>
    <w:rsid w:val="00DA42B5"/>
    <w:rsid w:val="00DA59DF"/>
    <w:rsid w:val="00DA5B20"/>
    <w:rsid w:val="00DA70B4"/>
    <w:rsid w:val="00DA78F5"/>
    <w:rsid w:val="00DB0CC6"/>
    <w:rsid w:val="00DB278E"/>
    <w:rsid w:val="00DB32BF"/>
    <w:rsid w:val="00DB3ABE"/>
    <w:rsid w:val="00DB3C4B"/>
    <w:rsid w:val="00DB5B03"/>
    <w:rsid w:val="00DB6078"/>
    <w:rsid w:val="00DB63A4"/>
    <w:rsid w:val="00DB76D9"/>
    <w:rsid w:val="00DB7A60"/>
    <w:rsid w:val="00DC0E99"/>
    <w:rsid w:val="00DC162F"/>
    <w:rsid w:val="00DC2E09"/>
    <w:rsid w:val="00DC330A"/>
    <w:rsid w:val="00DC4A62"/>
    <w:rsid w:val="00DC596C"/>
    <w:rsid w:val="00DC5D02"/>
    <w:rsid w:val="00DC6559"/>
    <w:rsid w:val="00DC6563"/>
    <w:rsid w:val="00DC6A5E"/>
    <w:rsid w:val="00DC7221"/>
    <w:rsid w:val="00DD0F62"/>
    <w:rsid w:val="00DD20B7"/>
    <w:rsid w:val="00DD233A"/>
    <w:rsid w:val="00DD254F"/>
    <w:rsid w:val="00DD2820"/>
    <w:rsid w:val="00DD2851"/>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E788A"/>
    <w:rsid w:val="00DF0540"/>
    <w:rsid w:val="00DF0E56"/>
    <w:rsid w:val="00DF1356"/>
    <w:rsid w:val="00DF1AB2"/>
    <w:rsid w:val="00DF2E92"/>
    <w:rsid w:val="00DF466E"/>
    <w:rsid w:val="00DF4704"/>
    <w:rsid w:val="00DF505B"/>
    <w:rsid w:val="00DF5933"/>
    <w:rsid w:val="00DF5E87"/>
    <w:rsid w:val="00DF631B"/>
    <w:rsid w:val="00DF78FB"/>
    <w:rsid w:val="00E005BB"/>
    <w:rsid w:val="00E006CC"/>
    <w:rsid w:val="00E00849"/>
    <w:rsid w:val="00E019D5"/>
    <w:rsid w:val="00E02095"/>
    <w:rsid w:val="00E05350"/>
    <w:rsid w:val="00E05851"/>
    <w:rsid w:val="00E05AD0"/>
    <w:rsid w:val="00E10155"/>
    <w:rsid w:val="00E10A0D"/>
    <w:rsid w:val="00E110A5"/>
    <w:rsid w:val="00E11F9C"/>
    <w:rsid w:val="00E125C6"/>
    <w:rsid w:val="00E13119"/>
    <w:rsid w:val="00E14F90"/>
    <w:rsid w:val="00E162B6"/>
    <w:rsid w:val="00E1739F"/>
    <w:rsid w:val="00E1762B"/>
    <w:rsid w:val="00E179DC"/>
    <w:rsid w:val="00E20610"/>
    <w:rsid w:val="00E24AAC"/>
    <w:rsid w:val="00E258BC"/>
    <w:rsid w:val="00E25EE0"/>
    <w:rsid w:val="00E25FA3"/>
    <w:rsid w:val="00E30C19"/>
    <w:rsid w:val="00E30F31"/>
    <w:rsid w:val="00E31019"/>
    <w:rsid w:val="00E3116D"/>
    <w:rsid w:val="00E3304F"/>
    <w:rsid w:val="00E35E8A"/>
    <w:rsid w:val="00E368C9"/>
    <w:rsid w:val="00E37663"/>
    <w:rsid w:val="00E3787C"/>
    <w:rsid w:val="00E37E61"/>
    <w:rsid w:val="00E43E68"/>
    <w:rsid w:val="00E44556"/>
    <w:rsid w:val="00E44D46"/>
    <w:rsid w:val="00E44D65"/>
    <w:rsid w:val="00E454E2"/>
    <w:rsid w:val="00E458FF"/>
    <w:rsid w:val="00E46472"/>
    <w:rsid w:val="00E46890"/>
    <w:rsid w:val="00E46C54"/>
    <w:rsid w:val="00E46E66"/>
    <w:rsid w:val="00E4787F"/>
    <w:rsid w:val="00E50592"/>
    <w:rsid w:val="00E50A96"/>
    <w:rsid w:val="00E50ECC"/>
    <w:rsid w:val="00E523AE"/>
    <w:rsid w:val="00E52E82"/>
    <w:rsid w:val="00E52F76"/>
    <w:rsid w:val="00E537FF"/>
    <w:rsid w:val="00E556FA"/>
    <w:rsid w:val="00E557C1"/>
    <w:rsid w:val="00E565FB"/>
    <w:rsid w:val="00E56885"/>
    <w:rsid w:val="00E56AC9"/>
    <w:rsid w:val="00E577BF"/>
    <w:rsid w:val="00E57816"/>
    <w:rsid w:val="00E60DC6"/>
    <w:rsid w:val="00E61319"/>
    <w:rsid w:val="00E62569"/>
    <w:rsid w:val="00E6356C"/>
    <w:rsid w:val="00E65DDE"/>
    <w:rsid w:val="00E669C4"/>
    <w:rsid w:val="00E66EAD"/>
    <w:rsid w:val="00E6740C"/>
    <w:rsid w:val="00E7030A"/>
    <w:rsid w:val="00E70DF0"/>
    <w:rsid w:val="00E70E21"/>
    <w:rsid w:val="00E70FCB"/>
    <w:rsid w:val="00E71027"/>
    <w:rsid w:val="00E71043"/>
    <w:rsid w:val="00E71691"/>
    <w:rsid w:val="00E71D99"/>
    <w:rsid w:val="00E71FB7"/>
    <w:rsid w:val="00E723AC"/>
    <w:rsid w:val="00E72466"/>
    <w:rsid w:val="00E725B6"/>
    <w:rsid w:val="00E72ED0"/>
    <w:rsid w:val="00E731A3"/>
    <w:rsid w:val="00E759AB"/>
    <w:rsid w:val="00E75ACD"/>
    <w:rsid w:val="00E76ADF"/>
    <w:rsid w:val="00E77594"/>
    <w:rsid w:val="00E81AA1"/>
    <w:rsid w:val="00E821BF"/>
    <w:rsid w:val="00E835E9"/>
    <w:rsid w:val="00E840AA"/>
    <w:rsid w:val="00E85252"/>
    <w:rsid w:val="00E85665"/>
    <w:rsid w:val="00E858C0"/>
    <w:rsid w:val="00E8692D"/>
    <w:rsid w:val="00E87299"/>
    <w:rsid w:val="00E909DF"/>
    <w:rsid w:val="00E90EE0"/>
    <w:rsid w:val="00E92647"/>
    <w:rsid w:val="00E940B0"/>
    <w:rsid w:val="00E950BC"/>
    <w:rsid w:val="00E95510"/>
    <w:rsid w:val="00E95FC7"/>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B1D25"/>
    <w:rsid w:val="00EB1EB7"/>
    <w:rsid w:val="00EB264B"/>
    <w:rsid w:val="00EB30C9"/>
    <w:rsid w:val="00EB31F4"/>
    <w:rsid w:val="00EB37BB"/>
    <w:rsid w:val="00EB3E36"/>
    <w:rsid w:val="00EB4370"/>
    <w:rsid w:val="00EB511A"/>
    <w:rsid w:val="00EB5A71"/>
    <w:rsid w:val="00EB5CEB"/>
    <w:rsid w:val="00EB6D36"/>
    <w:rsid w:val="00EC26B0"/>
    <w:rsid w:val="00EC3897"/>
    <w:rsid w:val="00EC3E42"/>
    <w:rsid w:val="00EC3E4C"/>
    <w:rsid w:val="00EC4745"/>
    <w:rsid w:val="00EC4FED"/>
    <w:rsid w:val="00EC5A36"/>
    <w:rsid w:val="00EC6B24"/>
    <w:rsid w:val="00EC7073"/>
    <w:rsid w:val="00EC7600"/>
    <w:rsid w:val="00ED280B"/>
    <w:rsid w:val="00ED3388"/>
    <w:rsid w:val="00ED440C"/>
    <w:rsid w:val="00EE15CE"/>
    <w:rsid w:val="00EE1C69"/>
    <w:rsid w:val="00EE2BC4"/>
    <w:rsid w:val="00EE3379"/>
    <w:rsid w:val="00EE4B04"/>
    <w:rsid w:val="00EE52D6"/>
    <w:rsid w:val="00EE6C9E"/>
    <w:rsid w:val="00EE77F7"/>
    <w:rsid w:val="00EE7DB4"/>
    <w:rsid w:val="00EF0435"/>
    <w:rsid w:val="00EF11AE"/>
    <w:rsid w:val="00EF1969"/>
    <w:rsid w:val="00EF2589"/>
    <w:rsid w:val="00EF25EC"/>
    <w:rsid w:val="00EF34B9"/>
    <w:rsid w:val="00EF383F"/>
    <w:rsid w:val="00EF4D92"/>
    <w:rsid w:val="00EF5378"/>
    <w:rsid w:val="00EF573C"/>
    <w:rsid w:val="00EF6541"/>
    <w:rsid w:val="00EF6550"/>
    <w:rsid w:val="00EF7219"/>
    <w:rsid w:val="00F02B7B"/>
    <w:rsid w:val="00F04175"/>
    <w:rsid w:val="00F04EDB"/>
    <w:rsid w:val="00F056F4"/>
    <w:rsid w:val="00F0659B"/>
    <w:rsid w:val="00F0678A"/>
    <w:rsid w:val="00F074BF"/>
    <w:rsid w:val="00F077A8"/>
    <w:rsid w:val="00F07B5E"/>
    <w:rsid w:val="00F102CD"/>
    <w:rsid w:val="00F1048B"/>
    <w:rsid w:val="00F10951"/>
    <w:rsid w:val="00F10B61"/>
    <w:rsid w:val="00F132A8"/>
    <w:rsid w:val="00F1394D"/>
    <w:rsid w:val="00F142FD"/>
    <w:rsid w:val="00F15947"/>
    <w:rsid w:val="00F177C2"/>
    <w:rsid w:val="00F17A16"/>
    <w:rsid w:val="00F201B9"/>
    <w:rsid w:val="00F218B7"/>
    <w:rsid w:val="00F21A48"/>
    <w:rsid w:val="00F244E5"/>
    <w:rsid w:val="00F24E6F"/>
    <w:rsid w:val="00F250C0"/>
    <w:rsid w:val="00F257CE"/>
    <w:rsid w:val="00F25BBC"/>
    <w:rsid w:val="00F26294"/>
    <w:rsid w:val="00F31BDD"/>
    <w:rsid w:val="00F32E9B"/>
    <w:rsid w:val="00F33550"/>
    <w:rsid w:val="00F338E7"/>
    <w:rsid w:val="00F33973"/>
    <w:rsid w:val="00F35F68"/>
    <w:rsid w:val="00F3765A"/>
    <w:rsid w:val="00F40413"/>
    <w:rsid w:val="00F40E31"/>
    <w:rsid w:val="00F425D9"/>
    <w:rsid w:val="00F42E3D"/>
    <w:rsid w:val="00F43B23"/>
    <w:rsid w:val="00F5030C"/>
    <w:rsid w:val="00F51023"/>
    <w:rsid w:val="00F52C95"/>
    <w:rsid w:val="00F5367B"/>
    <w:rsid w:val="00F5387B"/>
    <w:rsid w:val="00F5467E"/>
    <w:rsid w:val="00F54BA5"/>
    <w:rsid w:val="00F54BE0"/>
    <w:rsid w:val="00F54FF0"/>
    <w:rsid w:val="00F57CFE"/>
    <w:rsid w:val="00F60A49"/>
    <w:rsid w:val="00F60F45"/>
    <w:rsid w:val="00F61552"/>
    <w:rsid w:val="00F620B2"/>
    <w:rsid w:val="00F63864"/>
    <w:rsid w:val="00F6407E"/>
    <w:rsid w:val="00F66D2D"/>
    <w:rsid w:val="00F71596"/>
    <w:rsid w:val="00F72CE5"/>
    <w:rsid w:val="00F72F9B"/>
    <w:rsid w:val="00F7399D"/>
    <w:rsid w:val="00F73E5E"/>
    <w:rsid w:val="00F74C40"/>
    <w:rsid w:val="00F76033"/>
    <w:rsid w:val="00F7618B"/>
    <w:rsid w:val="00F7699A"/>
    <w:rsid w:val="00F8252F"/>
    <w:rsid w:val="00F825D9"/>
    <w:rsid w:val="00F8391F"/>
    <w:rsid w:val="00F83B13"/>
    <w:rsid w:val="00F84339"/>
    <w:rsid w:val="00F846A9"/>
    <w:rsid w:val="00F8554C"/>
    <w:rsid w:val="00F856E9"/>
    <w:rsid w:val="00F85F2D"/>
    <w:rsid w:val="00F862D0"/>
    <w:rsid w:val="00F86355"/>
    <w:rsid w:val="00F869A4"/>
    <w:rsid w:val="00F86D4B"/>
    <w:rsid w:val="00F9051D"/>
    <w:rsid w:val="00F90909"/>
    <w:rsid w:val="00F90B81"/>
    <w:rsid w:val="00F92344"/>
    <w:rsid w:val="00F92764"/>
    <w:rsid w:val="00F93B5C"/>
    <w:rsid w:val="00F94116"/>
    <w:rsid w:val="00F94DD6"/>
    <w:rsid w:val="00F95126"/>
    <w:rsid w:val="00F959A5"/>
    <w:rsid w:val="00F95B7B"/>
    <w:rsid w:val="00F95D6A"/>
    <w:rsid w:val="00F962F3"/>
    <w:rsid w:val="00F96371"/>
    <w:rsid w:val="00F96718"/>
    <w:rsid w:val="00FA04AD"/>
    <w:rsid w:val="00FA19CC"/>
    <w:rsid w:val="00FA1CA2"/>
    <w:rsid w:val="00FA1DC6"/>
    <w:rsid w:val="00FA2035"/>
    <w:rsid w:val="00FA296B"/>
    <w:rsid w:val="00FA2A2D"/>
    <w:rsid w:val="00FA2C37"/>
    <w:rsid w:val="00FA2EE0"/>
    <w:rsid w:val="00FA41CF"/>
    <w:rsid w:val="00FA4281"/>
    <w:rsid w:val="00FA467D"/>
    <w:rsid w:val="00FA69A5"/>
    <w:rsid w:val="00FA6B86"/>
    <w:rsid w:val="00FA759D"/>
    <w:rsid w:val="00FB2670"/>
    <w:rsid w:val="00FB277F"/>
    <w:rsid w:val="00FB2C32"/>
    <w:rsid w:val="00FB37FF"/>
    <w:rsid w:val="00FB3CF9"/>
    <w:rsid w:val="00FB5436"/>
    <w:rsid w:val="00FB57A6"/>
    <w:rsid w:val="00FB5905"/>
    <w:rsid w:val="00FB655B"/>
    <w:rsid w:val="00FC0D89"/>
    <w:rsid w:val="00FC0FA3"/>
    <w:rsid w:val="00FC1E77"/>
    <w:rsid w:val="00FC4018"/>
    <w:rsid w:val="00FC41C1"/>
    <w:rsid w:val="00FC4360"/>
    <w:rsid w:val="00FC6223"/>
    <w:rsid w:val="00FC6328"/>
    <w:rsid w:val="00FC6FB3"/>
    <w:rsid w:val="00FD0B7B"/>
    <w:rsid w:val="00FD12D9"/>
    <w:rsid w:val="00FD1787"/>
    <w:rsid w:val="00FD20F9"/>
    <w:rsid w:val="00FD2772"/>
    <w:rsid w:val="00FD31FF"/>
    <w:rsid w:val="00FE00B5"/>
    <w:rsid w:val="00FE027F"/>
    <w:rsid w:val="00FE2EE5"/>
    <w:rsid w:val="00FE32C0"/>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D01A7EFA-595C-4B00-8F08-C7306CEA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8B38C3"/>
    <w:pPr>
      <w:keepNext/>
      <w:keepLines/>
      <w:widowControl/>
      <w:autoSpaceDE/>
      <w:autoSpaceDN/>
      <w:adjustRightInd/>
      <w:spacing w:before="480" w:line="276" w:lineRule="auto"/>
      <w:jc w:val="center"/>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151F3B"/>
    <w:pPr>
      <w:keepNext/>
      <w:keepLines/>
      <w:spacing w:before="40"/>
      <w:outlineLvl w:val="3"/>
    </w:pPr>
    <w:rPr>
      <w:rFonts w:eastAsiaTheme="majorEastAsia" w:cstheme="majorBidi"/>
      <w:b/>
      <w:iCs/>
      <w:sz w:val="28"/>
      <w:szCs w:val="28"/>
      <w:u w:val="single"/>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8C3"/>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1"/>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link w:val="DefaultChar"/>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151F3B"/>
    <w:rPr>
      <w:rFonts w:eastAsiaTheme="majorEastAsia" w:cstheme="majorBidi"/>
      <w:b/>
      <w:iCs/>
      <w:sz w:val="28"/>
      <w:szCs w:val="28"/>
      <w:u w:val="single"/>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 w:type="character" w:customStyle="1" w:styleId="DefaultChar">
    <w:name w:val="Default Char"/>
    <w:basedOn w:val="DefaultParagraphFont"/>
    <w:link w:val="Default"/>
    <w:locked/>
    <w:rsid w:val="009752FF"/>
    <w:rPr>
      <w:rFonts w:ascii="Times New Roman" w:hAnsi="Times New Roman"/>
      <w:color w:val="000000"/>
      <w:sz w:val="24"/>
      <w:szCs w:val="24"/>
    </w:rPr>
  </w:style>
  <w:style w:type="table" w:customStyle="1" w:styleId="GridTable41">
    <w:name w:val="Grid Table 41"/>
    <w:basedOn w:val="TableNormal"/>
    <w:next w:val="GridTable4"/>
    <w:uiPriority w:val="49"/>
    <w:rsid w:val="00E30F3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2074">
      <w:bodyDiv w:val="1"/>
      <w:marLeft w:val="0"/>
      <w:marRight w:val="0"/>
      <w:marTop w:val="0"/>
      <w:marBottom w:val="0"/>
      <w:divBdr>
        <w:top w:val="none" w:sz="0" w:space="0" w:color="auto"/>
        <w:left w:val="none" w:sz="0" w:space="0" w:color="auto"/>
        <w:bottom w:val="none" w:sz="0" w:space="0" w:color="auto"/>
        <w:right w:val="none" w:sz="0" w:space="0" w:color="auto"/>
      </w:divBdr>
    </w:div>
    <w:div w:id="132796482">
      <w:bodyDiv w:val="1"/>
      <w:marLeft w:val="0"/>
      <w:marRight w:val="0"/>
      <w:marTop w:val="0"/>
      <w:marBottom w:val="0"/>
      <w:divBdr>
        <w:top w:val="none" w:sz="0" w:space="0" w:color="auto"/>
        <w:left w:val="none" w:sz="0" w:space="0" w:color="auto"/>
        <w:bottom w:val="none" w:sz="0" w:space="0" w:color="auto"/>
        <w:right w:val="none" w:sz="0" w:space="0" w:color="auto"/>
      </w:divBdr>
    </w:div>
    <w:div w:id="144514964">
      <w:bodyDiv w:val="1"/>
      <w:marLeft w:val="0"/>
      <w:marRight w:val="0"/>
      <w:marTop w:val="0"/>
      <w:marBottom w:val="0"/>
      <w:divBdr>
        <w:top w:val="none" w:sz="0" w:space="0" w:color="auto"/>
        <w:left w:val="none" w:sz="0" w:space="0" w:color="auto"/>
        <w:bottom w:val="none" w:sz="0" w:space="0" w:color="auto"/>
        <w:right w:val="none" w:sz="0" w:space="0" w:color="auto"/>
      </w:divBdr>
    </w:div>
    <w:div w:id="224991859">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00505432">
      <w:bodyDiv w:val="1"/>
      <w:marLeft w:val="0"/>
      <w:marRight w:val="0"/>
      <w:marTop w:val="0"/>
      <w:marBottom w:val="0"/>
      <w:divBdr>
        <w:top w:val="none" w:sz="0" w:space="0" w:color="auto"/>
        <w:left w:val="none" w:sz="0" w:space="0" w:color="auto"/>
        <w:bottom w:val="none" w:sz="0" w:space="0" w:color="auto"/>
        <w:right w:val="none" w:sz="0" w:space="0" w:color="auto"/>
      </w:divBdr>
    </w:div>
    <w:div w:id="323627701">
      <w:bodyDiv w:val="1"/>
      <w:marLeft w:val="0"/>
      <w:marRight w:val="0"/>
      <w:marTop w:val="0"/>
      <w:marBottom w:val="0"/>
      <w:divBdr>
        <w:top w:val="none" w:sz="0" w:space="0" w:color="auto"/>
        <w:left w:val="none" w:sz="0" w:space="0" w:color="auto"/>
        <w:bottom w:val="none" w:sz="0" w:space="0" w:color="auto"/>
        <w:right w:val="none" w:sz="0" w:space="0" w:color="auto"/>
      </w:divBdr>
    </w:div>
    <w:div w:id="466317417">
      <w:bodyDiv w:val="1"/>
      <w:marLeft w:val="0"/>
      <w:marRight w:val="0"/>
      <w:marTop w:val="0"/>
      <w:marBottom w:val="0"/>
      <w:divBdr>
        <w:top w:val="none" w:sz="0" w:space="0" w:color="auto"/>
        <w:left w:val="none" w:sz="0" w:space="0" w:color="auto"/>
        <w:bottom w:val="none" w:sz="0" w:space="0" w:color="auto"/>
        <w:right w:val="none" w:sz="0" w:space="0" w:color="auto"/>
      </w:divBdr>
    </w:div>
    <w:div w:id="579220649">
      <w:bodyDiv w:val="1"/>
      <w:marLeft w:val="0"/>
      <w:marRight w:val="0"/>
      <w:marTop w:val="0"/>
      <w:marBottom w:val="0"/>
      <w:divBdr>
        <w:top w:val="none" w:sz="0" w:space="0" w:color="auto"/>
        <w:left w:val="none" w:sz="0" w:space="0" w:color="auto"/>
        <w:bottom w:val="none" w:sz="0" w:space="0" w:color="auto"/>
        <w:right w:val="none" w:sz="0" w:space="0" w:color="auto"/>
      </w:divBdr>
    </w:div>
    <w:div w:id="612787911">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828713809">
      <w:bodyDiv w:val="1"/>
      <w:marLeft w:val="0"/>
      <w:marRight w:val="0"/>
      <w:marTop w:val="0"/>
      <w:marBottom w:val="0"/>
      <w:divBdr>
        <w:top w:val="none" w:sz="0" w:space="0" w:color="auto"/>
        <w:left w:val="none" w:sz="0" w:space="0" w:color="auto"/>
        <w:bottom w:val="none" w:sz="0" w:space="0" w:color="auto"/>
        <w:right w:val="none" w:sz="0" w:space="0" w:color="auto"/>
      </w:divBdr>
    </w:div>
    <w:div w:id="884291444">
      <w:bodyDiv w:val="1"/>
      <w:marLeft w:val="0"/>
      <w:marRight w:val="0"/>
      <w:marTop w:val="0"/>
      <w:marBottom w:val="0"/>
      <w:divBdr>
        <w:top w:val="none" w:sz="0" w:space="0" w:color="auto"/>
        <w:left w:val="none" w:sz="0" w:space="0" w:color="auto"/>
        <w:bottom w:val="none" w:sz="0" w:space="0" w:color="auto"/>
        <w:right w:val="none" w:sz="0" w:space="0" w:color="auto"/>
      </w:divBdr>
    </w:div>
    <w:div w:id="949387035">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60205101">
      <w:bodyDiv w:val="1"/>
      <w:marLeft w:val="0"/>
      <w:marRight w:val="0"/>
      <w:marTop w:val="0"/>
      <w:marBottom w:val="0"/>
      <w:divBdr>
        <w:top w:val="none" w:sz="0" w:space="0" w:color="auto"/>
        <w:left w:val="none" w:sz="0" w:space="0" w:color="auto"/>
        <w:bottom w:val="none" w:sz="0" w:space="0" w:color="auto"/>
        <w:right w:val="none" w:sz="0" w:space="0" w:color="auto"/>
      </w:divBdr>
    </w:div>
    <w:div w:id="107643941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28035511">
      <w:bodyDiv w:val="1"/>
      <w:marLeft w:val="0"/>
      <w:marRight w:val="0"/>
      <w:marTop w:val="0"/>
      <w:marBottom w:val="0"/>
      <w:divBdr>
        <w:top w:val="none" w:sz="0" w:space="0" w:color="auto"/>
        <w:left w:val="none" w:sz="0" w:space="0" w:color="auto"/>
        <w:bottom w:val="none" w:sz="0" w:space="0" w:color="auto"/>
        <w:right w:val="none" w:sz="0" w:space="0" w:color="auto"/>
      </w:divBdr>
    </w:div>
    <w:div w:id="1238586922">
      <w:bodyDiv w:val="1"/>
      <w:marLeft w:val="0"/>
      <w:marRight w:val="0"/>
      <w:marTop w:val="0"/>
      <w:marBottom w:val="0"/>
      <w:divBdr>
        <w:top w:val="none" w:sz="0" w:space="0" w:color="auto"/>
        <w:left w:val="none" w:sz="0" w:space="0" w:color="auto"/>
        <w:bottom w:val="none" w:sz="0" w:space="0" w:color="auto"/>
        <w:right w:val="none" w:sz="0" w:space="0" w:color="auto"/>
      </w:divBdr>
    </w:div>
    <w:div w:id="1478642760">
      <w:bodyDiv w:val="1"/>
      <w:marLeft w:val="0"/>
      <w:marRight w:val="0"/>
      <w:marTop w:val="0"/>
      <w:marBottom w:val="0"/>
      <w:divBdr>
        <w:top w:val="none" w:sz="0" w:space="0" w:color="auto"/>
        <w:left w:val="none" w:sz="0" w:space="0" w:color="auto"/>
        <w:bottom w:val="none" w:sz="0" w:space="0" w:color="auto"/>
        <w:right w:val="none" w:sz="0" w:space="0" w:color="auto"/>
      </w:divBdr>
    </w:div>
    <w:div w:id="1486311362">
      <w:bodyDiv w:val="1"/>
      <w:marLeft w:val="0"/>
      <w:marRight w:val="0"/>
      <w:marTop w:val="0"/>
      <w:marBottom w:val="0"/>
      <w:divBdr>
        <w:top w:val="none" w:sz="0" w:space="0" w:color="auto"/>
        <w:left w:val="none" w:sz="0" w:space="0" w:color="auto"/>
        <w:bottom w:val="none" w:sz="0" w:space="0" w:color="auto"/>
        <w:right w:val="none" w:sz="0" w:space="0" w:color="auto"/>
      </w:divBdr>
    </w:div>
    <w:div w:id="1920095380">
      <w:bodyDiv w:val="1"/>
      <w:marLeft w:val="0"/>
      <w:marRight w:val="0"/>
      <w:marTop w:val="0"/>
      <w:marBottom w:val="0"/>
      <w:divBdr>
        <w:top w:val="none" w:sz="0" w:space="0" w:color="auto"/>
        <w:left w:val="none" w:sz="0" w:space="0" w:color="auto"/>
        <w:bottom w:val="none" w:sz="0" w:space="0" w:color="auto"/>
        <w:right w:val="none" w:sz="0" w:space="0" w:color="auto"/>
      </w:divBdr>
    </w:div>
    <w:div w:id="1973440521">
      <w:bodyDiv w:val="1"/>
      <w:marLeft w:val="0"/>
      <w:marRight w:val="0"/>
      <w:marTop w:val="0"/>
      <w:marBottom w:val="0"/>
      <w:divBdr>
        <w:top w:val="none" w:sz="0" w:space="0" w:color="auto"/>
        <w:left w:val="none" w:sz="0" w:space="0" w:color="auto"/>
        <w:bottom w:val="none" w:sz="0" w:space="0" w:color="auto"/>
        <w:right w:val="none" w:sz="0" w:space="0" w:color="auto"/>
      </w:divBdr>
    </w:div>
    <w:div w:id="1990861740">
      <w:bodyDiv w:val="1"/>
      <w:marLeft w:val="0"/>
      <w:marRight w:val="0"/>
      <w:marTop w:val="0"/>
      <w:marBottom w:val="0"/>
      <w:divBdr>
        <w:top w:val="none" w:sz="0" w:space="0" w:color="auto"/>
        <w:left w:val="none" w:sz="0" w:space="0" w:color="auto"/>
        <w:bottom w:val="none" w:sz="0" w:space="0" w:color="auto"/>
        <w:right w:val="none" w:sz="0" w:space="0" w:color="auto"/>
      </w:divBdr>
    </w:div>
    <w:div w:id="2041977173">
      <w:bodyDiv w:val="1"/>
      <w:marLeft w:val="0"/>
      <w:marRight w:val="0"/>
      <w:marTop w:val="0"/>
      <w:marBottom w:val="0"/>
      <w:divBdr>
        <w:top w:val="none" w:sz="0" w:space="0" w:color="auto"/>
        <w:left w:val="none" w:sz="0" w:space="0" w:color="auto"/>
        <w:bottom w:val="none" w:sz="0" w:space="0" w:color="auto"/>
        <w:right w:val="none" w:sz="0" w:space="0" w:color="auto"/>
      </w:divBdr>
    </w:div>
    <w:div w:id="21406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9964-630A-4F69-9303-D397452D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6827</Words>
  <Characters>37600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dc:description/>
  <cp:lastModifiedBy>Tanner, Paul - OSHA</cp:lastModifiedBy>
  <cp:revision>2</cp:revision>
  <cp:lastPrinted>2025-02-24T15:21:00Z</cp:lastPrinted>
  <dcterms:created xsi:type="dcterms:W3CDTF">2025-06-09T16:10:00Z</dcterms:created>
  <dcterms:modified xsi:type="dcterms:W3CDTF">2025-06-11T18:44:00Z</dcterms:modified>
</cp:coreProperties>
</file>