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76475B24" w:rsidR="000A134A" w:rsidRPr="001C1E47" w:rsidRDefault="002511E9" w:rsidP="003568FA">
      <w:pPr>
        <w:pStyle w:val="Heading1"/>
        <w:jc w:val="center"/>
      </w:pPr>
      <w:bookmarkStart w:id="0" w:name="_Toc118900169"/>
      <w:bookmarkStart w:id="1" w:name="_Toc118905008"/>
      <w:r w:rsidRPr="001C1E47">
        <w:rPr>
          <w:iCs/>
        </w:rPr>
        <w:t>FY 2</w:t>
      </w:r>
      <w:r w:rsidR="00BD0358">
        <w:rPr>
          <w:iCs/>
        </w:rPr>
        <w:t>0</w:t>
      </w:r>
      <w:r w:rsidR="002F4EFA">
        <w:rPr>
          <w:iCs/>
        </w:rPr>
        <w:t>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3568FA">
      <w:pPr>
        <w:widowControl/>
        <w:autoSpaceDE/>
        <w:autoSpaceDN/>
        <w:adjustRightInd/>
        <w:jc w:val="center"/>
        <w:rPr>
          <w:rFonts w:cs="Calibri"/>
          <w:bCs/>
          <w:iCs/>
        </w:rPr>
      </w:pPr>
    </w:p>
    <w:p w14:paraId="2681F091" w14:textId="52105DAA" w:rsidR="000A134A" w:rsidRPr="001C1E47" w:rsidRDefault="000A134A" w:rsidP="003568FA">
      <w:pPr>
        <w:widowControl/>
        <w:autoSpaceDE/>
        <w:autoSpaceDN/>
        <w:adjustRightInd/>
        <w:jc w:val="center"/>
        <w:rPr>
          <w:rFonts w:cs="Calibri"/>
        </w:rPr>
      </w:pPr>
    </w:p>
    <w:p w14:paraId="79EABCEA" w14:textId="6AA7A0A5" w:rsidR="00AC7B5B" w:rsidRPr="00AC7B5B" w:rsidRDefault="00AC7B5B" w:rsidP="003568FA">
      <w:pPr>
        <w:widowControl/>
        <w:autoSpaceDE/>
        <w:autoSpaceDN/>
        <w:adjustRightInd/>
        <w:jc w:val="center"/>
        <w:rPr>
          <w:rFonts w:cs="Calibri"/>
          <w:b/>
        </w:rPr>
      </w:pPr>
      <w:r w:rsidRPr="00AC7B5B">
        <w:rPr>
          <w:rFonts w:cs="Calibri"/>
          <w:b/>
        </w:rPr>
        <w:t>State of Minnesota</w:t>
      </w:r>
    </w:p>
    <w:p w14:paraId="51905CA0" w14:textId="0E0BDE25" w:rsidR="000A134A" w:rsidRPr="00AC7B5B" w:rsidRDefault="00AC7B5B" w:rsidP="003568FA">
      <w:pPr>
        <w:widowControl/>
        <w:autoSpaceDE/>
        <w:autoSpaceDN/>
        <w:adjustRightInd/>
        <w:jc w:val="center"/>
        <w:rPr>
          <w:rFonts w:cs="Calibri"/>
          <w:b/>
        </w:rPr>
      </w:pPr>
      <w:r w:rsidRPr="00AC7B5B">
        <w:rPr>
          <w:rFonts w:cs="Calibri"/>
          <w:b/>
        </w:rPr>
        <w:t>Minnesota Department of Labor and Industry</w:t>
      </w:r>
    </w:p>
    <w:p w14:paraId="2A3E5133" w14:textId="13980035" w:rsidR="000A134A" w:rsidRPr="00AC7B5B" w:rsidRDefault="00AC7B5B" w:rsidP="003568FA">
      <w:pPr>
        <w:widowControl/>
        <w:autoSpaceDE/>
        <w:autoSpaceDN/>
        <w:adjustRightInd/>
        <w:jc w:val="center"/>
        <w:rPr>
          <w:rFonts w:cs="Calibri"/>
          <w:bCs/>
        </w:rPr>
      </w:pPr>
      <w:r w:rsidRPr="00AC7B5B">
        <w:rPr>
          <w:rFonts w:cs="Calibri"/>
          <w:bCs/>
        </w:rPr>
        <w:t>Occupational Safety and Health Division</w:t>
      </w:r>
    </w:p>
    <w:p w14:paraId="6D768EB3" w14:textId="77777777" w:rsidR="00AC7B5B" w:rsidRPr="001C1E47" w:rsidRDefault="00AC7B5B" w:rsidP="003568FA">
      <w:pPr>
        <w:widowControl/>
        <w:autoSpaceDE/>
        <w:autoSpaceDN/>
        <w:adjustRightInd/>
        <w:jc w:val="center"/>
        <w:rPr>
          <w:rFonts w:cs="Calibri"/>
          <w:bCs/>
        </w:rPr>
      </w:pPr>
    </w:p>
    <w:p w14:paraId="157A43AA" w14:textId="32571C42" w:rsidR="000A134A" w:rsidRPr="00C53328" w:rsidRDefault="00AC7B5B" w:rsidP="003568FA">
      <w:pPr>
        <w:widowControl/>
        <w:autoSpaceDE/>
        <w:autoSpaceDN/>
        <w:adjustRightInd/>
        <w:jc w:val="center"/>
        <w:rPr>
          <w:rFonts w:cs="Calibri"/>
          <w:bCs/>
          <w:color w:val="0070C0"/>
        </w:rPr>
      </w:pPr>
      <w:r>
        <w:rPr>
          <w:rFonts w:cs="Calibri"/>
          <w:bCs/>
          <w:noProof/>
          <w:color w:val="0070C0"/>
        </w:rPr>
        <w:drawing>
          <wp:inline distT="0" distB="0" distL="0" distR="0" wp14:anchorId="52E3E10C" wp14:editId="0B3D77BB">
            <wp:extent cx="2554605" cy="24079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2407920"/>
                    </a:xfrm>
                    <a:prstGeom prst="rect">
                      <a:avLst/>
                    </a:prstGeom>
                    <a:noFill/>
                  </pic:spPr>
                </pic:pic>
              </a:graphicData>
            </a:graphic>
          </wp:inline>
        </w:drawing>
      </w:r>
    </w:p>
    <w:p w14:paraId="3FC46738" w14:textId="77777777" w:rsidR="000A134A" w:rsidRPr="001C1E47" w:rsidRDefault="000A134A" w:rsidP="003568FA">
      <w:pPr>
        <w:widowControl/>
        <w:autoSpaceDE/>
        <w:autoSpaceDN/>
        <w:adjustRightInd/>
        <w:jc w:val="center"/>
        <w:rPr>
          <w:rFonts w:cs="Calibri"/>
          <w:b/>
        </w:rPr>
      </w:pPr>
    </w:p>
    <w:p w14:paraId="6CB8AD27" w14:textId="17F87951" w:rsidR="000A134A" w:rsidRPr="001C1E47" w:rsidRDefault="000A134A" w:rsidP="003568FA">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2F4EFA">
        <w:rPr>
          <w:rFonts w:eastAsia="Batang" w:cs="Calibri"/>
          <w:b/>
          <w:sz w:val="28"/>
          <w:szCs w:val="28"/>
        </w:rPr>
        <w:t>23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2F4EFA">
        <w:rPr>
          <w:rFonts w:eastAsia="Batang" w:cs="Calibri"/>
          <w:b/>
          <w:sz w:val="28"/>
          <w:szCs w:val="28"/>
        </w:rPr>
        <w:t>24</w:t>
      </w:r>
    </w:p>
    <w:p w14:paraId="221B5785" w14:textId="77777777" w:rsidR="000A134A" w:rsidRPr="001C1E47" w:rsidRDefault="000A134A" w:rsidP="003568F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p>
    <w:p w14:paraId="0DF94F44" w14:textId="15208EFF" w:rsidR="000A134A" w:rsidRPr="001C1E47" w:rsidRDefault="000A134A" w:rsidP="003568F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Initial Approval Date:  </w:t>
      </w:r>
      <w:r w:rsidR="00AC7B5B">
        <w:rPr>
          <w:rFonts w:eastAsia="Batang" w:cs="Calibri"/>
          <w:b/>
        </w:rPr>
        <w:t>June 6, 1973</w:t>
      </w:r>
    </w:p>
    <w:p w14:paraId="3062998A" w14:textId="72E81E66" w:rsidR="000A134A" w:rsidRPr="001C1E47" w:rsidRDefault="000A134A" w:rsidP="003568F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Program Certification Date: </w:t>
      </w:r>
      <w:r w:rsidR="00AC7B5B">
        <w:rPr>
          <w:rFonts w:eastAsia="Batang" w:cs="Calibri"/>
          <w:b/>
        </w:rPr>
        <w:t xml:space="preserve"> September 28, 1976</w:t>
      </w:r>
    </w:p>
    <w:p w14:paraId="51A91D4F" w14:textId="4DE32C69" w:rsidR="000A134A" w:rsidRPr="00AC7B5B" w:rsidRDefault="000A134A" w:rsidP="003568FA">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r w:rsidRPr="001C1E47">
        <w:rPr>
          <w:rFonts w:eastAsia="Batang" w:cs="Calibri"/>
          <w:b/>
        </w:rPr>
        <w:t xml:space="preserve">Final Approval Date: </w:t>
      </w:r>
      <w:r w:rsidR="00AC7B5B">
        <w:rPr>
          <w:rFonts w:eastAsia="Batang" w:cs="Calibri"/>
          <w:b/>
        </w:rPr>
        <w:t xml:space="preserve"> </w:t>
      </w:r>
      <w:r w:rsidR="00AC7B5B" w:rsidRPr="00AC7B5B">
        <w:rPr>
          <w:rFonts w:eastAsia="Batang" w:cs="Calibri"/>
          <w:b/>
        </w:rPr>
        <w:t>July 30, 1985</w:t>
      </w:r>
    </w:p>
    <w:p w14:paraId="19E2F8B5" w14:textId="77777777" w:rsidR="000A134A" w:rsidRPr="0061177B" w:rsidRDefault="000A134A" w:rsidP="003568FA">
      <w:pPr>
        <w:widowControl/>
        <w:autoSpaceDE/>
        <w:autoSpaceDN/>
        <w:adjustRightInd/>
        <w:jc w:val="center"/>
        <w:rPr>
          <w:rFonts w:cs="Calibri"/>
          <w:bCs/>
          <w:iCs/>
        </w:rPr>
      </w:pPr>
    </w:p>
    <w:p w14:paraId="336BF8F1" w14:textId="77777777" w:rsidR="000A134A" w:rsidRPr="001C1E47" w:rsidRDefault="000A134A" w:rsidP="003568FA">
      <w:pPr>
        <w:widowControl/>
        <w:autoSpaceDE/>
        <w:autoSpaceDN/>
        <w:adjustRightInd/>
        <w:jc w:val="center"/>
        <w:rPr>
          <w:rFonts w:cs="Calibri"/>
          <w:b/>
        </w:rPr>
      </w:pPr>
      <w:r w:rsidRPr="001C1E47">
        <w:rPr>
          <w:rFonts w:cs="Calibri"/>
          <w:b/>
        </w:rPr>
        <w:t>Prepared by:</w:t>
      </w:r>
    </w:p>
    <w:p w14:paraId="503A1070" w14:textId="58E6175A" w:rsidR="000A134A" w:rsidRPr="001C1E47" w:rsidRDefault="000A134A" w:rsidP="003568FA">
      <w:pPr>
        <w:widowControl/>
        <w:autoSpaceDE/>
        <w:autoSpaceDN/>
        <w:adjustRightInd/>
        <w:jc w:val="center"/>
        <w:rPr>
          <w:rFonts w:cs="Calibri"/>
          <w:b/>
        </w:rPr>
      </w:pPr>
      <w:r w:rsidRPr="001C1E47">
        <w:rPr>
          <w:rFonts w:cs="Calibri"/>
          <w:b/>
        </w:rPr>
        <w:t>U. S. Department of Labor</w:t>
      </w:r>
    </w:p>
    <w:p w14:paraId="5E957F30" w14:textId="77777777" w:rsidR="000A134A" w:rsidRPr="001C1E47" w:rsidRDefault="000A134A" w:rsidP="003568FA">
      <w:pPr>
        <w:widowControl/>
        <w:autoSpaceDE/>
        <w:autoSpaceDN/>
        <w:adjustRightInd/>
        <w:jc w:val="center"/>
        <w:rPr>
          <w:rFonts w:cs="Calibri"/>
          <w:b/>
        </w:rPr>
      </w:pPr>
      <w:r w:rsidRPr="001C1E47">
        <w:rPr>
          <w:rFonts w:cs="Calibri"/>
          <w:b/>
        </w:rPr>
        <w:t>Occupational Safety and Health Administration</w:t>
      </w:r>
    </w:p>
    <w:p w14:paraId="283D40DC" w14:textId="2E88B974" w:rsidR="000A134A" w:rsidRPr="001C1E47" w:rsidRDefault="00AC7B5B" w:rsidP="003568FA">
      <w:pPr>
        <w:widowControl/>
        <w:autoSpaceDE/>
        <w:autoSpaceDN/>
        <w:adjustRightInd/>
        <w:jc w:val="center"/>
        <w:rPr>
          <w:rFonts w:cs="Calibri"/>
          <w:b/>
        </w:rPr>
      </w:pPr>
      <w:r>
        <w:rPr>
          <w:rFonts w:cs="Calibri"/>
          <w:b/>
        </w:rPr>
        <w:t xml:space="preserve">Chicago </w:t>
      </w:r>
      <w:r w:rsidR="000A134A" w:rsidRPr="001C1E47">
        <w:rPr>
          <w:rFonts w:cs="Calibri"/>
          <w:b/>
        </w:rPr>
        <w:t>Region</w:t>
      </w:r>
    </w:p>
    <w:p w14:paraId="50EE0B64" w14:textId="3E9B6BA7" w:rsidR="000A134A" w:rsidRPr="004B5D11" w:rsidRDefault="00AC7B5B" w:rsidP="003568FA">
      <w:pPr>
        <w:widowControl/>
        <w:autoSpaceDE/>
        <w:autoSpaceDN/>
        <w:adjustRightInd/>
        <w:jc w:val="center"/>
        <w:rPr>
          <w:rFonts w:cs="Calibri"/>
          <w:b/>
        </w:rPr>
      </w:pPr>
      <w:r w:rsidRPr="004B5D11">
        <w:rPr>
          <w:rFonts w:cs="Calibri"/>
          <w:b/>
        </w:rPr>
        <w:t>Eau Claire, Wisconsin</w:t>
      </w:r>
    </w:p>
    <w:p w14:paraId="5737E281" w14:textId="77777777" w:rsidR="000A134A" w:rsidRPr="001C1E47" w:rsidRDefault="000A134A" w:rsidP="003568FA">
      <w:pPr>
        <w:widowControl/>
        <w:autoSpaceDE/>
        <w:autoSpaceDN/>
        <w:adjustRightInd/>
        <w:jc w:val="center"/>
        <w:rPr>
          <w:rFonts w:cs="Calibri"/>
          <w:b/>
        </w:rPr>
      </w:pPr>
    </w:p>
    <w:p w14:paraId="15F94D47" w14:textId="77777777" w:rsidR="000A134A" w:rsidRPr="001C1E47" w:rsidRDefault="000A134A" w:rsidP="003568FA">
      <w:pPr>
        <w:widowControl/>
        <w:autoSpaceDE/>
        <w:autoSpaceDN/>
        <w:adjustRightInd/>
        <w:jc w:val="center"/>
        <w:rPr>
          <w:rFonts w:cs="Calibri"/>
          <w:b/>
        </w:rPr>
      </w:pPr>
    </w:p>
    <w:p w14:paraId="2A4EC189" w14:textId="77777777" w:rsidR="000A134A" w:rsidRPr="001C1E47" w:rsidRDefault="000A134A" w:rsidP="003568FA">
      <w:pPr>
        <w:widowControl/>
        <w:autoSpaceDE/>
        <w:autoSpaceDN/>
        <w:adjustRightInd/>
        <w:jc w:val="center"/>
        <w:rPr>
          <w:rFonts w:cs="Calibri"/>
          <w:b/>
        </w:rPr>
      </w:pPr>
    </w:p>
    <w:p w14:paraId="2A63637C" w14:textId="77777777" w:rsidR="000A134A" w:rsidRPr="001C1E47" w:rsidRDefault="000A134A" w:rsidP="003568FA">
      <w:pPr>
        <w:widowControl/>
        <w:autoSpaceDE/>
        <w:autoSpaceDN/>
        <w:adjustRightInd/>
        <w:jc w:val="center"/>
        <w:rPr>
          <w:rFonts w:cs="Calibri"/>
          <w:b/>
        </w:rPr>
      </w:pPr>
    </w:p>
    <w:p w14:paraId="26D1C94C" w14:textId="523D1649" w:rsidR="00F43B23" w:rsidRDefault="000A134A" w:rsidP="003568FA">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00F43B23">
        <w:rPr>
          <w:rFonts w:cs="Calibri"/>
          <w:b/>
          <w:sz w:val="40"/>
          <w:szCs w:val="40"/>
        </w:rPr>
        <w:br w:type="page"/>
      </w:r>
    </w:p>
    <w:p w14:paraId="253E64F1" w14:textId="2FAB4601" w:rsidR="002A6CAA" w:rsidRPr="00B64E41" w:rsidRDefault="00F43B23">
      <w:pPr>
        <w:widowControl/>
        <w:autoSpaceDE/>
        <w:autoSpaceDN/>
        <w:adjustRightInd/>
        <w:rPr>
          <w:rFonts w:cs="Calibri"/>
          <w:b/>
          <w:sz w:val="28"/>
          <w:szCs w:val="28"/>
        </w:rPr>
      </w:pPr>
      <w:r w:rsidRPr="00B64E41">
        <w:rPr>
          <w:rFonts w:cs="Calibri"/>
          <w:b/>
          <w:sz w:val="28"/>
          <w:szCs w:val="28"/>
        </w:rPr>
        <w:lastRenderedPageBreak/>
        <w:t>Table of Contents</w:t>
      </w:r>
    </w:p>
    <w:p w14:paraId="161B9969" w14:textId="1642BC1E" w:rsidR="000F63C1" w:rsidRPr="00B64E41" w:rsidRDefault="000F63C1">
      <w:pPr>
        <w:pStyle w:val="TOC2"/>
        <w:tabs>
          <w:tab w:val="left" w:pos="480"/>
          <w:tab w:val="right" w:leader="dot" w:pos="9530"/>
        </w:tabs>
        <w:rPr>
          <w:rFonts w:eastAsiaTheme="minorEastAsia" w:cstheme="minorBidi"/>
          <w:b/>
          <w:bCs w:val="0"/>
          <w:noProof/>
          <w:sz w:val="22"/>
          <w:szCs w:val="22"/>
        </w:rPr>
      </w:pPr>
      <w:r w:rsidRPr="00B64E41">
        <w:fldChar w:fldCharType="begin"/>
      </w:r>
      <w:r w:rsidRPr="00B64E41">
        <w:instrText xml:space="preserve"> TOC \o "2-3" \h \z \u \t "Level 1,1" </w:instrText>
      </w:r>
      <w:r w:rsidRPr="00B64E41">
        <w:fldChar w:fldCharType="separate"/>
      </w:r>
      <w:hyperlink w:anchor="_Toc119418663" w:history="1">
        <w:r w:rsidRPr="00B64E41">
          <w:rPr>
            <w:rStyle w:val="Hyperlink"/>
            <w:noProof/>
          </w:rPr>
          <w:t>I.</w:t>
        </w:r>
        <w:r w:rsidRPr="00B64E41">
          <w:rPr>
            <w:rFonts w:eastAsiaTheme="minorEastAsia" w:cstheme="minorBidi"/>
            <w:b/>
            <w:bCs w:val="0"/>
            <w:noProof/>
            <w:sz w:val="22"/>
            <w:szCs w:val="22"/>
          </w:rPr>
          <w:tab/>
        </w:r>
        <w:r w:rsidRPr="00B64E41">
          <w:rPr>
            <w:rStyle w:val="Hyperlink"/>
            <w:noProof/>
          </w:rPr>
          <w:t>Executive Summary</w:t>
        </w:r>
        <w:r w:rsidRPr="00B64E41">
          <w:rPr>
            <w:noProof/>
            <w:webHidden/>
          </w:rPr>
          <w:tab/>
        </w:r>
        <w:r w:rsidRPr="00B64E41">
          <w:rPr>
            <w:noProof/>
            <w:webHidden/>
          </w:rPr>
          <w:fldChar w:fldCharType="begin"/>
        </w:r>
        <w:r w:rsidRPr="00B64E41">
          <w:rPr>
            <w:noProof/>
            <w:webHidden/>
          </w:rPr>
          <w:instrText xml:space="preserve"> PAGEREF _Toc119418663 \h </w:instrText>
        </w:r>
        <w:r w:rsidRPr="00B64E41">
          <w:rPr>
            <w:noProof/>
            <w:webHidden/>
          </w:rPr>
        </w:r>
        <w:r w:rsidRPr="00B64E41">
          <w:rPr>
            <w:noProof/>
            <w:webHidden/>
          </w:rPr>
          <w:fldChar w:fldCharType="separate"/>
        </w:r>
        <w:r w:rsidR="00E8466B">
          <w:rPr>
            <w:noProof/>
            <w:webHidden/>
          </w:rPr>
          <w:t>3</w:t>
        </w:r>
        <w:r w:rsidRPr="00B64E41">
          <w:rPr>
            <w:noProof/>
            <w:webHidden/>
          </w:rPr>
          <w:fldChar w:fldCharType="end"/>
        </w:r>
      </w:hyperlink>
    </w:p>
    <w:p w14:paraId="3BD91ACD" w14:textId="039B7C29" w:rsidR="000F63C1" w:rsidRPr="00B64E4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64E41">
          <w:rPr>
            <w:rStyle w:val="Hyperlink"/>
            <w:noProof/>
          </w:rPr>
          <w:t>II.</w:t>
        </w:r>
        <w:r w:rsidRPr="00B64E41">
          <w:rPr>
            <w:rFonts w:eastAsiaTheme="minorEastAsia" w:cstheme="minorBidi"/>
            <w:b/>
            <w:bCs w:val="0"/>
            <w:noProof/>
            <w:sz w:val="22"/>
            <w:szCs w:val="22"/>
          </w:rPr>
          <w:tab/>
        </w:r>
        <w:r w:rsidRPr="00B64E41">
          <w:rPr>
            <w:rStyle w:val="Hyperlink"/>
            <w:noProof/>
          </w:rPr>
          <w:t>State Plan Background</w:t>
        </w:r>
        <w:r w:rsidRPr="00B64E41">
          <w:rPr>
            <w:noProof/>
            <w:webHidden/>
          </w:rPr>
          <w:tab/>
        </w:r>
        <w:r w:rsidRPr="00B64E41">
          <w:rPr>
            <w:noProof/>
            <w:webHidden/>
          </w:rPr>
          <w:fldChar w:fldCharType="begin"/>
        </w:r>
        <w:r w:rsidRPr="00B64E41">
          <w:rPr>
            <w:noProof/>
            <w:webHidden/>
          </w:rPr>
          <w:instrText xml:space="preserve"> PAGEREF _Toc119418664 \h </w:instrText>
        </w:r>
        <w:r w:rsidRPr="00B64E41">
          <w:rPr>
            <w:noProof/>
            <w:webHidden/>
          </w:rPr>
        </w:r>
        <w:r w:rsidRPr="00B64E41">
          <w:rPr>
            <w:noProof/>
            <w:webHidden/>
          </w:rPr>
          <w:fldChar w:fldCharType="separate"/>
        </w:r>
        <w:r w:rsidR="00E8466B">
          <w:rPr>
            <w:noProof/>
            <w:webHidden/>
          </w:rPr>
          <w:t>3</w:t>
        </w:r>
        <w:r w:rsidRPr="00B64E41">
          <w:rPr>
            <w:noProof/>
            <w:webHidden/>
          </w:rPr>
          <w:fldChar w:fldCharType="end"/>
        </w:r>
      </w:hyperlink>
    </w:p>
    <w:p w14:paraId="12E60A29" w14:textId="5F2B5320" w:rsidR="000F63C1" w:rsidRPr="00B64E4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64E41">
          <w:rPr>
            <w:rStyle w:val="Hyperlink"/>
            <w:noProof/>
          </w:rPr>
          <w:t>III.</w:t>
        </w:r>
        <w:r w:rsidRPr="00B64E41">
          <w:rPr>
            <w:rFonts w:eastAsiaTheme="minorEastAsia" w:cstheme="minorBidi"/>
            <w:b/>
            <w:bCs w:val="0"/>
            <w:noProof/>
            <w:sz w:val="22"/>
            <w:szCs w:val="22"/>
          </w:rPr>
          <w:tab/>
        </w:r>
        <w:r w:rsidRPr="00B64E41">
          <w:rPr>
            <w:rStyle w:val="Hyperlink"/>
            <w:noProof/>
          </w:rPr>
          <w:t>Assessment of State Plan Progress and Performance</w:t>
        </w:r>
        <w:r w:rsidRPr="00B64E41">
          <w:rPr>
            <w:noProof/>
            <w:webHidden/>
          </w:rPr>
          <w:tab/>
        </w:r>
        <w:r w:rsidRPr="00B64E41">
          <w:rPr>
            <w:noProof/>
            <w:webHidden/>
          </w:rPr>
          <w:fldChar w:fldCharType="begin"/>
        </w:r>
        <w:r w:rsidRPr="00B64E41">
          <w:rPr>
            <w:noProof/>
            <w:webHidden/>
          </w:rPr>
          <w:instrText xml:space="preserve"> PAGEREF _Toc119418665 \h </w:instrText>
        </w:r>
        <w:r w:rsidRPr="00B64E41">
          <w:rPr>
            <w:noProof/>
            <w:webHidden/>
          </w:rPr>
        </w:r>
        <w:r w:rsidRPr="00B64E41">
          <w:rPr>
            <w:noProof/>
            <w:webHidden/>
          </w:rPr>
          <w:fldChar w:fldCharType="separate"/>
        </w:r>
        <w:r w:rsidR="00E8466B">
          <w:rPr>
            <w:noProof/>
            <w:webHidden/>
          </w:rPr>
          <w:t>4</w:t>
        </w:r>
        <w:r w:rsidRPr="00B64E41">
          <w:rPr>
            <w:noProof/>
            <w:webHidden/>
          </w:rPr>
          <w:fldChar w:fldCharType="end"/>
        </w:r>
      </w:hyperlink>
    </w:p>
    <w:p w14:paraId="1E2078A6" w14:textId="31ACBEC4" w:rsidR="000F63C1" w:rsidRPr="00B64E41" w:rsidRDefault="000F63C1">
      <w:pPr>
        <w:pStyle w:val="TOC3"/>
        <w:tabs>
          <w:tab w:val="left" w:pos="720"/>
          <w:tab w:val="right" w:leader="dot" w:pos="9530"/>
        </w:tabs>
        <w:rPr>
          <w:rFonts w:eastAsiaTheme="minorEastAsia" w:cstheme="minorBidi"/>
          <w:noProof/>
          <w:sz w:val="22"/>
          <w:szCs w:val="22"/>
        </w:rPr>
      </w:pPr>
      <w:hyperlink w:anchor="_Toc119418666" w:history="1">
        <w:r w:rsidRPr="00B64E41">
          <w:rPr>
            <w:rStyle w:val="Hyperlink"/>
            <w:rFonts w:ascii="Calibri" w:hAnsi="Calibri"/>
            <w:noProof/>
          </w:rPr>
          <w:t>A.</w:t>
        </w:r>
        <w:r w:rsidRPr="00B64E41">
          <w:rPr>
            <w:rFonts w:eastAsiaTheme="minorEastAsia" w:cstheme="minorBidi"/>
            <w:noProof/>
            <w:sz w:val="22"/>
            <w:szCs w:val="22"/>
          </w:rPr>
          <w:tab/>
        </w:r>
        <w:r w:rsidRPr="00B64E41">
          <w:rPr>
            <w:rStyle w:val="Hyperlink"/>
            <w:noProof/>
          </w:rPr>
          <w:t>Data and Methodology</w:t>
        </w:r>
        <w:r w:rsidRPr="00B64E41">
          <w:rPr>
            <w:noProof/>
            <w:webHidden/>
          </w:rPr>
          <w:tab/>
        </w:r>
        <w:r w:rsidRPr="00B64E41">
          <w:rPr>
            <w:noProof/>
            <w:webHidden/>
          </w:rPr>
          <w:fldChar w:fldCharType="begin"/>
        </w:r>
        <w:r w:rsidRPr="00B64E41">
          <w:rPr>
            <w:noProof/>
            <w:webHidden/>
          </w:rPr>
          <w:instrText xml:space="preserve"> PAGEREF _Toc119418666 \h </w:instrText>
        </w:r>
        <w:r w:rsidRPr="00B64E41">
          <w:rPr>
            <w:noProof/>
            <w:webHidden/>
          </w:rPr>
        </w:r>
        <w:r w:rsidRPr="00B64E41">
          <w:rPr>
            <w:noProof/>
            <w:webHidden/>
          </w:rPr>
          <w:fldChar w:fldCharType="separate"/>
        </w:r>
        <w:r w:rsidR="00E8466B">
          <w:rPr>
            <w:noProof/>
            <w:webHidden/>
          </w:rPr>
          <w:t>4</w:t>
        </w:r>
        <w:r w:rsidRPr="00B64E41">
          <w:rPr>
            <w:noProof/>
            <w:webHidden/>
          </w:rPr>
          <w:fldChar w:fldCharType="end"/>
        </w:r>
      </w:hyperlink>
    </w:p>
    <w:p w14:paraId="5EC14328" w14:textId="062D386B" w:rsidR="000F63C1" w:rsidRPr="00B64E41" w:rsidRDefault="000F63C1">
      <w:pPr>
        <w:pStyle w:val="TOC3"/>
        <w:tabs>
          <w:tab w:val="left" w:pos="720"/>
          <w:tab w:val="right" w:leader="dot" w:pos="9530"/>
        </w:tabs>
        <w:rPr>
          <w:rFonts w:eastAsiaTheme="minorEastAsia" w:cstheme="minorBidi"/>
          <w:noProof/>
          <w:sz w:val="22"/>
          <w:szCs w:val="22"/>
        </w:rPr>
      </w:pPr>
      <w:hyperlink w:anchor="_Toc119418667" w:history="1">
        <w:r w:rsidRPr="00B64E41">
          <w:rPr>
            <w:rStyle w:val="Hyperlink"/>
            <w:rFonts w:ascii="Calibri" w:hAnsi="Calibri"/>
            <w:noProof/>
          </w:rPr>
          <w:t>B.</w:t>
        </w:r>
        <w:r w:rsidRPr="00B64E41">
          <w:rPr>
            <w:rFonts w:eastAsiaTheme="minorEastAsia" w:cstheme="minorBidi"/>
            <w:noProof/>
            <w:sz w:val="22"/>
            <w:szCs w:val="22"/>
          </w:rPr>
          <w:tab/>
        </w:r>
        <w:r w:rsidRPr="00B64E41">
          <w:rPr>
            <w:rStyle w:val="Hyperlink"/>
            <w:noProof/>
          </w:rPr>
          <w:t>Findings and Observations</w:t>
        </w:r>
        <w:r w:rsidRPr="00B64E41">
          <w:rPr>
            <w:noProof/>
            <w:webHidden/>
          </w:rPr>
          <w:tab/>
        </w:r>
        <w:r w:rsidRPr="00B64E41">
          <w:rPr>
            <w:noProof/>
            <w:webHidden/>
          </w:rPr>
          <w:fldChar w:fldCharType="begin"/>
        </w:r>
        <w:r w:rsidRPr="00B64E41">
          <w:rPr>
            <w:noProof/>
            <w:webHidden/>
          </w:rPr>
          <w:instrText xml:space="preserve"> PAGEREF _Toc119418667 \h </w:instrText>
        </w:r>
        <w:r w:rsidRPr="00B64E41">
          <w:rPr>
            <w:noProof/>
            <w:webHidden/>
          </w:rPr>
        </w:r>
        <w:r w:rsidRPr="00B64E41">
          <w:rPr>
            <w:noProof/>
            <w:webHidden/>
          </w:rPr>
          <w:fldChar w:fldCharType="separate"/>
        </w:r>
        <w:r w:rsidR="00E8466B">
          <w:rPr>
            <w:noProof/>
            <w:webHidden/>
          </w:rPr>
          <w:t>4</w:t>
        </w:r>
        <w:r w:rsidRPr="00B64E41">
          <w:rPr>
            <w:noProof/>
            <w:webHidden/>
          </w:rPr>
          <w:fldChar w:fldCharType="end"/>
        </w:r>
      </w:hyperlink>
    </w:p>
    <w:p w14:paraId="373A40FB" w14:textId="3A8B002E" w:rsidR="000F63C1" w:rsidRPr="00B64E41" w:rsidRDefault="000F63C1">
      <w:pPr>
        <w:pStyle w:val="TOC3"/>
        <w:tabs>
          <w:tab w:val="left" w:pos="720"/>
          <w:tab w:val="right" w:leader="dot" w:pos="9530"/>
        </w:tabs>
        <w:rPr>
          <w:rFonts w:eastAsiaTheme="minorEastAsia" w:cstheme="minorBidi"/>
          <w:noProof/>
          <w:sz w:val="22"/>
          <w:szCs w:val="22"/>
        </w:rPr>
      </w:pPr>
      <w:hyperlink w:anchor="_Toc119418668" w:history="1">
        <w:r w:rsidRPr="00B64E41">
          <w:rPr>
            <w:rStyle w:val="Hyperlink"/>
            <w:rFonts w:ascii="Calibri" w:hAnsi="Calibri"/>
            <w:noProof/>
          </w:rPr>
          <w:t>C.</w:t>
        </w:r>
        <w:r w:rsidRPr="00B64E41">
          <w:rPr>
            <w:rFonts w:eastAsiaTheme="minorEastAsia" w:cstheme="minorBidi"/>
            <w:noProof/>
            <w:sz w:val="22"/>
            <w:szCs w:val="22"/>
          </w:rPr>
          <w:tab/>
        </w:r>
        <w:r w:rsidRPr="00B64E41">
          <w:rPr>
            <w:rStyle w:val="Hyperlink"/>
            <w:noProof/>
          </w:rPr>
          <w:t>State Activity Mandated Measures (SAMM) Highlights</w:t>
        </w:r>
        <w:r w:rsidRPr="00B64E41">
          <w:rPr>
            <w:noProof/>
            <w:webHidden/>
          </w:rPr>
          <w:tab/>
        </w:r>
        <w:r w:rsidRPr="00B64E41">
          <w:rPr>
            <w:noProof/>
            <w:webHidden/>
          </w:rPr>
          <w:fldChar w:fldCharType="begin"/>
        </w:r>
        <w:r w:rsidRPr="00B64E41">
          <w:rPr>
            <w:noProof/>
            <w:webHidden/>
          </w:rPr>
          <w:instrText xml:space="preserve"> PAGEREF _Toc119418668 \h </w:instrText>
        </w:r>
        <w:r w:rsidRPr="00B64E41">
          <w:rPr>
            <w:noProof/>
            <w:webHidden/>
          </w:rPr>
        </w:r>
        <w:r w:rsidRPr="00B64E41">
          <w:rPr>
            <w:noProof/>
            <w:webHidden/>
          </w:rPr>
          <w:fldChar w:fldCharType="separate"/>
        </w:r>
        <w:r w:rsidR="00E8466B">
          <w:rPr>
            <w:noProof/>
            <w:webHidden/>
          </w:rPr>
          <w:t>5</w:t>
        </w:r>
        <w:r w:rsidRPr="00B64E41">
          <w:rPr>
            <w:noProof/>
            <w:webHidden/>
          </w:rPr>
          <w:fldChar w:fldCharType="end"/>
        </w:r>
      </w:hyperlink>
    </w:p>
    <w:p w14:paraId="50DBA2CB" w14:textId="742F49B4" w:rsidR="000F63C1" w:rsidRPr="00B64E41" w:rsidRDefault="000F63C1">
      <w:pPr>
        <w:pStyle w:val="TOC3"/>
        <w:tabs>
          <w:tab w:val="right" w:leader="dot" w:pos="9530"/>
        </w:tabs>
        <w:rPr>
          <w:rFonts w:eastAsiaTheme="minorEastAsia" w:cstheme="minorBidi"/>
          <w:noProof/>
          <w:sz w:val="22"/>
          <w:szCs w:val="22"/>
        </w:rPr>
      </w:pPr>
      <w:hyperlink w:anchor="_Toc119418669" w:history="1">
        <w:r w:rsidRPr="00B64E41">
          <w:rPr>
            <w:rStyle w:val="Hyperlink"/>
            <w:noProof/>
          </w:rPr>
          <w:t>Appendix A – New and Continued Findings and Recommendations</w:t>
        </w:r>
        <w:r w:rsidRPr="00B64E41">
          <w:rPr>
            <w:noProof/>
            <w:webHidden/>
          </w:rPr>
          <w:tab/>
        </w:r>
        <w:r w:rsidRPr="00B64E41">
          <w:rPr>
            <w:noProof/>
            <w:webHidden/>
          </w:rPr>
          <w:fldChar w:fldCharType="begin"/>
        </w:r>
        <w:r w:rsidRPr="00B64E41">
          <w:rPr>
            <w:noProof/>
            <w:webHidden/>
          </w:rPr>
          <w:instrText xml:space="preserve"> PAGEREF _Toc119418669 \h </w:instrText>
        </w:r>
        <w:r w:rsidRPr="00B64E41">
          <w:rPr>
            <w:noProof/>
            <w:webHidden/>
          </w:rPr>
        </w:r>
        <w:r w:rsidRPr="00B64E41">
          <w:rPr>
            <w:noProof/>
            <w:webHidden/>
          </w:rPr>
          <w:fldChar w:fldCharType="separate"/>
        </w:r>
        <w:r w:rsidR="00E8466B">
          <w:rPr>
            <w:noProof/>
            <w:webHidden/>
          </w:rPr>
          <w:t>8</w:t>
        </w:r>
        <w:r w:rsidRPr="00B64E41">
          <w:rPr>
            <w:noProof/>
            <w:webHidden/>
          </w:rPr>
          <w:fldChar w:fldCharType="end"/>
        </w:r>
      </w:hyperlink>
    </w:p>
    <w:p w14:paraId="150115C6" w14:textId="005F6D9D" w:rsidR="000F63C1" w:rsidRPr="00B64E41" w:rsidRDefault="000F63C1">
      <w:pPr>
        <w:pStyle w:val="TOC3"/>
        <w:tabs>
          <w:tab w:val="right" w:leader="dot" w:pos="9530"/>
        </w:tabs>
        <w:rPr>
          <w:rFonts w:eastAsiaTheme="minorEastAsia" w:cstheme="minorBidi"/>
          <w:noProof/>
          <w:sz w:val="22"/>
          <w:szCs w:val="22"/>
        </w:rPr>
      </w:pPr>
      <w:hyperlink w:anchor="_Toc119418670" w:history="1">
        <w:r w:rsidRPr="00B64E41">
          <w:rPr>
            <w:rStyle w:val="Hyperlink"/>
            <w:noProof/>
          </w:rPr>
          <w:t>Appendix B – Observations Subject to Continued Monitoring</w:t>
        </w:r>
        <w:r w:rsidRPr="00B64E41">
          <w:rPr>
            <w:noProof/>
            <w:webHidden/>
          </w:rPr>
          <w:tab/>
        </w:r>
        <w:r w:rsidRPr="00B64E41">
          <w:rPr>
            <w:noProof/>
            <w:webHidden/>
          </w:rPr>
          <w:fldChar w:fldCharType="begin"/>
        </w:r>
        <w:r w:rsidRPr="00B64E41">
          <w:rPr>
            <w:noProof/>
            <w:webHidden/>
          </w:rPr>
          <w:instrText xml:space="preserve"> PAGEREF _Toc119418670 \h </w:instrText>
        </w:r>
        <w:r w:rsidRPr="00B64E41">
          <w:rPr>
            <w:noProof/>
            <w:webHidden/>
          </w:rPr>
        </w:r>
        <w:r w:rsidRPr="00B64E41">
          <w:rPr>
            <w:noProof/>
            <w:webHidden/>
          </w:rPr>
          <w:fldChar w:fldCharType="separate"/>
        </w:r>
        <w:r w:rsidR="00E8466B">
          <w:rPr>
            <w:noProof/>
            <w:webHidden/>
          </w:rPr>
          <w:t>9</w:t>
        </w:r>
        <w:r w:rsidRPr="00B64E41">
          <w:rPr>
            <w:noProof/>
            <w:webHidden/>
          </w:rPr>
          <w:fldChar w:fldCharType="end"/>
        </w:r>
      </w:hyperlink>
    </w:p>
    <w:p w14:paraId="65AD001B" w14:textId="67B00CC1" w:rsidR="000F63C1" w:rsidRPr="00B64E41" w:rsidRDefault="000F63C1">
      <w:pPr>
        <w:pStyle w:val="TOC3"/>
        <w:tabs>
          <w:tab w:val="right" w:leader="dot" w:pos="9530"/>
        </w:tabs>
        <w:rPr>
          <w:rFonts w:eastAsiaTheme="minorEastAsia" w:cstheme="minorBidi"/>
          <w:noProof/>
          <w:sz w:val="22"/>
          <w:szCs w:val="22"/>
        </w:rPr>
      </w:pPr>
      <w:hyperlink w:anchor="_Toc119418671" w:history="1">
        <w:r w:rsidRPr="00B64E41">
          <w:rPr>
            <w:rStyle w:val="Hyperlink"/>
            <w:noProof/>
          </w:rPr>
          <w:t>Appendix C - Status of FY 20</w:t>
        </w:r>
        <w:r w:rsidR="002F4EFA" w:rsidRPr="00B64E41">
          <w:rPr>
            <w:rStyle w:val="Hyperlink"/>
            <w:noProof/>
          </w:rPr>
          <w:t>23</w:t>
        </w:r>
        <w:r w:rsidRPr="00B64E41">
          <w:rPr>
            <w:rStyle w:val="Hyperlink"/>
            <w:noProof/>
          </w:rPr>
          <w:t xml:space="preserve"> Findings and Recommendations</w:t>
        </w:r>
        <w:r w:rsidRPr="00B64E41">
          <w:rPr>
            <w:noProof/>
            <w:webHidden/>
          </w:rPr>
          <w:tab/>
        </w:r>
        <w:r w:rsidRPr="00B64E41">
          <w:rPr>
            <w:noProof/>
            <w:webHidden/>
          </w:rPr>
          <w:fldChar w:fldCharType="begin"/>
        </w:r>
        <w:r w:rsidRPr="00B64E41">
          <w:rPr>
            <w:noProof/>
            <w:webHidden/>
          </w:rPr>
          <w:instrText xml:space="preserve"> PAGEREF _Toc119418671 \h </w:instrText>
        </w:r>
        <w:r w:rsidRPr="00B64E41">
          <w:rPr>
            <w:noProof/>
            <w:webHidden/>
          </w:rPr>
        </w:r>
        <w:r w:rsidRPr="00B64E41">
          <w:rPr>
            <w:noProof/>
            <w:webHidden/>
          </w:rPr>
          <w:fldChar w:fldCharType="separate"/>
        </w:r>
        <w:r w:rsidR="00E8466B">
          <w:rPr>
            <w:noProof/>
            <w:webHidden/>
          </w:rPr>
          <w:t>10</w:t>
        </w:r>
        <w:r w:rsidRPr="00B64E41">
          <w:rPr>
            <w:noProof/>
            <w:webHidden/>
          </w:rPr>
          <w:fldChar w:fldCharType="end"/>
        </w:r>
      </w:hyperlink>
    </w:p>
    <w:p w14:paraId="38E9E7F9" w14:textId="06DBCF56" w:rsidR="000F63C1" w:rsidRPr="00B64E41" w:rsidRDefault="000F63C1">
      <w:pPr>
        <w:pStyle w:val="TOC3"/>
        <w:tabs>
          <w:tab w:val="right" w:leader="dot" w:pos="9530"/>
        </w:tabs>
        <w:rPr>
          <w:rFonts w:eastAsiaTheme="minorEastAsia" w:cstheme="minorBidi"/>
          <w:noProof/>
          <w:sz w:val="22"/>
          <w:szCs w:val="22"/>
        </w:rPr>
      </w:pPr>
      <w:hyperlink w:anchor="_Toc119418672" w:history="1">
        <w:r w:rsidRPr="00B64E41">
          <w:rPr>
            <w:rStyle w:val="Hyperlink"/>
            <w:noProof/>
          </w:rPr>
          <w:t>Appendix D – FY 20</w:t>
        </w:r>
        <w:r w:rsidR="002F4EFA" w:rsidRPr="00B64E41">
          <w:rPr>
            <w:rStyle w:val="Hyperlink"/>
            <w:noProof/>
          </w:rPr>
          <w:t>24</w:t>
        </w:r>
        <w:r w:rsidRPr="00B64E41">
          <w:rPr>
            <w:rStyle w:val="Hyperlink"/>
            <w:noProof/>
          </w:rPr>
          <w:t xml:space="preserve"> State Activity Mandated Measures (SAMM) Report</w:t>
        </w:r>
        <w:r w:rsidRPr="00B64E41">
          <w:rPr>
            <w:noProof/>
            <w:webHidden/>
          </w:rPr>
          <w:tab/>
        </w:r>
        <w:r w:rsidRPr="00B64E41">
          <w:rPr>
            <w:noProof/>
            <w:webHidden/>
          </w:rPr>
          <w:fldChar w:fldCharType="begin"/>
        </w:r>
        <w:r w:rsidRPr="00B64E41">
          <w:rPr>
            <w:noProof/>
            <w:webHidden/>
          </w:rPr>
          <w:instrText xml:space="preserve"> PAGEREF _Toc119418672 \h </w:instrText>
        </w:r>
        <w:r w:rsidRPr="00B64E41">
          <w:rPr>
            <w:noProof/>
            <w:webHidden/>
          </w:rPr>
        </w:r>
        <w:r w:rsidRPr="00B64E41">
          <w:rPr>
            <w:noProof/>
            <w:webHidden/>
          </w:rPr>
          <w:fldChar w:fldCharType="separate"/>
        </w:r>
        <w:r w:rsidR="00E8466B">
          <w:rPr>
            <w:noProof/>
            <w:webHidden/>
          </w:rPr>
          <w:t>11</w:t>
        </w:r>
        <w:r w:rsidRPr="00B64E41">
          <w:rPr>
            <w:noProof/>
            <w:webHidden/>
          </w:rPr>
          <w:fldChar w:fldCharType="end"/>
        </w:r>
      </w:hyperlink>
    </w:p>
    <w:p w14:paraId="2A952C03" w14:textId="0074FEF9" w:rsidR="00B823A3" w:rsidRDefault="000F63C1" w:rsidP="000F63C1">
      <w:r w:rsidRPr="00B64E41">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33AA43A1" w14:textId="5A0D98A8" w:rsidR="009E02DA"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State Plan’s </w:t>
      </w:r>
      <w:r w:rsidR="00F85F2D" w:rsidRPr="001C1E47">
        <w:rPr>
          <w:rFonts w:cs="Calibri"/>
        </w:rPr>
        <w:t>progress in</w:t>
      </w:r>
      <w:r w:rsidRPr="001C1E47">
        <w:rPr>
          <w:rFonts w:cs="Calibri"/>
        </w:rPr>
        <w:t xml:space="preserve"> Fiscal Year (FY) 20</w:t>
      </w:r>
      <w:r w:rsidR="00332F63">
        <w:rPr>
          <w:rFonts w:cs="Calibri"/>
        </w:rPr>
        <w:t>24</w:t>
      </w:r>
      <w:r w:rsidRPr="001C1E47">
        <w:rPr>
          <w:rFonts w:cs="Calibri"/>
        </w:rPr>
        <w:t xml:space="preserve"> in resolving outstanding findings</w:t>
      </w:r>
      <w:r w:rsidR="00332F63">
        <w:rPr>
          <w:rFonts w:cs="Calibri"/>
        </w:rPr>
        <w:t xml:space="preserve"> and/or observations</w:t>
      </w:r>
      <w:r w:rsidRPr="001C1E47">
        <w:rPr>
          <w:rFonts w:cs="Calibri"/>
        </w:rPr>
        <w:t xml:space="preserve"> from </w:t>
      </w:r>
      <w:r w:rsidR="005837BD" w:rsidRPr="001C1E47">
        <w:rPr>
          <w:rFonts w:cs="Calibri"/>
        </w:rPr>
        <w:t xml:space="preserve">the </w:t>
      </w:r>
      <w:r w:rsidRPr="001C1E47">
        <w:rPr>
          <w:rFonts w:cs="Calibri"/>
        </w:rPr>
        <w:t>previous FY 20</w:t>
      </w:r>
      <w:r w:rsidR="00332F63">
        <w:rPr>
          <w:rFonts w:cs="Calibri"/>
        </w:rPr>
        <w:t>23</w:t>
      </w:r>
      <w:r w:rsidRPr="00210157">
        <w:rPr>
          <w:rFonts w:cs="Calibri"/>
          <w:color w:val="0070C0"/>
        </w:rPr>
        <w:t xml:space="preserve"> </w:t>
      </w:r>
      <w:r w:rsidRPr="001C1E47">
        <w:rPr>
          <w:rFonts w:cs="Calibri"/>
        </w:rPr>
        <w:t>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w:t>
      </w:r>
      <w:r w:rsidR="00332F63">
        <w:rPr>
          <w:rFonts w:cs="Calibri"/>
        </w:rPr>
        <w:t xml:space="preserve">  This report also assesses the current performance of </w:t>
      </w:r>
      <w:r w:rsidR="003C47F4">
        <w:rPr>
          <w:rFonts w:cs="Calibri"/>
        </w:rPr>
        <w:t xml:space="preserve">the </w:t>
      </w:r>
      <w:r w:rsidR="00332F63">
        <w:rPr>
          <w:rFonts w:cs="Calibri"/>
        </w:rPr>
        <w:t>Minnesota Department of Labor and Industry – Occupational Safety and Health</w:t>
      </w:r>
      <w:r w:rsidR="00805731">
        <w:rPr>
          <w:rFonts w:cs="Calibri"/>
        </w:rPr>
        <w:t xml:space="preserve"> Division (MNOSHA) 23(g) compliance program in the context of agreed upon monitoring measures.</w:t>
      </w:r>
      <w:r w:rsidR="009E02DA">
        <w:rPr>
          <w:rFonts w:cs="Calibri"/>
        </w:rPr>
        <w:t xml:space="preserve">  </w:t>
      </w:r>
    </w:p>
    <w:p w14:paraId="34234833" w14:textId="77777777" w:rsidR="009E02DA" w:rsidRDefault="009E02DA" w:rsidP="00783189">
      <w:pPr>
        <w:rPr>
          <w:rFonts w:cs="Calibri"/>
        </w:rPr>
      </w:pPr>
    </w:p>
    <w:p w14:paraId="1AAA0774" w14:textId="034E26C5" w:rsidR="00805731" w:rsidRDefault="009E02DA" w:rsidP="00783189">
      <w:pPr>
        <w:rPr>
          <w:rFonts w:cs="Calibri"/>
        </w:rPr>
      </w:pPr>
      <w:r>
        <w:rPr>
          <w:rFonts w:cs="Calibri"/>
        </w:rPr>
        <w:t>The State Plan was responsive to the previous evaluation and showed effort in addressing the one observation from the FY 2023 Comprehensive FAME report.  The State Plan has been challenged with turnover in whistleblower staff, particularly the unit supervisor</w:t>
      </w:r>
      <w:r w:rsidR="001D6564">
        <w:rPr>
          <w:rFonts w:cs="Calibri"/>
        </w:rPr>
        <w:t xml:space="preserve">, and with a period when case intakes increased </w:t>
      </w:r>
      <w:r w:rsidR="00171831">
        <w:rPr>
          <w:rFonts w:cs="Calibri"/>
        </w:rPr>
        <w:t>substantially</w:t>
      </w:r>
      <w:r>
        <w:rPr>
          <w:rFonts w:cs="Calibri"/>
        </w:rPr>
        <w:t>.  The observation</w:t>
      </w:r>
      <w:r w:rsidR="001D6564">
        <w:rPr>
          <w:rFonts w:cs="Calibri"/>
        </w:rPr>
        <w:t xml:space="preserve"> is continued </w:t>
      </w:r>
      <w:r>
        <w:rPr>
          <w:rFonts w:cs="Calibri"/>
        </w:rPr>
        <w:t>in this repo</w:t>
      </w:r>
      <w:r w:rsidRPr="001D6564">
        <w:rPr>
          <w:rFonts w:cs="Calibri"/>
        </w:rPr>
        <w:t xml:space="preserve">rt and </w:t>
      </w:r>
      <w:r w:rsidR="00B50B91">
        <w:rPr>
          <w:rFonts w:cs="Calibri"/>
        </w:rPr>
        <w:t xml:space="preserve">no </w:t>
      </w:r>
      <w:r w:rsidRPr="001D6564">
        <w:rPr>
          <w:rFonts w:cs="Calibri"/>
        </w:rPr>
        <w:t xml:space="preserve">new </w:t>
      </w:r>
      <w:r w:rsidR="00B50B91">
        <w:rPr>
          <w:rFonts w:cs="Calibri"/>
        </w:rPr>
        <w:t xml:space="preserve">findings or </w:t>
      </w:r>
      <w:r w:rsidRPr="001D6564">
        <w:rPr>
          <w:rFonts w:cs="Calibri"/>
        </w:rPr>
        <w:t>observation</w:t>
      </w:r>
      <w:r w:rsidR="00B50B91">
        <w:rPr>
          <w:rFonts w:cs="Calibri"/>
        </w:rPr>
        <w:t>s</w:t>
      </w:r>
      <w:r w:rsidRPr="001D6564">
        <w:rPr>
          <w:rFonts w:cs="Calibri"/>
        </w:rPr>
        <w:t xml:space="preserve"> w</w:t>
      </w:r>
      <w:r w:rsidR="00B50B91">
        <w:rPr>
          <w:rFonts w:cs="Calibri"/>
        </w:rPr>
        <w:t>ere</w:t>
      </w:r>
      <w:r w:rsidRPr="001D6564">
        <w:rPr>
          <w:rFonts w:cs="Calibri"/>
        </w:rPr>
        <w:t xml:space="preserve"> identified.  </w:t>
      </w:r>
      <w:r w:rsidR="00805731" w:rsidRPr="001D6564">
        <w:rPr>
          <w:rFonts w:cs="Calibri"/>
        </w:rPr>
        <w:t>A detail</w:t>
      </w:r>
      <w:r w:rsidR="00805731">
        <w:rPr>
          <w:rFonts w:cs="Calibri"/>
        </w:rPr>
        <w:t>ed explanation of the observation, and the status of the State Plan’s response, is found in Section III, B, Findings and Observations.</w:t>
      </w:r>
    </w:p>
    <w:p w14:paraId="1C9576AB" w14:textId="77777777" w:rsidR="00805731" w:rsidRDefault="00805731" w:rsidP="00783189">
      <w:pPr>
        <w:rPr>
          <w:rFonts w:cs="Calibri"/>
        </w:rPr>
      </w:pPr>
    </w:p>
    <w:p w14:paraId="39165C62" w14:textId="176CA280" w:rsidR="00805731" w:rsidRDefault="00805731" w:rsidP="00783189">
      <w:pPr>
        <w:rPr>
          <w:rFonts w:cs="Calibri"/>
        </w:rPr>
      </w:pPr>
      <w:r>
        <w:rPr>
          <w:rFonts w:cs="Calibri"/>
        </w:rPr>
        <w:t>The MNOSHA Strategic Management Plan for FY 2024 to FY 2028 established three strategic goals:  1) Reduce occupational hazards</w:t>
      </w:r>
      <w:r w:rsidR="007A6CAA">
        <w:rPr>
          <w:rFonts w:cs="Calibri"/>
        </w:rPr>
        <w:t xml:space="preserve"> through compliance inspections; 2) Promote a safety and health culture through compliance assistance, outreach, cooperative programs and strong leadership; and 3) Strengthen and improve MNOSHA’s infrastructure.  The FY 2024 Performance Plan provided the framework for accomplishing the goals of the strategic plan by establishing specific performance goals for FY 2024.</w:t>
      </w:r>
    </w:p>
    <w:p w14:paraId="272C1654" w14:textId="77777777" w:rsidR="007A6CAA" w:rsidRDefault="007A6CAA" w:rsidP="00783189">
      <w:pPr>
        <w:rPr>
          <w:rFonts w:cs="Calibri"/>
        </w:rPr>
      </w:pPr>
    </w:p>
    <w:p w14:paraId="71F3094E" w14:textId="044B2031" w:rsidR="007A6CAA" w:rsidRDefault="007A6CAA" w:rsidP="00783189">
      <w:pPr>
        <w:rPr>
          <w:rFonts w:cs="Calibri"/>
        </w:rPr>
      </w:pPr>
      <w:r>
        <w:rPr>
          <w:rFonts w:cs="Calibri"/>
        </w:rPr>
        <w:t xml:space="preserve">In the FY 2024 State OSHA Annual Report (SOAR), MNOSHA provided information that outlines their accomplishments toward meeting their Five-Year Strategic Management Plan.  The information has been reviewed and analyzed to assess their progress in meeting performance plan goals.  Through effective resource utilization, partnership development, outreach activities, and an overall commitment to performance goal achievements, </w:t>
      </w:r>
      <w:r w:rsidR="003C47F4">
        <w:rPr>
          <w:rFonts w:cs="Calibri"/>
        </w:rPr>
        <w:t>all</w:t>
      </w:r>
      <w:r>
        <w:rPr>
          <w:rFonts w:cs="Calibri"/>
        </w:rPr>
        <w:t xml:space="preserve"> </w:t>
      </w:r>
      <w:r w:rsidR="00D17756">
        <w:rPr>
          <w:rFonts w:cs="Calibri"/>
        </w:rPr>
        <w:t>15</w:t>
      </w:r>
      <w:r>
        <w:rPr>
          <w:rFonts w:cs="Calibri"/>
        </w:rPr>
        <w:t xml:space="preserve"> annual performance goals have been met or exceeded.</w:t>
      </w:r>
    </w:p>
    <w:p w14:paraId="30ED8848" w14:textId="77777777" w:rsidR="00E772BB" w:rsidRDefault="00E772BB" w:rsidP="00783189">
      <w:pPr>
        <w:rPr>
          <w:rFonts w:cs="Calibri"/>
        </w:rPr>
      </w:pPr>
    </w:p>
    <w:p w14:paraId="6A7D671B" w14:textId="2DDBE8E2" w:rsidR="00783189" w:rsidRDefault="007A6CAA" w:rsidP="00E772BB">
      <w:pPr>
        <w:rPr>
          <w:rFonts w:cs="Calibri"/>
          <w:iCs/>
          <w:color w:val="0070C0"/>
        </w:rPr>
      </w:pPr>
      <w:r>
        <w:rPr>
          <w:rFonts w:cs="Calibri"/>
        </w:rPr>
        <w:t xml:space="preserve">Quarterly monitoring team meetings were held during FY 2024, at which time the State Activity Mandated Measures (SAMM) report and the State Indicators Report (SIR) were reviewed and discussed with MNOSHA compliance staff. </w:t>
      </w:r>
      <w:r w:rsidR="00E772BB">
        <w:rPr>
          <w:rFonts w:cs="Calibri"/>
        </w:rPr>
        <w:t xml:space="preserve"> </w:t>
      </w:r>
      <w:r>
        <w:rPr>
          <w:rFonts w:cs="Calibri"/>
        </w:rPr>
        <w:t>The FY 2024 SAMM is Appendix D of this report.</w:t>
      </w:r>
      <w:r w:rsidR="000A134A" w:rsidRPr="00C53328">
        <w:rPr>
          <w:rFonts w:cs="Calibri"/>
          <w:iCs/>
          <w:color w:val="0070C0"/>
        </w:rPr>
        <w:t xml:space="preserve"> </w:t>
      </w:r>
    </w:p>
    <w:p w14:paraId="59EA14A1" w14:textId="77777777" w:rsidR="00E772BB" w:rsidRPr="001C1E47" w:rsidRDefault="00E772BB" w:rsidP="00E772BB">
      <w:pPr>
        <w:rPr>
          <w:rFonts w:cs="Calibri"/>
        </w:rPr>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3471B78E" w14:textId="499E1857" w:rsidR="00734685" w:rsidRDefault="00734685" w:rsidP="00783189">
      <w:pPr>
        <w:widowControl/>
        <w:autoSpaceDE/>
        <w:autoSpaceDN/>
        <w:adjustRightInd/>
        <w:rPr>
          <w:rFonts w:cs="Calibri"/>
          <w:iCs/>
        </w:rPr>
      </w:pPr>
      <w:r w:rsidRPr="00734685">
        <w:rPr>
          <w:rFonts w:cs="Calibri"/>
          <w:iCs/>
        </w:rPr>
        <w:t xml:space="preserve">The Minnesota Department of Labor and Industry (DLI) administers the MNOSHA program.  The program began operating on August 1, 1973, with final State Plan approval obtained on July 30, 1985.  </w:t>
      </w:r>
      <w:r>
        <w:rPr>
          <w:rFonts w:cs="Calibri"/>
          <w:iCs/>
        </w:rPr>
        <w:t xml:space="preserve">MNOSHA </w:t>
      </w:r>
      <w:r w:rsidR="00B15137">
        <w:rPr>
          <w:rFonts w:cs="Calibri"/>
          <w:iCs/>
        </w:rPr>
        <w:t xml:space="preserve">includes the Occupational Safety and Health (OSH) Compliance Division, which is responsible for compliance program administration (conducting enforcement inspections in the private sector and in state and local government agencies, adoption of standards, and operation of other related OSHA activities), and the Workplace Safety Consultation (WSC) Division, which </w:t>
      </w:r>
      <w:r w:rsidR="00B15137">
        <w:rPr>
          <w:rFonts w:cs="Calibri"/>
          <w:iCs/>
        </w:rPr>
        <w:lastRenderedPageBreak/>
        <w:t>provides free consultation services upon request to help employers prevent workplace accidents and diseases by identifying and correcting safety and health hazards.</w:t>
      </w:r>
    </w:p>
    <w:p w14:paraId="3A23FE29" w14:textId="77777777" w:rsidR="00B15137" w:rsidRDefault="00B15137" w:rsidP="00783189">
      <w:pPr>
        <w:widowControl/>
        <w:autoSpaceDE/>
        <w:autoSpaceDN/>
        <w:adjustRightInd/>
        <w:rPr>
          <w:rFonts w:cs="Calibri"/>
          <w:iCs/>
        </w:rPr>
      </w:pPr>
    </w:p>
    <w:p w14:paraId="7E354A56" w14:textId="13BF36D1" w:rsidR="00B15137" w:rsidRDefault="00B15137" w:rsidP="00783189">
      <w:pPr>
        <w:widowControl/>
        <w:autoSpaceDE/>
        <w:autoSpaceDN/>
        <w:adjustRightInd/>
        <w:rPr>
          <w:rFonts w:cs="Calibri"/>
          <w:iCs/>
        </w:rPr>
      </w:pPr>
      <w:r>
        <w:rPr>
          <w:rFonts w:cs="Calibri"/>
          <w:iCs/>
        </w:rPr>
        <w:t>MNOSHA’s mission is “to ensure every worker in the State of Minnesota has a safe and healthful workplace.”  This mandate involves the application of a set of tools by MNOSHA, including standards development, enforcement, compliance assistance, and outreach, which enables employers to maintain safe and healthful workplaces.</w:t>
      </w:r>
    </w:p>
    <w:p w14:paraId="7A1689BB" w14:textId="77777777" w:rsidR="00B15137" w:rsidRDefault="00B15137" w:rsidP="00783189">
      <w:pPr>
        <w:widowControl/>
        <w:autoSpaceDE/>
        <w:autoSpaceDN/>
        <w:adjustRightInd/>
        <w:rPr>
          <w:rFonts w:cs="Calibri"/>
          <w:iCs/>
        </w:rPr>
      </w:pPr>
    </w:p>
    <w:p w14:paraId="4612AB1E" w14:textId="6E66DC38" w:rsidR="00B15137" w:rsidRPr="00734685" w:rsidRDefault="00B15137" w:rsidP="00783189">
      <w:pPr>
        <w:widowControl/>
        <w:autoSpaceDE/>
        <w:autoSpaceDN/>
        <w:adjustRightInd/>
        <w:rPr>
          <w:rFonts w:cs="Calibri"/>
          <w:iCs/>
        </w:rPr>
      </w:pPr>
      <w:r>
        <w:rPr>
          <w:rFonts w:cs="Calibri"/>
          <w:iCs/>
        </w:rPr>
        <w:t xml:space="preserve">Nicole Blissenbach has served as DLI Commissioner since August 2022.  James Krueger is the Director of the OSH Compliance Division and Ryan Nosan is the Director of the WSC Division within DLI.  The FY 2024 grant included funding totaling </w:t>
      </w:r>
      <w:r w:rsidR="00DD3E38">
        <w:rPr>
          <w:rFonts w:cs="Calibri"/>
          <w:iCs/>
        </w:rPr>
        <w:t>$11,100,000</w:t>
      </w:r>
      <w:r>
        <w:rPr>
          <w:rFonts w:cs="Calibri"/>
          <w:iCs/>
        </w:rPr>
        <w:t xml:space="preserve"> and full-time equivalent (FTE) staffing of </w:t>
      </w:r>
      <w:r w:rsidR="00AA11AA">
        <w:rPr>
          <w:rFonts w:cs="Calibri"/>
          <w:iCs/>
        </w:rPr>
        <w:t>84</w:t>
      </w:r>
      <w:r>
        <w:rPr>
          <w:rFonts w:cs="Calibri"/>
          <w:iCs/>
        </w:rPr>
        <w:t>.</w:t>
      </w:r>
      <w:r w:rsidR="00AA11AA">
        <w:rPr>
          <w:rFonts w:cs="Calibri"/>
          <w:iCs/>
        </w:rPr>
        <w:t>63</w:t>
      </w:r>
      <w:r>
        <w:rPr>
          <w:rFonts w:cs="Calibri"/>
          <w:iCs/>
        </w:rPr>
        <w:t xml:space="preserve"> positions.  The State Plan’s expected staffing level is 31 safety investigators and 12 health investigators.  MNOSHA allocated funding for </w:t>
      </w:r>
      <w:r w:rsidR="00393ED6">
        <w:rPr>
          <w:rFonts w:cs="Calibri"/>
          <w:iCs/>
        </w:rPr>
        <w:t>34</w:t>
      </w:r>
      <w:r>
        <w:rPr>
          <w:rFonts w:cs="Calibri"/>
          <w:iCs/>
        </w:rPr>
        <w:t>.</w:t>
      </w:r>
      <w:r w:rsidR="00393ED6">
        <w:rPr>
          <w:rFonts w:cs="Calibri"/>
          <w:iCs/>
        </w:rPr>
        <w:t>90</w:t>
      </w:r>
      <w:r>
        <w:rPr>
          <w:rFonts w:cs="Calibri"/>
          <w:iCs/>
        </w:rPr>
        <w:t xml:space="preserve"> safety and </w:t>
      </w:r>
      <w:r w:rsidR="00393ED6">
        <w:rPr>
          <w:rFonts w:cs="Calibri"/>
          <w:iCs/>
        </w:rPr>
        <w:t>17</w:t>
      </w:r>
      <w:r>
        <w:rPr>
          <w:rFonts w:cs="Calibri"/>
          <w:iCs/>
        </w:rPr>
        <w:t>.</w:t>
      </w:r>
      <w:r w:rsidR="00393ED6">
        <w:rPr>
          <w:rFonts w:cs="Calibri"/>
          <w:iCs/>
        </w:rPr>
        <w:t>90</w:t>
      </w:r>
      <w:r>
        <w:rPr>
          <w:rFonts w:cs="Calibri"/>
          <w:iCs/>
        </w:rPr>
        <w:t xml:space="preserve"> health positions.</w:t>
      </w:r>
    </w:p>
    <w:p w14:paraId="07E4A0DB" w14:textId="77777777" w:rsidR="00783189" w:rsidRPr="001C1E47" w:rsidRDefault="00783189" w:rsidP="00783189">
      <w:pPr>
        <w:widowControl/>
        <w:autoSpaceDE/>
        <w:autoSpaceDN/>
        <w:adjustRightInd/>
        <w:contextualSpacing/>
        <w:rPr>
          <w:rFonts w:cs="Calibri"/>
          <w:b/>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BC8988C" w14:textId="77777777" w:rsidR="00DD3E38" w:rsidRDefault="00DD3E38" w:rsidP="00783189">
      <w:pPr>
        <w:contextualSpacing/>
        <w:rPr>
          <w:rFonts w:cs="Calibri"/>
          <w:iCs/>
        </w:rPr>
      </w:pPr>
    </w:p>
    <w:p w14:paraId="6E796376" w14:textId="200C87F5" w:rsidR="00E772BB" w:rsidRPr="00E772BB" w:rsidRDefault="00E772BB" w:rsidP="00783189">
      <w:pPr>
        <w:contextualSpacing/>
        <w:rPr>
          <w:rFonts w:cs="Calibri"/>
          <w:iCs/>
        </w:rPr>
      </w:pPr>
      <w:r w:rsidRPr="00E772BB">
        <w:rPr>
          <w:rFonts w:cs="Calibri"/>
          <w:iCs/>
        </w:rPr>
        <w:t>None.</w:t>
      </w:r>
    </w:p>
    <w:p w14:paraId="4D45CF2E" w14:textId="77777777" w:rsidR="00780E29" w:rsidRPr="00AB16D9" w:rsidRDefault="00780E29"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66A369A0" w14:textId="77777777" w:rsidR="005E6698" w:rsidRPr="001C1E47" w:rsidRDefault="005E6698" w:rsidP="00783189">
      <w:pPr>
        <w:widowControl/>
        <w:autoSpaceDE/>
        <w:autoSpaceDN/>
        <w:adjustRightInd/>
        <w:rPr>
          <w:rFonts w:cs="Calibri"/>
          <w:bCs/>
          <w:i/>
        </w:rPr>
      </w:pPr>
    </w:p>
    <w:p w14:paraId="5E67DDEC" w14:textId="77777777" w:rsidR="000A134A" w:rsidRPr="001C1E47" w:rsidRDefault="000A134A" w:rsidP="0061362E">
      <w:pPr>
        <w:pStyle w:val="Heading3"/>
      </w:pPr>
      <w:bookmarkStart w:id="15" w:name="_Toc118900174"/>
      <w:bookmarkStart w:id="16" w:name="_Toc118905013"/>
      <w:bookmarkStart w:id="17" w:name="_Toc119418667"/>
      <w:r w:rsidRPr="001C1E47">
        <w:t>Findings and Observations</w:t>
      </w:r>
      <w:bookmarkEnd w:id="15"/>
      <w:bookmarkEnd w:id="16"/>
      <w:bookmarkEnd w:id="17"/>
    </w:p>
    <w:p w14:paraId="51B991F5" w14:textId="77777777" w:rsidR="000A134A" w:rsidRPr="001C1E47" w:rsidRDefault="000A134A" w:rsidP="00783189">
      <w:pPr>
        <w:widowControl/>
        <w:autoSpaceDE/>
        <w:autoSpaceDN/>
        <w:adjustRightInd/>
        <w:rPr>
          <w:rFonts w:cs="Calibri"/>
        </w:rPr>
      </w:pPr>
    </w:p>
    <w:p w14:paraId="600D4B69" w14:textId="56CD6EC4" w:rsidR="005E6698" w:rsidRPr="005E6698" w:rsidRDefault="005E6698" w:rsidP="005E6698">
      <w:pPr>
        <w:widowControl/>
        <w:autoSpaceDE/>
        <w:autoSpaceDN/>
        <w:adjustRightInd/>
        <w:rPr>
          <w:rFonts w:cs="Calibri"/>
        </w:rPr>
      </w:pPr>
      <w:r w:rsidRPr="005E6698">
        <w:rPr>
          <w:rFonts w:cs="Calibri"/>
        </w:rPr>
        <w:t>The State Plan made progress to address the previous observation from the FY 2023 Comprehensive FAME Report.  This follow-up FAME report contains</w:t>
      </w:r>
      <w:r w:rsidR="00E73F34">
        <w:rPr>
          <w:rFonts w:cs="Calibri"/>
        </w:rPr>
        <w:t xml:space="preserve"> one continued</w:t>
      </w:r>
      <w:r w:rsidRPr="005E6698">
        <w:rPr>
          <w:rFonts w:cs="Calibri"/>
        </w:rPr>
        <w:t xml:space="preserve"> observation.  </w:t>
      </w:r>
      <w:r w:rsidRPr="005E6698">
        <w:rPr>
          <w:rFonts w:cs="Calibri"/>
        </w:rPr>
        <w:lastRenderedPageBreak/>
        <w:t xml:space="preserve">Appendix B describes observations subject to continued monitoring and the related federal monitoring plan.  </w:t>
      </w:r>
    </w:p>
    <w:p w14:paraId="0E58DCBF" w14:textId="601B6204" w:rsidR="005E6698" w:rsidRDefault="005E6698" w:rsidP="00783189">
      <w:pPr>
        <w:widowControl/>
        <w:autoSpaceDE/>
        <w:autoSpaceDN/>
        <w:adjustRightInd/>
        <w:rPr>
          <w:rFonts w:cs="Calibri"/>
          <w:bCs/>
          <w:highlight w:val="yellow"/>
        </w:rPr>
      </w:pPr>
    </w:p>
    <w:p w14:paraId="370CCAAD" w14:textId="56E7D4FE"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4A4886">
        <w:rPr>
          <w:rFonts w:cs="Calibri"/>
          <w:b/>
        </w:rPr>
        <w:t>23</w:t>
      </w:r>
      <w:r w:rsidR="007C0A36" w:rsidRPr="0061362E">
        <w:rPr>
          <w:rFonts w:cs="Calibri"/>
          <w:b/>
        </w:rPr>
        <w:t xml:space="preserve"> </w:t>
      </w:r>
      <w:r w:rsidR="00443054" w:rsidRPr="0061362E">
        <w:rPr>
          <w:rFonts w:cs="Calibri"/>
          <w:b/>
        </w:rPr>
        <w:t>Observation</w:t>
      </w:r>
    </w:p>
    <w:p w14:paraId="00C81835" w14:textId="77777777" w:rsidR="00602EF3" w:rsidRDefault="00602EF3" w:rsidP="00783189">
      <w:pPr>
        <w:widowControl/>
        <w:autoSpaceDE/>
        <w:autoSpaceDN/>
        <w:adjustRightInd/>
        <w:rPr>
          <w:rFonts w:cs="Calibri"/>
          <w:b/>
          <w:bCs/>
          <w:highlight w:val="yellow"/>
        </w:rPr>
      </w:pPr>
    </w:p>
    <w:p w14:paraId="1A31C795" w14:textId="25BA92BC" w:rsidR="004A4886" w:rsidRPr="00FE5D00" w:rsidRDefault="004A4886" w:rsidP="00FE5D00">
      <w:pPr>
        <w:widowControl/>
        <w:autoSpaceDE/>
        <w:autoSpaceDN/>
        <w:adjustRightInd/>
        <w:rPr>
          <w:rFonts w:cs="Calibri"/>
        </w:rPr>
      </w:pPr>
      <w:r w:rsidRPr="00FE5D00">
        <w:rPr>
          <w:rFonts w:cs="Calibri"/>
          <w:b/>
          <w:bCs/>
        </w:rPr>
        <w:t>Observation FY 2024-</w:t>
      </w:r>
      <w:r w:rsidR="00743EA9" w:rsidRPr="00FE5D00">
        <w:rPr>
          <w:rFonts w:cs="Calibri"/>
          <w:b/>
          <w:bCs/>
        </w:rPr>
        <w:t>OB-</w:t>
      </w:r>
      <w:r w:rsidRPr="00FE5D00">
        <w:rPr>
          <w:rFonts w:cs="Calibri"/>
          <w:b/>
          <w:bCs/>
        </w:rPr>
        <w:t>01</w:t>
      </w:r>
      <w:r w:rsidR="00743EA9" w:rsidRPr="00FE5D00">
        <w:rPr>
          <w:rFonts w:cs="Calibri"/>
          <w:b/>
          <w:bCs/>
        </w:rPr>
        <w:t xml:space="preserve"> (FY 2023-OB-01)</w:t>
      </w:r>
      <w:r w:rsidRPr="00FE5D00">
        <w:rPr>
          <w:rFonts w:cs="Calibri"/>
          <w:b/>
          <w:bCs/>
        </w:rPr>
        <w:t xml:space="preserve">:  </w:t>
      </w:r>
      <w:r w:rsidR="00FE5D00" w:rsidRPr="00FE5D00">
        <w:rPr>
          <w:rFonts w:cs="Calibri"/>
        </w:rPr>
        <w:t xml:space="preserve">During FY 2023, 3% of docketed whistleblower investigation cases were closed within 90 days.  The average number of days to complete the investigations was 689.  During FY 2024, 0% of docketed whistleblower investigation cases were closed within 90 days.  The average number of days to complete the investigations was 660. </w:t>
      </w:r>
      <w:r w:rsidRPr="00FE5D00">
        <w:rPr>
          <w:rFonts w:cs="Calibri"/>
        </w:rPr>
        <w:t xml:space="preserve"> </w:t>
      </w:r>
    </w:p>
    <w:p w14:paraId="67DB38D6" w14:textId="77777777" w:rsidR="00EA4B05" w:rsidRPr="00FE5D00" w:rsidRDefault="00EA4B05" w:rsidP="00783189">
      <w:pPr>
        <w:widowControl/>
        <w:autoSpaceDE/>
        <w:autoSpaceDN/>
        <w:adjustRightInd/>
        <w:rPr>
          <w:rFonts w:cs="Calibri"/>
          <w:b/>
          <w:u w:val="single"/>
        </w:rPr>
      </w:pPr>
    </w:p>
    <w:p w14:paraId="5D6C8FD3" w14:textId="039BE3D1" w:rsidR="00FE5D00" w:rsidRPr="008C3D7A" w:rsidRDefault="00743EA9" w:rsidP="00783189">
      <w:pPr>
        <w:widowControl/>
        <w:autoSpaceDE/>
        <w:autoSpaceDN/>
        <w:adjustRightInd/>
        <w:rPr>
          <w:rFonts w:cs="Calibri"/>
          <w:bCs/>
        </w:rPr>
      </w:pPr>
      <w:r w:rsidRPr="00FE5D00">
        <w:rPr>
          <w:rFonts w:cs="Calibri"/>
          <w:b/>
        </w:rPr>
        <w:t xml:space="preserve">Status:  </w:t>
      </w:r>
      <w:r w:rsidR="00807989">
        <w:rPr>
          <w:rFonts w:cs="Calibri"/>
          <w:bCs/>
        </w:rPr>
        <w:t>The FRL for SAMM 14 – Percent of 11(c) investigations completed within 90 days</w:t>
      </w:r>
      <w:r w:rsidR="009E3716">
        <w:rPr>
          <w:rFonts w:cs="Calibri"/>
          <w:bCs/>
        </w:rPr>
        <w:t xml:space="preserve"> </w:t>
      </w:r>
      <w:r w:rsidR="00F706A8">
        <w:rPr>
          <w:rFonts w:cs="Calibri"/>
          <w:bCs/>
        </w:rPr>
        <w:t>i</w:t>
      </w:r>
      <w:r w:rsidR="009E3716">
        <w:rPr>
          <w:rFonts w:cs="Calibri"/>
          <w:bCs/>
        </w:rPr>
        <w:t>s 100%</w:t>
      </w:r>
      <w:r w:rsidR="005E05FC">
        <w:rPr>
          <w:rFonts w:cs="Calibri"/>
          <w:bCs/>
        </w:rPr>
        <w:t>.  MNOSHA has made progress in identifying ways to shorten the length of investigations including using dedicated intake staff and incr</w:t>
      </w:r>
      <w:r w:rsidR="005E05FC" w:rsidRPr="008C3D7A">
        <w:rPr>
          <w:rFonts w:cs="Calibri"/>
          <w:bCs/>
        </w:rPr>
        <w:t xml:space="preserve">easing the number of investigators. </w:t>
      </w:r>
      <w:r w:rsidR="003C217D">
        <w:rPr>
          <w:rFonts w:cs="Calibri"/>
          <w:bCs/>
        </w:rPr>
        <w:t xml:space="preserve"> MNOSHA transitioned to OSHA Express effective October 1, 2023</w:t>
      </w:r>
      <w:r w:rsidR="00215C57">
        <w:rPr>
          <w:rFonts w:cs="Calibri"/>
          <w:bCs/>
        </w:rPr>
        <w:t xml:space="preserve">. </w:t>
      </w:r>
      <w:r w:rsidR="0053426F">
        <w:rPr>
          <w:rFonts w:cs="Calibri"/>
          <w:bCs/>
        </w:rPr>
        <w:t xml:space="preserve"> </w:t>
      </w:r>
      <w:r w:rsidR="00215C57">
        <w:rPr>
          <w:rFonts w:cs="Calibri"/>
          <w:bCs/>
        </w:rPr>
        <w:t>H</w:t>
      </w:r>
      <w:r w:rsidR="003C217D">
        <w:rPr>
          <w:rFonts w:cs="Calibri"/>
          <w:bCs/>
        </w:rPr>
        <w:t>owever</w:t>
      </w:r>
      <w:r w:rsidR="00215C57">
        <w:rPr>
          <w:rFonts w:cs="Calibri"/>
          <w:bCs/>
        </w:rPr>
        <w:t>,</w:t>
      </w:r>
      <w:r w:rsidR="003C217D">
        <w:rPr>
          <w:rFonts w:cs="Calibri"/>
          <w:bCs/>
        </w:rPr>
        <w:t xml:space="preserve"> the interface of whistleblower cases and data has not been finalized. </w:t>
      </w:r>
      <w:r w:rsidR="005E05FC" w:rsidRPr="008C3D7A">
        <w:rPr>
          <w:rFonts w:cs="Calibri"/>
          <w:bCs/>
        </w:rPr>
        <w:t xml:space="preserve"> Beginning with FY 2025, SAMMs </w:t>
      </w:r>
      <w:r w:rsidR="003953E3" w:rsidRPr="008C3D7A">
        <w:rPr>
          <w:rFonts w:cs="Calibri"/>
          <w:bCs/>
        </w:rPr>
        <w:t xml:space="preserve">for 11(c) investigations </w:t>
      </w:r>
      <w:r w:rsidR="005E05FC" w:rsidRPr="008C3D7A">
        <w:rPr>
          <w:rFonts w:cs="Calibri"/>
          <w:bCs/>
        </w:rPr>
        <w:t xml:space="preserve">are </w:t>
      </w:r>
      <w:r w:rsidR="003953E3" w:rsidRPr="008C3D7A">
        <w:rPr>
          <w:rFonts w:cs="Calibri"/>
          <w:bCs/>
        </w:rPr>
        <w:t>modified.</w:t>
      </w:r>
      <w:r w:rsidR="00B92ABB" w:rsidRPr="008C3D7A">
        <w:rPr>
          <w:rFonts w:cs="Calibri"/>
          <w:bCs/>
        </w:rPr>
        <w:t xml:space="preserve">  Consequently, OSHA will </w:t>
      </w:r>
      <w:r w:rsidR="008C3D7A" w:rsidRPr="008C3D7A">
        <w:rPr>
          <w:rFonts w:cs="Calibri"/>
          <w:bCs/>
        </w:rPr>
        <w:t xml:space="preserve">continue to </w:t>
      </w:r>
      <w:r w:rsidR="00B92ABB" w:rsidRPr="008C3D7A">
        <w:rPr>
          <w:rFonts w:cs="Calibri"/>
          <w:bCs/>
        </w:rPr>
        <w:t xml:space="preserve">monitor </w:t>
      </w:r>
      <w:r w:rsidR="003E03E0" w:rsidRPr="008C3D7A">
        <w:rPr>
          <w:rFonts w:cs="Calibri"/>
          <w:bCs/>
        </w:rPr>
        <w:t>MNOSHA’s progress</w:t>
      </w:r>
      <w:r w:rsidR="00B92ABB" w:rsidRPr="008C3D7A">
        <w:rPr>
          <w:rFonts w:cs="Calibri"/>
          <w:bCs/>
        </w:rPr>
        <w:t xml:space="preserve"> </w:t>
      </w:r>
      <w:r w:rsidR="008C3D7A" w:rsidRPr="008C3D7A">
        <w:rPr>
          <w:rFonts w:cs="Calibri"/>
          <w:bCs/>
        </w:rPr>
        <w:t>while keeping the new SAMMs in mind</w:t>
      </w:r>
      <w:r w:rsidR="00B92ABB" w:rsidRPr="008C3D7A">
        <w:rPr>
          <w:rFonts w:cs="Calibri"/>
          <w:bCs/>
        </w:rPr>
        <w:t xml:space="preserve">. </w:t>
      </w:r>
    </w:p>
    <w:p w14:paraId="7C2F3EA1" w14:textId="221F4287" w:rsidR="005E038B" w:rsidRPr="001C1E47" w:rsidRDefault="00743EA9" w:rsidP="00783189">
      <w:pPr>
        <w:widowControl/>
        <w:autoSpaceDE/>
        <w:autoSpaceDN/>
        <w:adjustRightInd/>
        <w:rPr>
          <w:rFonts w:cs="Calibri"/>
          <w:bCs/>
        </w:rPr>
      </w:pPr>
      <w:r w:rsidRPr="008C3D7A">
        <w:rPr>
          <w:rFonts w:cs="Calibri"/>
          <w:bCs/>
        </w:rPr>
        <w:t xml:space="preserve"> </w:t>
      </w:r>
      <w:bookmarkStart w:id="18" w:name="_Hlk199338785"/>
      <w:r w:rsidR="00654ABB" w:rsidRPr="00654ABB">
        <w:rPr>
          <w:rFonts w:cs="Calibri"/>
          <w:bCs/>
        </w:rPr>
        <w:t xml:space="preserve"> </w:t>
      </w:r>
      <w:bookmarkEnd w:id="18"/>
    </w:p>
    <w:p w14:paraId="3B828F9D" w14:textId="6C45BA5D" w:rsidR="00F132A8" w:rsidRPr="0061362E" w:rsidRDefault="00F132A8" w:rsidP="0061362E">
      <w:pPr>
        <w:pStyle w:val="Heading3"/>
      </w:pPr>
      <w:bookmarkStart w:id="19" w:name="_Toc118900177"/>
      <w:bookmarkStart w:id="20" w:name="_Toc118905016"/>
      <w:bookmarkStart w:id="21" w:name="_Toc119418668"/>
      <w:r w:rsidRPr="0061362E">
        <w:t>State Activity Mandated Measures (SAMM)</w:t>
      </w:r>
      <w:r w:rsidR="00A243D6" w:rsidRPr="0061362E">
        <w:t xml:space="preserve"> Highlights</w:t>
      </w:r>
      <w:bookmarkEnd w:id="19"/>
      <w:bookmarkEnd w:id="20"/>
      <w:bookmarkEnd w:id="21"/>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505A9935" w:rsidR="002966F6" w:rsidRDefault="00EC7600" w:rsidP="002966F6">
      <w:pPr>
        <w:widowControl/>
        <w:autoSpaceDE/>
        <w:adjustRightInd/>
        <w:rPr>
          <w:rFonts w:cs="Calibri"/>
        </w:rPr>
      </w:pPr>
      <w:r w:rsidRPr="001C1E47">
        <w:rPr>
          <w:rFonts w:cs="Calibri"/>
        </w:rPr>
        <w:t xml:space="preserve">Each SAMM has an agreed upon </w:t>
      </w:r>
      <w:r w:rsidR="008D527A">
        <w:rPr>
          <w:rFonts w:cs="Calibri"/>
        </w:rPr>
        <w:t>Further Review Level (</w:t>
      </w:r>
      <w:r w:rsidR="00D7654E" w:rsidRPr="001C1E47">
        <w:rPr>
          <w:rFonts w:cs="Calibri"/>
        </w:rPr>
        <w:t>FRL</w:t>
      </w:r>
      <w:r w:rsidR="008D527A">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562F8C">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783189">
      <w:pPr>
        <w:widowControl/>
        <w:autoSpaceDE/>
        <w:adjustRightInd/>
        <w:rPr>
          <w:rFonts w:cs="Calibri"/>
        </w:rPr>
      </w:pPr>
    </w:p>
    <w:p w14:paraId="75AF2501" w14:textId="36FA8A98"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77777777" w:rsidR="00A02B33" w:rsidRDefault="00A02B33" w:rsidP="00783189">
      <w:pPr>
        <w:widowControl/>
        <w:autoSpaceDE/>
        <w:adjustRightInd/>
        <w:rPr>
          <w:rFonts w:cs="Calibri"/>
          <w:b/>
          <w:u w:val="single"/>
        </w:rPr>
      </w:pPr>
    </w:p>
    <w:p w14:paraId="31E9ACDB" w14:textId="5CC96E74" w:rsidR="00EC7600" w:rsidRPr="00E81FC9" w:rsidRDefault="00EC7600" w:rsidP="00783189">
      <w:pPr>
        <w:widowControl/>
        <w:autoSpaceDE/>
        <w:adjustRightInd/>
        <w:rPr>
          <w:rFonts w:cs="Calibri"/>
          <w:b/>
        </w:rPr>
      </w:pPr>
      <w:r w:rsidRPr="00E81FC9">
        <w:rPr>
          <w:rFonts w:cs="Calibri"/>
          <w:b/>
        </w:rPr>
        <w:t xml:space="preserve">SAMM </w:t>
      </w:r>
      <w:r w:rsidR="00562F8C" w:rsidRPr="00E81FC9">
        <w:rPr>
          <w:rFonts w:cs="Calibri"/>
          <w:b/>
        </w:rPr>
        <w:t>5</w:t>
      </w:r>
      <w:r w:rsidRPr="00E81FC9">
        <w:rPr>
          <w:rFonts w:cs="Calibri"/>
          <w:b/>
        </w:rPr>
        <w:t xml:space="preserve"> – </w:t>
      </w:r>
      <w:r w:rsidR="00562F8C" w:rsidRPr="00E81FC9">
        <w:rPr>
          <w:rFonts w:cs="Calibri"/>
          <w:b/>
        </w:rPr>
        <w:t>Average number of violations per inspection with violations by violation type</w:t>
      </w:r>
    </w:p>
    <w:p w14:paraId="6C991B2F" w14:textId="77777777" w:rsidR="00EC7600" w:rsidRPr="00E81FC9" w:rsidRDefault="00EC7600" w:rsidP="00783189">
      <w:pPr>
        <w:widowControl/>
        <w:autoSpaceDE/>
        <w:adjustRightInd/>
        <w:rPr>
          <w:rFonts w:cs="Calibri"/>
        </w:rPr>
      </w:pPr>
    </w:p>
    <w:p w14:paraId="149518A0" w14:textId="3EB46424" w:rsidR="00562F8C" w:rsidRPr="00E81FC9" w:rsidRDefault="005D1F76" w:rsidP="00783189">
      <w:pPr>
        <w:widowControl/>
        <w:autoSpaceDE/>
        <w:adjustRightInd/>
        <w:rPr>
          <w:rFonts w:cs="Calibri"/>
        </w:rPr>
      </w:pPr>
      <w:r w:rsidRPr="00E81FC9">
        <w:rPr>
          <w:rFonts w:cs="Calibri"/>
          <w:u w:val="single"/>
        </w:rPr>
        <w:t xml:space="preserve">Discussion of </w:t>
      </w:r>
      <w:r w:rsidR="003F2E2D" w:rsidRPr="00E81FC9">
        <w:rPr>
          <w:rFonts w:cs="Calibri"/>
          <w:u w:val="single"/>
        </w:rPr>
        <w:t>State</w:t>
      </w:r>
      <w:r w:rsidR="00391D6F" w:rsidRPr="00E81FC9">
        <w:rPr>
          <w:rFonts w:cs="Calibri"/>
          <w:u w:val="single"/>
        </w:rPr>
        <w:t xml:space="preserve"> Plan </w:t>
      </w:r>
      <w:r w:rsidR="00476C08" w:rsidRPr="00E81FC9">
        <w:rPr>
          <w:rFonts w:cs="Calibri"/>
          <w:u w:val="single"/>
        </w:rPr>
        <w:t>D</w:t>
      </w:r>
      <w:r w:rsidR="00EC7600" w:rsidRPr="00E81FC9">
        <w:rPr>
          <w:rFonts w:cs="Calibri"/>
          <w:u w:val="single"/>
        </w:rPr>
        <w:t>ata and FRL</w:t>
      </w:r>
      <w:r w:rsidRPr="00E81FC9">
        <w:rPr>
          <w:rFonts w:cs="Calibri"/>
          <w:u w:val="single"/>
        </w:rPr>
        <w:t>:</w:t>
      </w:r>
      <w:r w:rsidR="00EC7600" w:rsidRPr="00E81FC9">
        <w:rPr>
          <w:rFonts w:cs="Calibri"/>
        </w:rPr>
        <w:t xml:space="preserve"> The FRL for</w:t>
      </w:r>
      <w:r w:rsidR="00562F8C" w:rsidRPr="00E81FC9">
        <w:rPr>
          <w:rFonts w:cs="Calibri"/>
        </w:rPr>
        <w:t xml:space="preserve"> </w:t>
      </w:r>
      <w:r w:rsidR="008D527A" w:rsidRPr="00E81FC9">
        <w:rPr>
          <w:rFonts w:cs="Calibri"/>
        </w:rPr>
        <w:t>average number of serious/willful/repeat/ unclassified (SWRU) violations per inspection with violations is +/- 20% of the three-year national average of 1.74, which equals a range of 1.39 to 2.08.  The Minnesota State Plan’s average for SWRU</w:t>
      </w:r>
      <w:r w:rsidR="00EC7600" w:rsidRPr="00E81FC9">
        <w:rPr>
          <w:rFonts w:cs="Calibri"/>
        </w:rPr>
        <w:t xml:space="preserve"> </w:t>
      </w:r>
      <w:r w:rsidR="008D527A" w:rsidRPr="00E81FC9">
        <w:rPr>
          <w:rFonts w:cs="Calibri"/>
        </w:rPr>
        <w:t>violations is 2.44, higher than the FRL.</w:t>
      </w:r>
    </w:p>
    <w:p w14:paraId="0EAA2293" w14:textId="77777777" w:rsidR="00562F8C" w:rsidRPr="00E81FC9" w:rsidRDefault="00562F8C" w:rsidP="00783189">
      <w:pPr>
        <w:widowControl/>
        <w:autoSpaceDE/>
        <w:adjustRightInd/>
        <w:rPr>
          <w:rFonts w:cs="Calibri"/>
        </w:rPr>
      </w:pPr>
    </w:p>
    <w:p w14:paraId="7EB21834" w14:textId="3DE48D33" w:rsidR="004E76B9" w:rsidRPr="00E81FC9" w:rsidRDefault="005B636A" w:rsidP="00783189">
      <w:pPr>
        <w:widowControl/>
        <w:autoSpaceDE/>
        <w:adjustRightInd/>
        <w:rPr>
          <w:rFonts w:cs="Calibri"/>
        </w:rPr>
      </w:pPr>
      <w:r w:rsidRPr="00E81FC9">
        <w:rPr>
          <w:rFonts w:cs="Calibri"/>
          <w:u w:val="single"/>
        </w:rPr>
        <w:t>Explanation:</w:t>
      </w:r>
      <w:r w:rsidRPr="00E81FC9">
        <w:rPr>
          <w:rFonts w:cs="Calibri"/>
        </w:rPr>
        <w:t xml:space="preserve"> The Minnesota State Plan’s average violations per inspection are evaluated during quarterly monitoring meetings and discussed when warranted.  Although higher than the FRL, </w:t>
      </w:r>
      <w:r w:rsidR="009A397B" w:rsidRPr="00E81FC9">
        <w:rPr>
          <w:rFonts w:cs="Calibri"/>
        </w:rPr>
        <w:t xml:space="preserve">identifying SWRU </w:t>
      </w:r>
      <w:r w:rsidR="00BA7C33">
        <w:rPr>
          <w:rFonts w:cs="Calibri"/>
        </w:rPr>
        <w:t>hazards</w:t>
      </w:r>
      <w:r w:rsidR="009A397B" w:rsidRPr="00E81FC9">
        <w:rPr>
          <w:rFonts w:cs="Calibri"/>
        </w:rPr>
        <w:t xml:space="preserve"> during inspections is </w:t>
      </w:r>
      <w:r w:rsidR="009A397B" w:rsidRPr="00BA7C33">
        <w:rPr>
          <w:rFonts w:cs="Calibri"/>
        </w:rPr>
        <w:t>paramount</w:t>
      </w:r>
      <w:r w:rsidR="009A397B" w:rsidRPr="00E81FC9">
        <w:rPr>
          <w:rFonts w:cs="Calibri"/>
        </w:rPr>
        <w:t xml:space="preserve"> to the agency’s mission and a favorable outcome.  </w:t>
      </w:r>
      <w:r w:rsidR="004E76B9" w:rsidRPr="00E81FC9">
        <w:rPr>
          <w:rFonts w:cs="Calibri"/>
        </w:rPr>
        <w:t>MNOSHA’s average other-than-serious violations per inspection is within the FRL of +/- 20% of 0.94 at 0.77 violations.</w:t>
      </w:r>
    </w:p>
    <w:p w14:paraId="66ABB1B0" w14:textId="77777777" w:rsidR="004E76B9" w:rsidRDefault="004E76B9" w:rsidP="00783189">
      <w:pPr>
        <w:widowControl/>
        <w:autoSpaceDE/>
        <w:adjustRightInd/>
        <w:rPr>
          <w:rFonts w:cs="Calibri"/>
        </w:rPr>
      </w:pPr>
    </w:p>
    <w:p w14:paraId="75C42714" w14:textId="77777777" w:rsidR="00E73F34" w:rsidRDefault="00E73F34" w:rsidP="00783189">
      <w:pPr>
        <w:widowControl/>
        <w:autoSpaceDE/>
        <w:adjustRightInd/>
        <w:rPr>
          <w:rFonts w:cs="Calibri"/>
        </w:rPr>
      </w:pPr>
    </w:p>
    <w:p w14:paraId="4C284A77" w14:textId="77777777" w:rsidR="00E73F34" w:rsidRDefault="00E73F34" w:rsidP="00783189">
      <w:pPr>
        <w:widowControl/>
        <w:autoSpaceDE/>
        <w:adjustRightInd/>
        <w:rPr>
          <w:rFonts w:cs="Calibri"/>
        </w:rPr>
      </w:pPr>
    </w:p>
    <w:p w14:paraId="417D97D1" w14:textId="77777777" w:rsidR="00E73F34" w:rsidRPr="00E81FC9" w:rsidRDefault="00E73F34" w:rsidP="00783189">
      <w:pPr>
        <w:widowControl/>
        <w:autoSpaceDE/>
        <w:adjustRightInd/>
        <w:rPr>
          <w:rFonts w:cs="Calibri"/>
        </w:rPr>
      </w:pPr>
    </w:p>
    <w:p w14:paraId="7F2FFC7F" w14:textId="77777777" w:rsidR="004E76B9" w:rsidRPr="00E81FC9" w:rsidRDefault="004E76B9" w:rsidP="00783189">
      <w:pPr>
        <w:widowControl/>
        <w:autoSpaceDE/>
        <w:adjustRightInd/>
        <w:rPr>
          <w:rFonts w:cs="Calibri"/>
          <w:b/>
          <w:bCs/>
        </w:rPr>
      </w:pPr>
      <w:r w:rsidRPr="00E81FC9">
        <w:rPr>
          <w:rFonts w:cs="Calibri"/>
          <w:b/>
          <w:bCs/>
        </w:rPr>
        <w:lastRenderedPageBreak/>
        <w:t>SAMM 6 – Percent of total inspections in state and local government workplaces</w:t>
      </w:r>
    </w:p>
    <w:p w14:paraId="051E59ED" w14:textId="77777777" w:rsidR="004E76B9" w:rsidRPr="00E81FC9" w:rsidRDefault="004E76B9" w:rsidP="00783189">
      <w:pPr>
        <w:widowControl/>
        <w:autoSpaceDE/>
        <w:adjustRightInd/>
        <w:rPr>
          <w:rFonts w:cs="Calibri"/>
        </w:rPr>
      </w:pPr>
    </w:p>
    <w:p w14:paraId="69AA4A62" w14:textId="77777777" w:rsidR="004D5BB2" w:rsidRPr="00E81FC9" w:rsidRDefault="004E76B9" w:rsidP="00783189">
      <w:pPr>
        <w:widowControl/>
        <w:autoSpaceDE/>
        <w:adjustRightInd/>
        <w:rPr>
          <w:rFonts w:cs="Calibri"/>
        </w:rPr>
      </w:pPr>
      <w:r w:rsidRPr="00E81FC9">
        <w:rPr>
          <w:rFonts w:cs="Calibri"/>
          <w:u w:val="single"/>
        </w:rPr>
        <w:t>Discussion of State Plan Data and FRL:</w:t>
      </w:r>
      <w:r w:rsidRPr="00E81FC9">
        <w:rPr>
          <w:rFonts w:cs="Calibri"/>
        </w:rPr>
        <w:t xml:space="preserve">  The FRL for percent of total inspections in state and local government workplaces is +/- 5% of </w:t>
      </w:r>
      <w:r w:rsidR="006A28D3" w:rsidRPr="00E81FC9">
        <w:rPr>
          <w:rFonts w:cs="Calibri"/>
        </w:rPr>
        <w:t>3%</w:t>
      </w:r>
      <w:r w:rsidR="003046F7" w:rsidRPr="00E81FC9">
        <w:rPr>
          <w:rFonts w:cs="Calibri"/>
        </w:rPr>
        <w:t>, which is the number negotiated by OSHA and the State Plan through the grant application.  Therefore, the FRL range is 2.85% to 3.15%.  The Minnesota State Plan’s percent of total inspections in state and local government workplaces is at 4.80%, which is above the FRL.</w:t>
      </w:r>
    </w:p>
    <w:p w14:paraId="758D3D60" w14:textId="77777777" w:rsidR="004D5BB2" w:rsidRPr="00E81FC9" w:rsidRDefault="004D5BB2" w:rsidP="00783189">
      <w:pPr>
        <w:widowControl/>
        <w:autoSpaceDE/>
        <w:adjustRightInd/>
        <w:rPr>
          <w:rFonts w:cs="Calibri"/>
        </w:rPr>
      </w:pPr>
    </w:p>
    <w:p w14:paraId="1D08170A" w14:textId="37119E9F" w:rsidR="00562F8C" w:rsidRPr="00E81FC9" w:rsidRDefault="004D5BB2" w:rsidP="00783189">
      <w:pPr>
        <w:widowControl/>
        <w:autoSpaceDE/>
        <w:adjustRightInd/>
        <w:rPr>
          <w:rFonts w:cs="Calibri"/>
        </w:rPr>
      </w:pPr>
      <w:r w:rsidRPr="00E81FC9">
        <w:rPr>
          <w:rFonts w:cs="Calibri"/>
          <w:u w:val="single"/>
        </w:rPr>
        <w:t>Explanation:</w:t>
      </w:r>
      <w:r w:rsidRPr="00E81FC9">
        <w:rPr>
          <w:rFonts w:cs="Calibri"/>
        </w:rPr>
        <w:t xml:space="preserve">  MNOSHA projected conducting</w:t>
      </w:r>
      <w:r w:rsidR="00E81FC9" w:rsidRPr="00E81FC9">
        <w:rPr>
          <w:rFonts w:cs="Calibri"/>
        </w:rPr>
        <w:t xml:space="preserve"> 1,164 inspections in the private sector and 36 inspections in state and local government workplaces.  MNOSHA conducted 1,090 inspections in the private sector and 55 inspections in state and local government workplaces.  Consequently, Minnesota State Plan achieved 94% of their goal for private sector and 153% of their goal for state and local government workplaces.  This metric does not yet rise to the level of an observation.</w:t>
      </w:r>
    </w:p>
    <w:p w14:paraId="7A739F12" w14:textId="77777777" w:rsidR="00562F8C" w:rsidRDefault="00562F8C" w:rsidP="00783189">
      <w:pPr>
        <w:widowControl/>
        <w:autoSpaceDE/>
        <w:adjustRightInd/>
        <w:rPr>
          <w:rFonts w:cs="Calibri"/>
          <w:color w:val="0070C0"/>
        </w:rPr>
      </w:pPr>
    </w:p>
    <w:p w14:paraId="05B1B9E3" w14:textId="26A3940A" w:rsidR="00E81FC9" w:rsidRPr="005C2D4A" w:rsidRDefault="00E81FC9" w:rsidP="00783189">
      <w:pPr>
        <w:widowControl/>
        <w:autoSpaceDE/>
        <w:adjustRightInd/>
        <w:rPr>
          <w:rFonts w:cs="Calibri"/>
          <w:b/>
          <w:bCs/>
        </w:rPr>
      </w:pPr>
      <w:r w:rsidRPr="005C2D4A">
        <w:rPr>
          <w:rFonts w:cs="Calibri"/>
          <w:b/>
          <w:bCs/>
        </w:rPr>
        <w:t>SAMM 7 – Planned v. actual inspections – Safety/Health</w:t>
      </w:r>
    </w:p>
    <w:p w14:paraId="17471C3E" w14:textId="77777777" w:rsidR="00E81FC9" w:rsidRPr="005C2D4A" w:rsidRDefault="00E81FC9" w:rsidP="00783189">
      <w:pPr>
        <w:widowControl/>
        <w:autoSpaceDE/>
        <w:adjustRightInd/>
        <w:rPr>
          <w:rFonts w:cs="Calibri"/>
        </w:rPr>
      </w:pPr>
    </w:p>
    <w:p w14:paraId="64162771" w14:textId="238CBB96" w:rsidR="00E81FC9" w:rsidRPr="005C2D4A" w:rsidRDefault="00E81FC9" w:rsidP="00783189">
      <w:pPr>
        <w:widowControl/>
        <w:autoSpaceDE/>
        <w:adjustRightInd/>
        <w:rPr>
          <w:rFonts w:cs="Calibri"/>
        </w:rPr>
      </w:pPr>
      <w:r w:rsidRPr="005C2D4A">
        <w:rPr>
          <w:rFonts w:cs="Calibri"/>
          <w:u w:val="single"/>
        </w:rPr>
        <w:t>Discussion of State Plan Data and FRL:</w:t>
      </w:r>
      <w:r w:rsidRPr="005C2D4A">
        <w:rPr>
          <w:rFonts w:cs="Calibri"/>
        </w:rPr>
        <w:t xml:space="preserve">  The FRL for planned inspections compared to actual inspections is +/- 5% of the number of inspections negotiated by OSHA and the State Plan through the grant application; </w:t>
      </w:r>
      <w:r w:rsidR="005C2D4A" w:rsidRPr="005C2D4A">
        <w:rPr>
          <w:rFonts w:cs="Calibri"/>
        </w:rPr>
        <w:t xml:space="preserve">1,000 safety inspections and 200 health inspections.  The Minnesota State Plan conducted 956 safety inspections, which is within the acceptable range of 950 to 1,050 inspections.  The Minnesota State Plan conducted </w:t>
      </w:r>
      <w:r w:rsidR="005C2D4A">
        <w:rPr>
          <w:rFonts w:cs="Calibri"/>
        </w:rPr>
        <w:t>189 health inspections, which is just below the acceptable range of 190 to 210 inspections.</w:t>
      </w:r>
    </w:p>
    <w:p w14:paraId="7F6D99AC" w14:textId="77777777" w:rsidR="00E81FC9" w:rsidRPr="005C2D4A" w:rsidRDefault="00E81FC9" w:rsidP="00783189">
      <w:pPr>
        <w:widowControl/>
        <w:autoSpaceDE/>
        <w:adjustRightInd/>
        <w:rPr>
          <w:rFonts w:cs="Calibri"/>
        </w:rPr>
      </w:pPr>
    </w:p>
    <w:p w14:paraId="046C8ED1" w14:textId="77777777" w:rsidR="00607267" w:rsidRDefault="00E81FC9" w:rsidP="00783189">
      <w:pPr>
        <w:widowControl/>
        <w:autoSpaceDE/>
        <w:adjustRightInd/>
        <w:rPr>
          <w:rFonts w:cs="Calibri"/>
        </w:rPr>
      </w:pPr>
      <w:r w:rsidRPr="005C2D4A">
        <w:rPr>
          <w:rFonts w:cs="Calibri"/>
          <w:u w:val="single"/>
        </w:rPr>
        <w:t>Explanation:</w:t>
      </w:r>
      <w:r w:rsidRPr="005C2D4A">
        <w:rPr>
          <w:rFonts w:cs="Calibri"/>
        </w:rPr>
        <w:t xml:space="preserve">  MNOSHA</w:t>
      </w:r>
      <w:r w:rsidR="005C2D4A" w:rsidRPr="005C2D4A">
        <w:rPr>
          <w:rFonts w:cs="Calibri"/>
        </w:rPr>
        <w:t xml:space="preserve"> conducts inspections in accordance with national and local emphasis programs as well as in response to complaints and referrals.  MNOSHA conducted 956 safety and 189 health inspections in FY 2024 for a total of 1,145.  This is 95% of their projected total inspection goal of 1,200.  The primary factor</w:t>
      </w:r>
      <w:r w:rsidR="00215C57">
        <w:rPr>
          <w:rFonts w:cs="Calibri"/>
        </w:rPr>
        <w:t>s</w:t>
      </w:r>
      <w:r w:rsidR="005C2D4A" w:rsidRPr="005C2D4A">
        <w:rPr>
          <w:rFonts w:cs="Calibri"/>
        </w:rPr>
        <w:t xml:space="preserve"> affecting the Minnesota State Plan’s ability to conduct inspections during FY 2024 w</w:t>
      </w:r>
      <w:r w:rsidR="0053426F">
        <w:rPr>
          <w:rFonts w:cs="Calibri"/>
        </w:rPr>
        <w:t>ere</w:t>
      </w:r>
      <w:r w:rsidR="005C2D4A" w:rsidRPr="005C2D4A">
        <w:rPr>
          <w:rFonts w:cs="Calibri"/>
        </w:rPr>
        <w:t xml:space="preserve"> the newer staff resulting from retirements, promotions, and </w:t>
      </w:r>
      <w:r w:rsidR="00215C57">
        <w:rPr>
          <w:rFonts w:cs="Calibri"/>
        </w:rPr>
        <w:t xml:space="preserve">the </w:t>
      </w:r>
      <w:r w:rsidR="005C2D4A" w:rsidRPr="005C2D4A">
        <w:rPr>
          <w:rFonts w:cs="Calibri"/>
        </w:rPr>
        <w:t xml:space="preserve">increase in allocated positions.  </w:t>
      </w:r>
      <w:bookmarkStart w:id="22" w:name="_Hlk199339178"/>
    </w:p>
    <w:p w14:paraId="12E6B039" w14:textId="77777777" w:rsidR="00607267" w:rsidRDefault="00607267" w:rsidP="00783189">
      <w:pPr>
        <w:widowControl/>
        <w:autoSpaceDE/>
        <w:adjustRightInd/>
        <w:rPr>
          <w:rFonts w:cs="Calibri"/>
        </w:rPr>
      </w:pPr>
    </w:p>
    <w:p w14:paraId="5847193D" w14:textId="461482DF" w:rsidR="00E81FC9" w:rsidRPr="005C2D4A" w:rsidRDefault="00607267" w:rsidP="00783189">
      <w:pPr>
        <w:widowControl/>
        <w:autoSpaceDE/>
        <w:adjustRightInd/>
        <w:rPr>
          <w:rFonts w:cs="Calibri"/>
        </w:rPr>
      </w:pPr>
      <w:r w:rsidRPr="00607267">
        <w:rPr>
          <w:rFonts w:cs="Calibri"/>
        </w:rPr>
        <w:t xml:space="preserve">OSHA recognizes the potential impact caused by reducing the fiscal year 2024 State Plan 23(g) grant funding during the last quarter of the fiscal year. </w:t>
      </w:r>
      <w:r>
        <w:rPr>
          <w:rFonts w:cs="Calibri"/>
        </w:rPr>
        <w:t xml:space="preserve"> </w:t>
      </w:r>
      <w:r w:rsidRPr="00607267">
        <w:rPr>
          <w:rFonts w:cs="Calibri"/>
        </w:rPr>
        <w:t xml:space="preserve">In addition, at the start of FY 2025, OSHA implemented a new set of SAMMs using a FRL of -20% of the negotiated number for health inspections. </w:t>
      </w:r>
      <w:r>
        <w:rPr>
          <w:rFonts w:cs="Calibri"/>
        </w:rPr>
        <w:t xml:space="preserve"> </w:t>
      </w:r>
      <w:r w:rsidRPr="00607267">
        <w:rPr>
          <w:rFonts w:cs="Calibri"/>
        </w:rPr>
        <w:t xml:space="preserve">Even though these SAMMs were not in effect for FY 2024, it is notable that MNOSHA’s 189 health inspections would have been above the FRL of 160 under this new set of measures. </w:t>
      </w:r>
      <w:r>
        <w:rPr>
          <w:rFonts w:cs="Calibri"/>
        </w:rPr>
        <w:t xml:space="preserve"> </w:t>
      </w:r>
      <w:r w:rsidRPr="00607267">
        <w:rPr>
          <w:rFonts w:cs="Calibri"/>
        </w:rPr>
        <w:t>For these reasons, OSHA will not make this issue a finding or observation and will continue to monitor during quarterly meetings.</w:t>
      </w:r>
    </w:p>
    <w:bookmarkEnd w:id="22"/>
    <w:p w14:paraId="741FC7FD" w14:textId="77777777" w:rsidR="005C2D4A" w:rsidRDefault="005C2D4A" w:rsidP="00783189">
      <w:pPr>
        <w:widowControl/>
        <w:autoSpaceDE/>
        <w:adjustRightInd/>
        <w:rPr>
          <w:rFonts w:cs="Calibri"/>
          <w:color w:val="0070C0"/>
        </w:rPr>
      </w:pPr>
    </w:p>
    <w:p w14:paraId="5B76263C" w14:textId="130BDFE1" w:rsidR="001441FC" w:rsidRPr="001441FC" w:rsidRDefault="001441FC" w:rsidP="00783189">
      <w:pPr>
        <w:widowControl/>
        <w:autoSpaceDE/>
        <w:adjustRightInd/>
        <w:rPr>
          <w:rFonts w:cs="Calibri"/>
          <w:b/>
          <w:bCs/>
        </w:rPr>
      </w:pPr>
      <w:r w:rsidRPr="001441FC">
        <w:rPr>
          <w:rFonts w:cs="Calibri"/>
          <w:b/>
          <w:bCs/>
        </w:rPr>
        <w:t>SAMM 8 – Average current serious penalty in private sector</w:t>
      </w:r>
    </w:p>
    <w:p w14:paraId="77B206AF" w14:textId="77777777" w:rsidR="001441FC" w:rsidRDefault="001441FC" w:rsidP="00783189">
      <w:pPr>
        <w:widowControl/>
        <w:autoSpaceDE/>
        <w:adjustRightInd/>
        <w:rPr>
          <w:rFonts w:cs="Calibri"/>
          <w:color w:val="0070C0"/>
        </w:rPr>
      </w:pPr>
    </w:p>
    <w:p w14:paraId="0FF7F3C2" w14:textId="5D095F49" w:rsidR="001441FC" w:rsidRPr="00654ABB" w:rsidRDefault="001441FC" w:rsidP="001441FC">
      <w:pPr>
        <w:rPr>
          <w:rFonts w:cs="Calibri"/>
          <w:bCs/>
        </w:rPr>
      </w:pPr>
      <w:r w:rsidRPr="001441FC">
        <w:rPr>
          <w:rFonts w:cs="Calibri"/>
          <w:u w:val="single"/>
        </w:rPr>
        <w:t>Discussion of State Plan Data and FRL:</w:t>
      </w:r>
      <w:r>
        <w:rPr>
          <w:rFonts w:cs="Calibri"/>
          <w:color w:val="0070C0"/>
        </w:rPr>
        <w:t xml:space="preserve">  </w:t>
      </w:r>
      <w:r w:rsidRPr="00654ABB">
        <w:rPr>
          <w:rFonts w:cs="Calibri"/>
          <w:bCs/>
        </w:rPr>
        <w:t xml:space="preserve">SAMM 8 is divided into categories based on the number of workers controlled by the employer, ex. any number, 1-25, 26-100, 101-250, and greater than 250.  The FRL for average current serious penalty is +/- 25% of a three-year national average for </w:t>
      </w:r>
      <w:r w:rsidRPr="00654ABB">
        <w:rPr>
          <w:rFonts w:cs="Calibri"/>
          <w:bCs/>
        </w:rPr>
        <w:lastRenderedPageBreak/>
        <w:t xml:space="preserve">each category.  The Minnesota State Plan fell below the FRL range in all but the last category.  The FRL for any number of workers is +/- 25% of the three-year national average of $3,793.81, which equals a range of $2,845.36 to $4,742.27.  MNOSHA achieved an average penalty of $2,226.37.  </w:t>
      </w:r>
    </w:p>
    <w:p w14:paraId="2D34D921" w14:textId="364F2082" w:rsidR="001441FC" w:rsidRDefault="001441FC" w:rsidP="00783189">
      <w:pPr>
        <w:widowControl/>
        <w:autoSpaceDE/>
        <w:adjustRightInd/>
        <w:rPr>
          <w:rFonts w:cs="Calibri"/>
          <w:color w:val="0070C0"/>
        </w:rPr>
      </w:pPr>
    </w:p>
    <w:p w14:paraId="20BEC76C" w14:textId="349FC8CE" w:rsidR="00B50B91" w:rsidRPr="005C2D4A" w:rsidRDefault="001441FC" w:rsidP="00B50B91">
      <w:pPr>
        <w:widowControl/>
        <w:autoSpaceDE/>
        <w:adjustRightInd/>
        <w:rPr>
          <w:rFonts w:cs="Calibri"/>
        </w:rPr>
      </w:pPr>
      <w:r w:rsidRPr="001441FC">
        <w:rPr>
          <w:rFonts w:cs="Calibri"/>
          <w:u w:val="single"/>
        </w:rPr>
        <w:t>Explanation:</w:t>
      </w:r>
      <w:r>
        <w:rPr>
          <w:rFonts w:cs="Calibri"/>
          <w:color w:val="0070C0"/>
        </w:rPr>
        <w:t xml:space="preserve">  </w:t>
      </w:r>
      <w:r w:rsidR="00B50B91" w:rsidRPr="001D6564">
        <w:rPr>
          <w:rFonts w:cs="Calibri"/>
        </w:rPr>
        <w:t>The Minnesota State Plan completed legislative changes to increase maximum penalties, which went into effect October 1, 2023</w:t>
      </w:r>
      <w:r w:rsidR="00B50B91">
        <w:rPr>
          <w:rFonts w:cs="Calibri"/>
        </w:rPr>
        <w:t>.  H</w:t>
      </w:r>
      <w:r w:rsidR="00B50B91" w:rsidRPr="001D6564">
        <w:rPr>
          <w:rFonts w:cs="Calibri"/>
        </w:rPr>
        <w:t>owever</w:t>
      </w:r>
      <w:r w:rsidR="00B50B91">
        <w:rPr>
          <w:rFonts w:cs="Calibri"/>
        </w:rPr>
        <w:t>,</w:t>
      </w:r>
      <w:r w:rsidR="00B50B91" w:rsidRPr="001D6564">
        <w:rPr>
          <w:rFonts w:cs="Calibri"/>
        </w:rPr>
        <w:t xml:space="preserve"> average serious penalties to smaller employers remain lower than expected.</w:t>
      </w:r>
      <w:r w:rsidR="00B50B91">
        <w:rPr>
          <w:rFonts w:cs="Calibri"/>
        </w:rPr>
        <w:t xml:space="preserve">  </w:t>
      </w:r>
      <w:r w:rsidR="00B50B91" w:rsidRPr="005C2D4A">
        <w:rPr>
          <w:rFonts w:cs="Calibri"/>
        </w:rPr>
        <w:t>This metric does not yet rise to the level of an observation.</w:t>
      </w:r>
    </w:p>
    <w:p w14:paraId="2E808F44" w14:textId="77777777" w:rsidR="001441FC" w:rsidRDefault="001441FC" w:rsidP="00783189">
      <w:pPr>
        <w:widowControl/>
        <w:autoSpaceDE/>
        <w:adjustRightInd/>
        <w:rPr>
          <w:rFonts w:cs="Calibri"/>
          <w:color w:val="0070C0"/>
        </w:rPr>
      </w:pPr>
    </w:p>
    <w:p w14:paraId="222FCA23" w14:textId="77777777" w:rsidR="00521119" w:rsidRPr="00521119" w:rsidRDefault="004C5508" w:rsidP="00783189">
      <w:pPr>
        <w:widowControl/>
        <w:autoSpaceDE/>
        <w:adjustRightInd/>
        <w:rPr>
          <w:rFonts w:cs="Calibri"/>
          <w:b/>
          <w:bCs/>
        </w:rPr>
      </w:pPr>
      <w:r w:rsidRPr="00521119">
        <w:rPr>
          <w:rFonts w:cs="Calibri"/>
          <w:b/>
          <w:bCs/>
        </w:rPr>
        <w:t xml:space="preserve">SAMM </w:t>
      </w:r>
      <w:r w:rsidR="00521119" w:rsidRPr="00521119">
        <w:rPr>
          <w:rFonts w:cs="Calibri"/>
          <w:b/>
          <w:bCs/>
        </w:rPr>
        <w:t>9 – Percent in-compliance</w:t>
      </w:r>
    </w:p>
    <w:p w14:paraId="7459FD5C" w14:textId="77777777" w:rsidR="00521119" w:rsidRDefault="00521119" w:rsidP="00783189">
      <w:pPr>
        <w:widowControl/>
        <w:autoSpaceDE/>
        <w:adjustRightInd/>
        <w:rPr>
          <w:rFonts w:cs="Calibri"/>
        </w:rPr>
      </w:pPr>
    </w:p>
    <w:p w14:paraId="592ED3D9" w14:textId="5957F20B" w:rsidR="00521119" w:rsidRDefault="00521119" w:rsidP="00783189">
      <w:pPr>
        <w:widowControl/>
        <w:autoSpaceDE/>
        <w:adjustRightInd/>
        <w:rPr>
          <w:rFonts w:cs="Calibri"/>
        </w:rPr>
      </w:pPr>
      <w:r w:rsidRPr="00521119">
        <w:rPr>
          <w:rFonts w:cs="Calibri"/>
          <w:u w:val="single"/>
        </w:rPr>
        <w:t>Discussion of State Plan Data and FRL:</w:t>
      </w:r>
      <w:r>
        <w:rPr>
          <w:rFonts w:cs="Calibri"/>
        </w:rPr>
        <w:t xml:space="preserve">  The FRL for percent in-compliance for safety inspections is +/- 20% of the three-year national average of 32.83%, which equals a range of 26.27% to 39.40%.  The Minnesota State Plan’s in-compliance rate for safety is 30.69%</w:t>
      </w:r>
      <w:r w:rsidR="00E1746C">
        <w:rPr>
          <w:rFonts w:cs="Calibri"/>
        </w:rPr>
        <w:t xml:space="preserve">.  </w:t>
      </w:r>
      <w:r>
        <w:rPr>
          <w:rFonts w:cs="Calibri"/>
        </w:rPr>
        <w:t>The FRL for percent in-compliance for health inspections is +/- 20% of the three-year national average of 44.18%</w:t>
      </w:r>
      <w:r w:rsidR="00E1746C">
        <w:rPr>
          <w:rFonts w:cs="Calibri"/>
        </w:rPr>
        <w:t>, which equals a range of 35.34% to 53.01%.  The Minnesota State Plan’s in-compliance rate for health is 33.92%, which is lower than the FRL.</w:t>
      </w:r>
    </w:p>
    <w:p w14:paraId="3F05DC48" w14:textId="77777777" w:rsidR="00521119" w:rsidRDefault="00521119" w:rsidP="00783189">
      <w:pPr>
        <w:widowControl/>
        <w:autoSpaceDE/>
        <w:adjustRightInd/>
        <w:rPr>
          <w:rFonts w:cs="Calibri"/>
        </w:rPr>
      </w:pPr>
    </w:p>
    <w:p w14:paraId="2640152C" w14:textId="77777777" w:rsidR="00E1746C" w:rsidRDefault="00521119" w:rsidP="00783189">
      <w:pPr>
        <w:widowControl/>
        <w:autoSpaceDE/>
        <w:adjustRightInd/>
        <w:rPr>
          <w:rFonts w:cs="Calibri"/>
        </w:rPr>
      </w:pPr>
      <w:r w:rsidRPr="00521119">
        <w:rPr>
          <w:rFonts w:cs="Calibri"/>
          <w:u w:val="single"/>
        </w:rPr>
        <w:t>Explanation:</w:t>
      </w:r>
      <w:r>
        <w:rPr>
          <w:rFonts w:cs="Calibri"/>
        </w:rPr>
        <w:t xml:space="preserve">  </w:t>
      </w:r>
      <w:r w:rsidR="00E1746C">
        <w:rPr>
          <w:rFonts w:cs="Calibri"/>
        </w:rPr>
        <w:t>The Minnesota State Plan’s in-compliance rates are evaluated during every quarterly monitoring meeting and discussed when warranted.  The health in-compliance rate is lower than anticipated and a positive outcome.</w:t>
      </w:r>
    </w:p>
    <w:p w14:paraId="52141107" w14:textId="77777777" w:rsidR="00E1746C" w:rsidRDefault="00E1746C" w:rsidP="00783189">
      <w:pPr>
        <w:widowControl/>
        <w:autoSpaceDE/>
        <w:adjustRightInd/>
        <w:rPr>
          <w:rFonts w:cs="Calibri"/>
        </w:rPr>
      </w:pPr>
    </w:p>
    <w:p w14:paraId="5165FE25" w14:textId="77777777" w:rsidR="00E1746C" w:rsidRPr="00E1746C" w:rsidRDefault="00E1746C" w:rsidP="00783189">
      <w:pPr>
        <w:widowControl/>
        <w:autoSpaceDE/>
        <w:adjustRightInd/>
        <w:rPr>
          <w:rFonts w:cs="Calibri"/>
          <w:b/>
          <w:bCs/>
        </w:rPr>
      </w:pPr>
      <w:r w:rsidRPr="00E1746C">
        <w:rPr>
          <w:rFonts w:cs="Calibri"/>
          <w:b/>
          <w:bCs/>
        </w:rPr>
        <w:t>SAMM 11 – Average lapse time</w:t>
      </w:r>
    </w:p>
    <w:p w14:paraId="65B77FCC" w14:textId="77777777" w:rsidR="00E1746C" w:rsidRDefault="00E1746C" w:rsidP="00783189">
      <w:pPr>
        <w:widowControl/>
        <w:autoSpaceDE/>
        <w:adjustRightInd/>
        <w:rPr>
          <w:rFonts w:cs="Calibri"/>
        </w:rPr>
      </w:pPr>
    </w:p>
    <w:p w14:paraId="4958EC92" w14:textId="46D8B8E1" w:rsidR="00E1746C" w:rsidRDefault="00E1746C" w:rsidP="00783189">
      <w:pPr>
        <w:widowControl/>
        <w:autoSpaceDE/>
        <w:adjustRightInd/>
        <w:rPr>
          <w:rFonts w:cs="Calibri"/>
        </w:rPr>
      </w:pPr>
      <w:r w:rsidRPr="00E1746C">
        <w:rPr>
          <w:rFonts w:cs="Calibri"/>
          <w:u w:val="single"/>
        </w:rPr>
        <w:t>Discussion of State Plan Data and FRL:</w:t>
      </w:r>
      <w:r>
        <w:rPr>
          <w:rFonts w:cs="Calibri"/>
        </w:rPr>
        <w:t xml:space="preserve">  The</w:t>
      </w:r>
      <w:r w:rsidR="00DD3E38">
        <w:rPr>
          <w:rFonts w:cs="Calibri"/>
        </w:rPr>
        <w:t xml:space="preserve"> FRL for average lapse time for safety inspections is +/- 20% of the three-year national average of 56.02 days which equals a range of 44.82 to 67.23 days.</w:t>
      </w:r>
      <w:r w:rsidR="000063B0">
        <w:rPr>
          <w:rFonts w:cs="Calibri"/>
        </w:rPr>
        <w:t xml:space="preserve">  The Minnesota State Plan’s lapse time for safety is </w:t>
      </w:r>
      <w:r w:rsidR="004F75CE">
        <w:rPr>
          <w:rFonts w:cs="Calibri"/>
        </w:rPr>
        <w:t>42.86 days, which is below the FRL.  The FRL for average lapse time for health inspections is +/- 20% of the three-year national average of 67.21, which equals a range of 53.77 to 80.65 days.  The Minnesota State Plan’s lapse time for health is 53.50 days which is also below the FRL.</w:t>
      </w:r>
    </w:p>
    <w:p w14:paraId="6FB61476" w14:textId="77777777" w:rsidR="00E1746C" w:rsidRDefault="00E1746C" w:rsidP="00783189">
      <w:pPr>
        <w:widowControl/>
        <w:autoSpaceDE/>
        <w:adjustRightInd/>
        <w:rPr>
          <w:rFonts w:cs="Calibri"/>
        </w:rPr>
      </w:pPr>
    </w:p>
    <w:p w14:paraId="586FAD2E" w14:textId="50590B83" w:rsidR="00E1746C" w:rsidRDefault="00E1746C" w:rsidP="00783189">
      <w:pPr>
        <w:widowControl/>
        <w:autoSpaceDE/>
        <w:adjustRightInd/>
        <w:rPr>
          <w:rFonts w:cs="Calibri"/>
        </w:rPr>
      </w:pPr>
      <w:r w:rsidRPr="00E1746C">
        <w:rPr>
          <w:rFonts w:cs="Calibri"/>
          <w:u w:val="single"/>
        </w:rPr>
        <w:t>Explanation:</w:t>
      </w:r>
      <w:r>
        <w:rPr>
          <w:rFonts w:cs="Calibri"/>
        </w:rPr>
        <w:t xml:space="preserve">  </w:t>
      </w:r>
      <w:r w:rsidR="004F75CE">
        <w:rPr>
          <w:rFonts w:cs="Calibri"/>
        </w:rPr>
        <w:t>MNOSHA staff is committed to completing case files and issuing citations in a timely manner and their resulting lapse time is favorable.</w:t>
      </w:r>
    </w:p>
    <w:p w14:paraId="58340800" w14:textId="77777777" w:rsidR="00E1746C" w:rsidRDefault="00E1746C" w:rsidP="00783189">
      <w:pPr>
        <w:widowControl/>
        <w:autoSpaceDE/>
        <w:adjustRightInd/>
        <w:rPr>
          <w:rFonts w:cs="Calibri"/>
        </w:rPr>
      </w:pPr>
    </w:p>
    <w:p w14:paraId="01307851" w14:textId="64FB269B" w:rsidR="005C2D4A" w:rsidRPr="00BA7C33" w:rsidRDefault="00E1746C" w:rsidP="00783189">
      <w:pPr>
        <w:widowControl/>
        <w:autoSpaceDE/>
        <w:adjustRightInd/>
        <w:rPr>
          <w:rFonts w:cs="Calibri"/>
          <w:b/>
          <w:bCs/>
        </w:rPr>
      </w:pPr>
      <w:r w:rsidRPr="00BA7C33">
        <w:rPr>
          <w:rFonts w:cs="Calibri"/>
          <w:b/>
          <w:bCs/>
        </w:rPr>
        <w:t xml:space="preserve">SAMM </w:t>
      </w:r>
      <w:r w:rsidR="00BA7C33" w:rsidRPr="00BA7C33">
        <w:rPr>
          <w:rFonts w:cs="Calibri"/>
          <w:b/>
          <w:bCs/>
        </w:rPr>
        <w:t>12 – Percent penalty retained</w:t>
      </w:r>
    </w:p>
    <w:p w14:paraId="62D1818A" w14:textId="77777777" w:rsidR="00BA7C33" w:rsidRDefault="00BA7C33" w:rsidP="00783189">
      <w:pPr>
        <w:widowControl/>
        <w:autoSpaceDE/>
        <w:adjustRightInd/>
        <w:rPr>
          <w:rFonts w:cs="Calibri"/>
        </w:rPr>
      </w:pPr>
    </w:p>
    <w:p w14:paraId="76A90223" w14:textId="6A71EBB4" w:rsidR="00BA7C33" w:rsidRDefault="00BA7C33" w:rsidP="00783189">
      <w:pPr>
        <w:widowControl/>
        <w:autoSpaceDE/>
        <w:adjustRightInd/>
        <w:rPr>
          <w:rFonts w:cs="Calibri"/>
        </w:rPr>
      </w:pPr>
      <w:r w:rsidRPr="00BA7C33">
        <w:rPr>
          <w:rFonts w:cs="Calibri"/>
          <w:u w:val="single"/>
        </w:rPr>
        <w:t>Discussion of State Plan Data and FRL:</w:t>
      </w:r>
      <w:r>
        <w:rPr>
          <w:rFonts w:cs="Calibri"/>
        </w:rPr>
        <w:t xml:space="preserve">  The FRL for percent penalty retained is +/- 15% of the three-year national average of 70.81% which equals a range of 60.19% to 81.44%.</w:t>
      </w:r>
    </w:p>
    <w:p w14:paraId="46860511" w14:textId="77777777" w:rsidR="00BA7C33" w:rsidRDefault="00BA7C33" w:rsidP="00783189">
      <w:pPr>
        <w:widowControl/>
        <w:autoSpaceDE/>
        <w:adjustRightInd/>
        <w:rPr>
          <w:rFonts w:cs="Calibri"/>
        </w:rPr>
      </w:pPr>
    </w:p>
    <w:p w14:paraId="436CB4DE" w14:textId="09A9D4F0" w:rsidR="00BA7C33" w:rsidRPr="00FB07AF" w:rsidRDefault="00BA7C33" w:rsidP="00783189">
      <w:pPr>
        <w:widowControl/>
        <w:autoSpaceDE/>
        <w:adjustRightInd/>
        <w:rPr>
          <w:rFonts w:cs="Calibri"/>
        </w:rPr>
      </w:pPr>
      <w:r w:rsidRPr="00BA7C33">
        <w:rPr>
          <w:rFonts w:cs="Calibri"/>
          <w:u w:val="single"/>
        </w:rPr>
        <w:t>Explanation:</w:t>
      </w:r>
      <w:r>
        <w:rPr>
          <w:rFonts w:cs="Calibri"/>
        </w:rPr>
        <w:t xml:space="preserve">  The Minnesota State Plan retained 91.77% of penalties, which is well above the FRL and a positive outcome.</w:t>
      </w:r>
    </w:p>
    <w:p w14:paraId="43707F6A" w14:textId="6251F2D4" w:rsidR="00F86D4B" w:rsidRPr="007324F0" w:rsidRDefault="00F86D4B" w:rsidP="00783189">
      <w:pPr>
        <w:widowControl/>
        <w:autoSpaceDE/>
        <w:autoSpaceDN/>
        <w:adjustRightInd/>
        <w:rPr>
          <w:rFonts w:cs="Calibri"/>
          <w:i/>
          <w:color w:val="0070C0"/>
        </w:rPr>
      </w:pPr>
    </w:p>
    <w:p w14:paraId="4DD4CBB7" w14:textId="77777777" w:rsidR="000A134A" w:rsidRPr="001C1E47" w:rsidRDefault="000A134A" w:rsidP="007A71AC">
      <w:pPr>
        <w:widowControl/>
        <w:autoSpaceDE/>
        <w:autoSpaceDN/>
        <w:adjustRightInd/>
        <w:rPr>
          <w:rFonts w:cs="Calibri"/>
        </w:rPr>
        <w:sectPr w:rsidR="000A134A"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23" w:name="_Toc118905017"/>
      <w:bookmarkStart w:id="24" w:name="_Toc119418669"/>
      <w:r w:rsidRPr="0002572C">
        <w:lastRenderedPageBreak/>
        <w:t>Appendix A – New and Continued Findings and Recommendations</w:t>
      </w:r>
      <w:bookmarkEnd w:id="23"/>
      <w:bookmarkEnd w:id="24"/>
    </w:p>
    <w:p w14:paraId="670F195C" w14:textId="1ED36F16" w:rsidR="00B6741C" w:rsidRDefault="00B6741C" w:rsidP="00B6741C">
      <w:r>
        <w:t>FY 20</w:t>
      </w:r>
      <w:r w:rsidR="002F4EFA">
        <w:t>24</w:t>
      </w:r>
      <w:r>
        <w:t xml:space="preserve"> </w:t>
      </w:r>
      <w:r w:rsidR="00B04601">
        <w:t>MNOSHA</w:t>
      </w:r>
      <w:r w:rsidRPr="00476C08">
        <w:rPr>
          <w:color w:val="0070C0"/>
        </w:rPr>
        <w:t xml:space="preserve"> </w:t>
      </w:r>
      <w:r>
        <w:t>Follow-up FAME Report</w:t>
      </w:r>
    </w:p>
    <w:p w14:paraId="77980CE2" w14:textId="77777777" w:rsidR="000A134A" w:rsidRDefault="000A134A" w:rsidP="007A71AC">
      <w:pPr>
        <w:widowControl/>
        <w:tabs>
          <w:tab w:val="left" w:pos="3630"/>
        </w:tabs>
        <w:autoSpaceDE/>
        <w:autoSpaceDN/>
        <w:adjustRightInd/>
        <w:rPr>
          <w:rFonts w:cs="Calibri"/>
        </w:rPr>
      </w:pPr>
    </w:p>
    <w:p w14:paraId="48E7F4D7" w14:textId="77777777" w:rsidR="00CB7D6E" w:rsidRPr="001C1E47" w:rsidRDefault="00CB7D6E"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1E14A5E1"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4B5D11">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7AC9CE7F"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4B5D11">
              <w:rPr>
                <w:rFonts w:cs="Calibri"/>
                <w:b/>
              </w:rPr>
              <w:t>23</w:t>
            </w:r>
            <w:r w:rsidRPr="001C1E47">
              <w:rPr>
                <w:rFonts w:cs="Calibri"/>
                <w:b/>
              </w:rPr>
              <w:t xml:space="preserve">-# or </w:t>
            </w:r>
          </w:p>
          <w:p w14:paraId="3C61CFBF" w14:textId="37A5C96E"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4B5D11">
              <w:rPr>
                <w:rFonts w:cs="Calibri"/>
                <w:b/>
              </w:rPr>
              <w:t>23</w:t>
            </w:r>
            <w:r w:rsidRPr="001C1E47">
              <w:rPr>
                <w:rFonts w:cs="Calibri"/>
                <w:b/>
              </w:rPr>
              <w:t>-OB-#</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489C07AE" w:rsidR="000A134A" w:rsidRPr="001C1E47" w:rsidRDefault="000A134A" w:rsidP="007A71AC">
            <w:pPr>
              <w:widowControl/>
              <w:autoSpaceDE/>
              <w:autoSpaceDN/>
              <w:adjustRightInd/>
              <w:rPr>
                <w:rFonts w:cs="Calibri"/>
              </w:rPr>
            </w:pPr>
            <w:r w:rsidRPr="001C1E47">
              <w:rPr>
                <w:rFonts w:cs="Calibri"/>
              </w:rPr>
              <w:t xml:space="preserve"> </w:t>
            </w:r>
            <w:r w:rsidR="004B5D11">
              <w:rPr>
                <w:rFonts w:cs="Calibri"/>
              </w:rPr>
              <w:t>None.</w:t>
            </w:r>
            <w:r w:rsidRPr="001C1E47">
              <w:rPr>
                <w:rFonts w:cs="Calibri"/>
              </w:rPr>
              <w:t xml:space="preserve">  </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7C19C4AE" w14:textId="77777777" w:rsidR="00D86879" w:rsidRDefault="00D86879" w:rsidP="007A71AC">
      <w:pPr>
        <w:widowControl/>
        <w:autoSpaceDE/>
        <w:autoSpaceDN/>
        <w:adjustRightInd/>
        <w:rPr>
          <w:rFonts w:cs="Calibri"/>
          <w:i/>
        </w:rPr>
      </w:pPr>
    </w:p>
    <w:p w14:paraId="71BD82D6" w14:textId="77777777" w:rsidR="00840C7C" w:rsidRDefault="00840C7C" w:rsidP="007A71AC">
      <w:pPr>
        <w:widowControl/>
        <w:autoSpaceDE/>
        <w:autoSpaceDN/>
        <w:adjustRightInd/>
        <w:rPr>
          <w:rFonts w:cs="Calibri"/>
          <w:i/>
        </w:rPr>
      </w:pPr>
    </w:p>
    <w:p w14:paraId="5D06F540" w14:textId="77777777" w:rsidR="00840C7C" w:rsidRDefault="00840C7C" w:rsidP="007A71AC">
      <w:pPr>
        <w:widowControl/>
        <w:autoSpaceDE/>
        <w:autoSpaceDN/>
        <w:adjustRightInd/>
        <w:rPr>
          <w:rFonts w:cs="Calibri"/>
          <w:i/>
        </w:rPr>
      </w:pPr>
    </w:p>
    <w:p w14:paraId="40B63E1F" w14:textId="77777777" w:rsidR="00840C7C" w:rsidRDefault="00840C7C" w:rsidP="007A71AC">
      <w:pPr>
        <w:widowControl/>
        <w:autoSpaceDE/>
        <w:autoSpaceDN/>
        <w:adjustRightInd/>
        <w:rPr>
          <w:rFonts w:cs="Calibri"/>
          <w:i/>
        </w:rPr>
      </w:pPr>
    </w:p>
    <w:p w14:paraId="24DAD6DD" w14:textId="77777777" w:rsidR="00840C7C" w:rsidRDefault="00840C7C" w:rsidP="007A71AC">
      <w:pPr>
        <w:widowControl/>
        <w:autoSpaceDE/>
        <w:autoSpaceDN/>
        <w:adjustRightInd/>
        <w:rPr>
          <w:rFonts w:cs="Calibri"/>
          <w:i/>
        </w:rPr>
      </w:pPr>
    </w:p>
    <w:p w14:paraId="1B772FDE" w14:textId="77777777" w:rsidR="004B5D11" w:rsidRDefault="004B5D11" w:rsidP="007A71AC">
      <w:pPr>
        <w:widowControl/>
        <w:autoSpaceDE/>
        <w:autoSpaceDN/>
        <w:adjustRightInd/>
        <w:rPr>
          <w:rFonts w:cs="Calibri"/>
          <w:i/>
        </w:rPr>
      </w:pPr>
    </w:p>
    <w:p w14:paraId="6C37C3AB" w14:textId="77777777" w:rsidR="004B5D11" w:rsidRDefault="004B5D11" w:rsidP="007A71AC">
      <w:pPr>
        <w:widowControl/>
        <w:autoSpaceDE/>
        <w:autoSpaceDN/>
        <w:adjustRightInd/>
        <w:rPr>
          <w:rFonts w:cs="Calibri"/>
          <w:i/>
        </w:rPr>
      </w:pPr>
    </w:p>
    <w:p w14:paraId="4E8497AB" w14:textId="77777777" w:rsidR="004B5D11" w:rsidRDefault="004B5D11" w:rsidP="007A71AC">
      <w:pPr>
        <w:widowControl/>
        <w:autoSpaceDE/>
        <w:autoSpaceDN/>
        <w:adjustRightInd/>
        <w:rPr>
          <w:rFonts w:cs="Calibri"/>
          <w:i/>
        </w:rPr>
      </w:pPr>
    </w:p>
    <w:p w14:paraId="5FF0DBF6" w14:textId="77777777" w:rsidR="004B5D11" w:rsidRDefault="004B5D11" w:rsidP="007A71AC">
      <w:pPr>
        <w:widowControl/>
        <w:autoSpaceDE/>
        <w:autoSpaceDN/>
        <w:adjustRightInd/>
        <w:rPr>
          <w:rFonts w:cs="Calibri"/>
          <w:i/>
        </w:rPr>
      </w:pPr>
    </w:p>
    <w:p w14:paraId="6A667669" w14:textId="77777777" w:rsidR="004B5D11" w:rsidRDefault="004B5D11" w:rsidP="007A71AC">
      <w:pPr>
        <w:widowControl/>
        <w:autoSpaceDE/>
        <w:autoSpaceDN/>
        <w:adjustRightInd/>
        <w:rPr>
          <w:rFonts w:cs="Calibri"/>
          <w:i/>
        </w:rPr>
      </w:pPr>
    </w:p>
    <w:p w14:paraId="71D23C33" w14:textId="77777777" w:rsidR="004B5D11" w:rsidRDefault="004B5D11" w:rsidP="007A71AC">
      <w:pPr>
        <w:widowControl/>
        <w:autoSpaceDE/>
        <w:autoSpaceDN/>
        <w:adjustRightInd/>
        <w:rPr>
          <w:rFonts w:cs="Calibri"/>
          <w:i/>
        </w:rPr>
      </w:pPr>
    </w:p>
    <w:p w14:paraId="594F53D6" w14:textId="77777777" w:rsidR="004B5D11" w:rsidRDefault="004B5D11" w:rsidP="007A71AC">
      <w:pPr>
        <w:widowControl/>
        <w:autoSpaceDE/>
        <w:autoSpaceDN/>
        <w:adjustRightInd/>
        <w:rPr>
          <w:rFonts w:cs="Calibri"/>
          <w:i/>
        </w:rPr>
      </w:pPr>
    </w:p>
    <w:p w14:paraId="436F7E15" w14:textId="77777777" w:rsidR="004B5D11" w:rsidRDefault="004B5D11" w:rsidP="007A71AC">
      <w:pPr>
        <w:widowControl/>
        <w:autoSpaceDE/>
        <w:autoSpaceDN/>
        <w:adjustRightInd/>
        <w:rPr>
          <w:rFonts w:cs="Calibri"/>
          <w:i/>
        </w:rPr>
      </w:pPr>
    </w:p>
    <w:p w14:paraId="15E7EC4B" w14:textId="77777777" w:rsidR="004B5D11" w:rsidRDefault="004B5D11" w:rsidP="007A71AC">
      <w:pPr>
        <w:widowControl/>
        <w:autoSpaceDE/>
        <w:autoSpaceDN/>
        <w:adjustRightInd/>
        <w:rPr>
          <w:rFonts w:cs="Calibri"/>
          <w:i/>
        </w:rPr>
      </w:pPr>
    </w:p>
    <w:p w14:paraId="01226322" w14:textId="77777777" w:rsidR="004B5D11" w:rsidRDefault="004B5D11" w:rsidP="007A71AC">
      <w:pPr>
        <w:widowControl/>
        <w:autoSpaceDE/>
        <w:autoSpaceDN/>
        <w:adjustRightInd/>
        <w:rPr>
          <w:rFonts w:cs="Calibri"/>
          <w:i/>
        </w:rPr>
      </w:pPr>
    </w:p>
    <w:p w14:paraId="382418F7" w14:textId="77777777" w:rsidR="004B5D11" w:rsidRDefault="004B5D11" w:rsidP="007A71AC">
      <w:pPr>
        <w:widowControl/>
        <w:autoSpaceDE/>
        <w:autoSpaceDN/>
        <w:adjustRightInd/>
        <w:rPr>
          <w:rFonts w:cs="Calibri"/>
          <w:i/>
        </w:rPr>
      </w:pPr>
    </w:p>
    <w:p w14:paraId="060CD8F4" w14:textId="77777777" w:rsidR="004B5D11" w:rsidRDefault="004B5D11" w:rsidP="007A71AC">
      <w:pPr>
        <w:widowControl/>
        <w:autoSpaceDE/>
        <w:autoSpaceDN/>
        <w:adjustRightInd/>
        <w:rPr>
          <w:rFonts w:cs="Calibri"/>
          <w:i/>
        </w:rPr>
      </w:pPr>
    </w:p>
    <w:p w14:paraId="303D9554" w14:textId="77777777" w:rsidR="004B5D11" w:rsidRPr="001C1E47" w:rsidRDefault="004B5D11"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5" w:name="_Toc118905018"/>
      <w:bookmarkStart w:id="26" w:name="_Toc119418670"/>
      <w:r w:rsidRPr="0002572C">
        <w:lastRenderedPageBreak/>
        <w:t>Appendix B – Observations Subject to Continued Monitoring</w:t>
      </w:r>
      <w:bookmarkEnd w:id="25"/>
      <w:bookmarkEnd w:id="26"/>
    </w:p>
    <w:p w14:paraId="73014EBD" w14:textId="7AB4B60B" w:rsidR="00B6741C" w:rsidRPr="00F0678A" w:rsidRDefault="00B6741C" w:rsidP="0002572C">
      <w:r>
        <w:t>FY 20</w:t>
      </w:r>
      <w:r w:rsidR="002F4EFA">
        <w:t>24</w:t>
      </w:r>
      <w:r>
        <w:t xml:space="preserve"> </w:t>
      </w:r>
      <w:r w:rsidR="00B04601">
        <w:t>MNOSHA</w:t>
      </w:r>
      <w:r w:rsidRPr="00476C08">
        <w:rPr>
          <w:color w:val="0070C0"/>
        </w:rPr>
        <w:t xml:space="preserve"> </w:t>
      </w:r>
      <w:r>
        <w:t>Follow-up FAME Report</w:t>
      </w:r>
    </w:p>
    <w:p w14:paraId="75823E10" w14:textId="77777777" w:rsidR="00D86879" w:rsidRPr="00CB7D6E" w:rsidRDefault="00D86879" w:rsidP="007A71AC">
      <w:pPr>
        <w:widowControl/>
        <w:autoSpaceDE/>
        <w:autoSpaceDN/>
        <w:adjustRightInd/>
        <w:rPr>
          <w:rFonts w:cs="Calibri"/>
          <w:iCs/>
        </w:rPr>
      </w:pPr>
    </w:p>
    <w:p w14:paraId="351C4DCB" w14:textId="77777777" w:rsidR="00492379" w:rsidRPr="00CB7D6E" w:rsidRDefault="00492379" w:rsidP="007A71AC">
      <w:pPr>
        <w:widowControl/>
        <w:autoSpaceDE/>
        <w:autoSpaceDN/>
        <w:adjustRightInd/>
        <w:rPr>
          <w:rFonts w:cs="Calibri"/>
          <w:iCs/>
        </w:rPr>
      </w:pPr>
    </w:p>
    <w:p w14:paraId="61F273E4" w14:textId="4BA1F7A9" w:rsidR="00CB7D6E" w:rsidRPr="001C1E47" w:rsidRDefault="00CB7D6E" w:rsidP="007A71AC">
      <w:pPr>
        <w:widowControl/>
        <w:autoSpaceDE/>
        <w:autoSpaceDN/>
        <w:adjustRightInd/>
        <w:rPr>
          <w:rFonts w:cs="Calibri"/>
          <w:i/>
        </w:rPr>
        <w:sectPr w:rsidR="00CB7D6E"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425"/>
        <w:gridCol w:w="2922"/>
        <w:gridCol w:w="2657"/>
        <w:gridCol w:w="2630"/>
        <w:gridCol w:w="2316"/>
      </w:tblGrid>
      <w:tr w:rsidR="00B6741C" w:rsidRPr="00E35E8A" w14:paraId="266E8016" w14:textId="4E26EFF8" w:rsidTr="004B5D11">
        <w:trPr>
          <w:cantSplit/>
          <w:tblHeader/>
        </w:trPr>
        <w:tc>
          <w:tcPr>
            <w:tcW w:w="2425"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3781C78A" w:rsidR="00B6741C" w:rsidRPr="00E35E8A" w:rsidRDefault="00B6741C" w:rsidP="00B6741C">
            <w:pPr>
              <w:widowControl/>
              <w:autoSpaceDE/>
              <w:autoSpaceDN/>
              <w:adjustRightInd/>
              <w:rPr>
                <w:rFonts w:cs="Calibri"/>
                <w:b/>
              </w:rPr>
            </w:pPr>
            <w:r w:rsidRPr="00E35E8A">
              <w:rPr>
                <w:rFonts w:cs="Calibri"/>
                <w:b/>
              </w:rPr>
              <w:t>FY 20</w:t>
            </w:r>
            <w:r w:rsidR="004B5D11">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922"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1119F411" w:rsidR="00B6741C" w:rsidRPr="00E35E8A" w:rsidRDefault="00B6741C" w:rsidP="00B6741C">
            <w:pPr>
              <w:widowControl/>
              <w:autoSpaceDE/>
              <w:autoSpaceDN/>
              <w:adjustRightInd/>
              <w:rPr>
                <w:rFonts w:cs="Calibri"/>
                <w:i/>
              </w:rPr>
            </w:pPr>
            <w:r w:rsidRPr="00E35E8A">
              <w:rPr>
                <w:rFonts w:cs="Calibri"/>
                <w:b/>
              </w:rPr>
              <w:t>FY 20</w:t>
            </w:r>
            <w:r w:rsidR="004B5D11">
              <w:rPr>
                <w:rFonts w:cs="Calibri"/>
                <w:b/>
              </w:rPr>
              <w:t>23</w:t>
            </w:r>
            <w:r w:rsidRPr="00E35E8A">
              <w:rPr>
                <w:rFonts w:cs="Calibri"/>
                <w:b/>
              </w:rPr>
              <w:t xml:space="preserve">-OB-# </w:t>
            </w:r>
            <w:r w:rsidRPr="00E35E8A">
              <w:rPr>
                <w:rFonts w:cs="Calibri"/>
                <w:b/>
                <w:i/>
              </w:rPr>
              <w:t>or</w:t>
            </w:r>
            <w:r w:rsidRPr="00E35E8A">
              <w:rPr>
                <w:rFonts w:cs="Calibri"/>
                <w:b/>
              </w:rPr>
              <w:t xml:space="preserve"> FY 20</w:t>
            </w:r>
            <w:r w:rsidR="004B5D11">
              <w:rPr>
                <w:rFonts w:cs="Calibri"/>
                <w:b/>
              </w:rPr>
              <w:t>23</w:t>
            </w:r>
            <w:r w:rsidRPr="00E35E8A">
              <w:rPr>
                <w:rFonts w:cs="Calibri"/>
                <w:b/>
              </w:rPr>
              <w:t>-#</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4B5D11">
        <w:trPr>
          <w:cantSplit/>
        </w:trPr>
        <w:tc>
          <w:tcPr>
            <w:tcW w:w="2425" w:type="dxa"/>
          </w:tcPr>
          <w:p w14:paraId="514C1621" w14:textId="0EC68BBF" w:rsidR="00B6741C" w:rsidRPr="004B5D11" w:rsidRDefault="00B6741C" w:rsidP="00B6741C">
            <w:pPr>
              <w:widowControl/>
              <w:autoSpaceDE/>
              <w:autoSpaceDN/>
              <w:adjustRightInd/>
              <w:rPr>
                <w:rFonts w:cs="Calibri"/>
                <w:iCs/>
              </w:rPr>
            </w:pPr>
            <w:r w:rsidRPr="004B5D11">
              <w:rPr>
                <w:rFonts w:cs="Calibri"/>
                <w:iCs/>
              </w:rPr>
              <w:t>FY 20</w:t>
            </w:r>
            <w:r w:rsidR="004B5D11" w:rsidRPr="004B5D11">
              <w:rPr>
                <w:rFonts w:cs="Calibri"/>
                <w:iCs/>
              </w:rPr>
              <w:t>24</w:t>
            </w:r>
            <w:r w:rsidRPr="004B5D11">
              <w:rPr>
                <w:rFonts w:cs="Calibri"/>
                <w:iCs/>
              </w:rPr>
              <w:t>-OB-01</w:t>
            </w:r>
          </w:p>
          <w:p w14:paraId="7834860F" w14:textId="77777777" w:rsidR="00B6741C" w:rsidRPr="004B5D11" w:rsidRDefault="00B6741C" w:rsidP="00B6741C">
            <w:pPr>
              <w:widowControl/>
              <w:autoSpaceDE/>
              <w:autoSpaceDN/>
              <w:adjustRightInd/>
              <w:rPr>
                <w:rFonts w:cs="Calibri"/>
                <w:iCs/>
              </w:rPr>
            </w:pPr>
          </w:p>
        </w:tc>
        <w:tc>
          <w:tcPr>
            <w:tcW w:w="2922" w:type="dxa"/>
          </w:tcPr>
          <w:p w14:paraId="0E657848" w14:textId="6654A9C8" w:rsidR="00B6741C" w:rsidRPr="004B5D11" w:rsidRDefault="00B6741C" w:rsidP="00B6741C">
            <w:pPr>
              <w:widowControl/>
              <w:autoSpaceDE/>
              <w:autoSpaceDN/>
              <w:adjustRightInd/>
              <w:rPr>
                <w:rFonts w:cs="Calibri"/>
                <w:iCs/>
              </w:rPr>
            </w:pPr>
            <w:r w:rsidRPr="004B5D11">
              <w:rPr>
                <w:rFonts w:cs="Calibri"/>
                <w:iCs/>
              </w:rPr>
              <w:t>FY 20</w:t>
            </w:r>
            <w:r w:rsidR="004B5D11" w:rsidRPr="004B5D11">
              <w:rPr>
                <w:rFonts w:cs="Calibri"/>
                <w:iCs/>
              </w:rPr>
              <w:t>23</w:t>
            </w:r>
            <w:r w:rsidRPr="004B5D11">
              <w:rPr>
                <w:rFonts w:cs="Calibri"/>
                <w:iCs/>
              </w:rPr>
              <w:t>-OB-01</w:t>
            </w:r>
          </w:p>
          <w:p w14:paraId="1207E4E3" w14:textId="77777777" w:rsidR="00B6741C" w:rsidRPr="004B5D11" w:rsidRDefault="00B6741C" w:rsidP="00B6741C">
            <w:pPr>
              <w:widowControl/>
              <w:autoSpaceDE/>
              <w:autoSpaceDN/>
              <w:adjustRightInd/>
              <w:rPr>
                <w:rFonts w:cs="Calibri"/>
                <w:iCs/>
              </w:rPr>
            </w:pPr>
          </w:p>
        </w:tc>
        <w:tc>
          <w:tcPr>
            <w:tcW w:w="2657" w:type="dxa"/>
          </w:tcPr>
          <w:p w14:paraId="43BE4E76" w14:textId="77777777" w:rsidR="00B6741C" w:rsidRPr="004B5D11" w:rsidRDefault="004B5D11" w:rsidP="00B6741C">
            <w:pPr>
              <w:widowControl/>
              <w:autoSpaceDE/>
              <w:autoSpaceDN/>
              <w:adjustRightInd/>
              <w:rPr>
                <w:rFonts w:cs="Calibri"/>
                <w:iCs/>
              </w:rPr>
            </w:pPr>
            <w:r w:rsidRPr="004B5D11">
              <w:rPr>
                <w:rFonts w:cs="Calibri"/>
                <w:iCs/>
              </w:rPr>
              <w:t>During FY 2023, 3% of docketed whistleblower investigation cases were closed within 90 days.  The average number of days to complete the investigations was 689.</w:t>
            </w:r>
          </w:p>
          <w:p w14:paraId="5C995825" w14:textId="77777777" w:rsidR="004B5D11" w:rsidRPr="004B5D11" w:rsidRDefault="004B5D11" w:rsidP="00B6741C">
            <w:pPr>
              <w:widowControl/>
              <w:autoSpaceDE/>
              <w:autoSpaceDN/>
              <w:adjustRightInd/>
              <w:rPr>
                <w:rFonts w:cs="Calibri"/>
                <w:iCs/>
              </w:rPr>
            </w:pPr>
          </w:p>
          <w:p w14:paraId="53E4A09F" w14:textId="701467A6" w:rsidR="004B5D11" w:rsidRPr="004B5D11" w:rsidRDefault="004B5D11" w:rsidP="00B6741C">
            <w:pPr>
              <w:widowControl/>
              <w:autoSpaceDE/>
              <w:autoSpaceDN/>
              <w:adjustRightInd/>
              <w:rPr>
                <w:rFonts w:cs="Calibri"/>
                <w:iCs/>
              </w:rPr>
            </w:pPr>
            <w:r w:rsidRPr="004A4886">
              <w:rPr>
                <w:rFonts w:cs="Calibri"/>
                <w:iCs/>
              </w:rPr>
              <w:t>During FY 2024,</w:t>
            </w:r>
            <w:r w:rsidR="004A4886">
              <w:rPr>
                <w:rFonts w:cs="Calibri"/>
                <w:iCs/>
              </w:rPr>
              <w:t xml:space="preserve"> 0% of docketed whistleblower investigation cases were closed within 90 days.  The average number of days to complete the investigations was 660.</w:t>
            </w:r>
            <w:r w:rsidRPr="004B5D11">
              <w:rPr>
                <w:rFonts w:cs="Calibri"/>
                <w:iCs/>
              </w:rPr>
              <w:t xml:space="preserve"> </w:t>
            </w:r>
          </w:p>
        </w:tc>
        <w:tc>
          <w:tcPr>
            <w:tcW w:w="2630" w:type="dxa"/>
          </w:tcPr>
          <w:p w14:paraId="31E38E8D" w14:textId="310AC388" w:rsidR="00B6741C" w:rsidRPr="004B5D11" w:rsidRDefault="004B5D11" w:rsidP="00B6741C">
            <w:pPr>
              <w:widowControl/>
              <w:autoSpaceDE/>
              <w:autoSpaceDN/>
              <w:adjustRightInd/>
              <w:rPr>
                <w:rFonts w:cs="Calibri"/>
                <w:iCs/>
              </w:rPr>
            </w:pPr>
            <w:r w:rsidRPr="004B5D11">
              <w:rPr>
                <w:rFonts w:cs="Calibri"/>
                <w:iCs/>
              </w:rPr>
              <w:t xml:space="preserve">OSHA will </w:t>
            </w:r>
            <w:r w:rsidR="007864C3">
              <w:rPr>
                <w:rFonts w:cs="Calibri"/>
                <w:iCs/>
              </w:rPr>
              <w:t xml:space="preserve">continue to monitor the State Plan’s performance in this area during quarterly meetings throughout FY 2025.  </w:t>
            </w:r>
            <w:r w:rsidRPr="004B5D11">
              <w:rPr>
                <w:rFonts w:cs="Calibri"/>
                <w:iCs/>
              </w:rPr>
              <w:t xml:space="preserve"> </w:t>
            </w:r>
          </w:p>
          <w:p w14:paraId="04F2CA88" w14:textId="77777777" w:rsidR="00B6741C" w:rsidRPr="00E35E8A" w:rsidRDefault="00B6741C" w:rsidP="00B6741C">
            <w:pPr>
              <w:widowControl/>
              <w:autoSpaceDE/>
              <w:autoSpaceDN/>
              <w:adjustRightInd/>
              <w:rPr>
                <w:rFonts w:cs="Calibri"/>
                <w:iCs/>
                <w:color w:val="0070C0"/>
              </w:rPr>
            </w:pPr>
          </w:p>
        </w:tc>
        <w:tc>
          <w:tcPr>
            <w:tcW w:w="2316" w:type="dxa"/>
          </w:tcPr>
          <w:p w14:paraId="79E4394D" w14:textId="69407FCD" w:rsidR="00B6741C" w:rsidRPr="00E35E8A" w:rsidRDefault="00B6741C" w:rsidP="00B6741C">
            <w:pPr>
              <w:widowControl/>
              <w:autoSpaceDE/>
              <w:autoSpaceDN/>
              <w:adjustRightInd/>
              <w:rPr>
                <w:rFonts w:cs="Calibri"/>
                <w:iCs/>
                <w:color w:val="0070C0"/>
              </w:rPr>
            </w:pPr>
            <w:r w:rsidRPr="00437CD0">
              <w:rPr>
                <w:rFonts w:cs="Calibri"/>
                <w:iCs/>
              </w:rPr>
              <w:t>Continued</w:t>
            </w:r>
          </w:p>
        </w:tc>
      </w:tr>
    </w:tbl>
    <w:p w14:paraId="7EFF85EE" w14:textId="77777777" w:rsidR="00CB7D6E" w:rsidRDefault="00CB7D6E" w:rsidP="00996CB7">
      <w:pPr>
        <w:tabs>
          <w:tab w:val="left" w:pos="6980"/>
        </w:tabs>
        <w:rPr>
          <w:rFonts w:cs="Calibri"/>
          <w:sz w:val="22"/>
          <w:szCs w:val="22"/>
        </w:rPr>
      </w:pPr>
    </w:p>
    <w:p w14:paraId="4D05AD50" w14:textId="77777777" w:rsidR="00CB7D6E" w:rsidRDefault="00CB7D6E" w:rsidP="00996CB7">
      <w:pPr>
        <w:tabs>
          <w:tab w:val="left" w:pos="6980"/>
        </w:tabs>
        <w:rPr>
          <w:rFonts w:cs="Calibri"/>
          <w:sz w:val="22"/>
          <w:szCs w:val="22"/>
        </w:rPr>
      </w:pPr>
    </w:p>
    <w:p w14:paraId="5966FA9F" w14:textId="448AA8AC" w:rsidR="00CB7D6E" w:rsidRPr="00996CB7" w:rsidRDefault="00CB7D6E" w:rsidP="00996CB7">
      <w:pPr>
        <w:tabs>
          <w:tab w:val="left" w:pos="6980"/>
        </w:tabs>
        <w:rPr>
          <w:rFonts w:cs="Calibri"/>
          <w:sz w:val="22"/>
          <w:szCs w:val="22"/>
        </w:rPr>
        <w:sectPr w:rsidR="00CB7D6E" w:rsidRPr="00996CB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068345E8" w:rsidR="00747710" w:rsidRDefault="00747710" w:rsidP="000F63C1">
      <w:pPr>
        <w:pStyle w:val="Heading3"/>
        <w:numPr>
          <w:ilvl w:val="0"/>
          <w:numId w:val="0"/>
        </w:numPr>
      </w:pPr>
      <w:bookmarkStart w:id="27" w:name="_Toc118905019"/>
      <w:bookmarkStart w:id="28" w:name="_Toc119418671"/>
      <w:r w:rsidRPr="00747710">
        <w:lastRenderedPageBreak/>
        <w:t>Appendix C - Status of FY 20</w:t>
      </w:r>
      <w:r w:rsidR="002F4EFA">
        <w:t>23</w:t>
      </w:r>
      <w:r w:rsidRPr="00747710">
        <w:t xml:space="preserve"> Findings and Recommendations</w:t>
      </w:r>
      <w:bookmarkEnd w:id="27"/>
      <w:bookmarkEnd w:id="28"/>
    </w:p>
    <w:p w14:paraId="3D850E81" w14:textId="05FA9EB0" w:rsidR="00747710" w:rsidRDefault="00747710" w:rsidP="005367D5">
      <w:r w:rsidRPr="00747710">
        <w:t>FY 20</w:t>
      </w:r>
      <w:r w:rsidR="002F4EFA">
        <w:t>24</w:t>
      </w:r>
      <w:r w:rsidRPr="00747710">
        <w:t xml:space="preserve"> </w:t>
      </w:r>
      <w:r w:rsidR="00B04601">
        <w:t xml:space="preserve">MNOSHA </w:t>
      </w:r>
      <w:r w:rsidRPr="00747710">
        <w:t>Follow-up FAME Report</w:t>
      </w:r>
    </w:p>
    <w:p w14:paraId="60418962" w14:textId="77777777" w:rsidR="00CB7D6E" w:rsidRPr="00747710" w:rsidRDefault="00CB7D6E" w:rsidP="005367D5"/>
    <w:p w14:paraId="07723A6A" w14:textId="77777777" w:rsidR="00437CD0" w:rsidRDefault="00437CD0"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281BF951" w:rsidR="005367D5" w:rsidRPr="001C1E47" w:rsidRDefault="005367D5" w:rsidP="00D93CB3">
            <w:pPr>
              <w:rPr>
                <w:rFonts w:cs="Calibri"/>
                <w:b/>
              </w:rPr>
            </w:pPr>
            <w:r w:rsidRPr="001C1E47">
              <w:rPr>
                <w:rFonts w:cs="Calibri"/>
                <w:b/>
              </w:rPr>
              <w:t>FY 20</w:t>
            </w:r>
            <w:r w:rsidR="00437CD0">
              <w:rPr>
                <w:rFonts w:cs="Calibri"/>
                <w:b/>
              </w:rPr>
              <w:t>23</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437CD0">
        <w:trPr>
          <w:trHeight w:val="412"/>
        </w:trPr>
        <w:tc>
          <w:tcPr>
            <w:tcW w:w="1435" w:type="dxa"/>
          </w:tcPr>
          <w:p w14:paraId="3B6143AB"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1C1E47">
              <w:rPr>
                <w:rFonts w:eastAsia="PMingLiU" w:cs="Calibri"/>
                <w:b/>
                <w:bCs/>
                <w:sz w:val="22"/>
                <w:szCs w:val="22"/>
              </w:rPr>
              <w:t> </w:t>
            </w:r>
          </w:p>
        </w:tc>
        <w:tc>
          <w:tcPr>
            <w:tcW w:w="2098" w:type="dxa"/>
          </w:tcPr>
          <w:p w14:paraId="1D6DD323" w14:textId="0E573D28" w:rsidR="005367D5" w:rsidRPr="00437CD0" w:rsidRDefault="00437CD0" w:rsidP="00437C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sz w:val="22"/>
                <w:szCs w:val="22"/>
              </w:rPr>
            </w:pPr>
            <w:r w:rsidRPr="00437CD0">
              <w:rPr>
                <w:rFonts w:eastAsia="PMingLiU" w:cs="Calibri"/>
                <w:bCs/>
                <w:sz w:val="22"/>
                <w:szCs w:val="22"/>
              </w:rPr>
              <w:t>None.</w:t>
            </w:r>
            <w:r w:rsidR="005367D5" w:rsidRPr="00437CD0">
              <w:rPr>
                <w:rFonts w:eastAsia="PMingLiU" w:cs="Calibri"/>
                <w:bCs/>
                <w:sz w:val="22"/>
                <w:szCs w:val="22"/>
              </w:rPr>
              <w:t> </w:t>
            </w:r>
          </w:p>
        </w:tc>
        <w:tc>
          <w:tcPr>
            <w:tcW w:w="2250" w:type="dxa"/>
          </w:tcPr>
          <w:p w14:paraId="19499B4B"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3960" w:type="dxa"/>
          </w:tcPr>
          <w:p w14:paraId="37D73ADA"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92" w:type="dxa"/>
          </w:tcPr>
          <w:p w14:paraId="56F99649"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4007473C"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11D7D980" w14:textId="49357679" w:rsidR="00437CD0" w:rsidRDefault="00437CD0" w:rsidP="000F63C1">
      <w:pPr>
        <w:pStyle w:val="Heading3"/>
        <w:numPr>
          <w:ilvl w:val="0"/>
          <w:numId w:val="0"/>
        </w:numPr>
      </w:pPr>
      <w:bookmarkStart w:id="29" w:name="_Toc119418672"/>
    </w:p>
    <w:p w14:paraId="65704DEB" w14:textId="77777777" w:rsidR="00437CD0" w:rsidRDefault="00437CD0" w:rsidP="00437CD0">
      <w:pPr>
        <w:widowControl/>
        <w:autoSpaceDE/>
        <w:autoSpaceDN/>
        <w:adjustRightInd/>
        <w:sectPr w:rsidR="00437CD0" w:rsidSect="00437CD0">
          <w:headerReference w:type="default" r:id="rId18"/>
          <w:footerReference w:type="default" r:id="rId19"/>
          <w:pgSz w:w="15840" w:h="12240" w:orient="landscape" w:code="1"/>
          <w:pgMar w:top="1440" w:right="1440" w:bottom="1440" w:left="1440" w:header="720" w:footer="720" w:gutter="0"/>
          <w:cols w:space="720"/>
          <w:noEndnote/>
          <w:docGrid w:linePitch="326"/>
        </w:sectPr>
      </w:pPr>
    </w:p>
    <w:p w14:paraId="1B0B407C" w14:textId="247AB0A8" w:rsidR="00690C0D" w:rsidRPr="00D93CB3" w:rsidRDefault="00690C0D" w:rsidP="000F63C1">
      <w:pPr>
        <w:pStyle w:val="Heading3"/>
        <w:numPr>
          <w:ilvl w:val="0"/>
          <w:numId w:val="0"/>
        </w:numPr>
        <w:rPr>
          <w:color w:val="0070C0"/>
        </w:rPr>
      </w:pPr>
      <w:r w:rsidRPr="008E4054">
        <w:lastRenderedPageBreak/>
        <w:t xml:space="preserve">Appendix D – </w:t>
      </w:r>
      <w:bookmarkStart w:id="30" w:name="_Hlk119349018"/>
      <w:r w:rsidRPr="008E4054">
        <w:t>FY 20</w:t>
      </w:r>
      <w:r w:rsidR="00B04601">
        <w:t>24</w:t>
      </w:r>
      <w:r w:rsidRPr="008E4054">
        <w:t xml:space="preserve"> State Activity Mandated Measures (SAMM) Report</w:t>
      </w:r>
      <w:bookmarkEnd w:id="29"/>
      <w:bookmarkEnd w:id="30"/>
    </w:p>
    <w:p w14:paraId="19B594E3" w14:textId="5BA95311" w:rsidR="00690C0D" w:rsidRPr="000767C0" w:rsidRDefault="00690C0D" w:rsidP="00476C08">
      <w:pPr>
        <w:pStyle w:val="Header"/>
      </w:pPr>
      <w:r w:rsidRPr="00042327">
        <w:t xml:space="preserve">FY </w:t>
      </w:r>
      <w:r>
        <w:t>20</w:t>
      </w:r>
      <w:r w:rsidR="002F4EFA">
        <w:t>2</w:t>
      </w:r>
      <w:r w:rsidR="00B04601">
        <w:t>4</w:t>
      </w:r>
      <w:r w:rsidRPr="00042327">
        <w:t xml:space="preserve"> </w:t>
      </w:r>
      <w:r w:rsidR="00B04601">
        <w:t>MNOSHA</w:t>
      </w:r>
      <w:r w:rsidRPr="00476C08">
        <w:rPr>
          <w:color w:val="0070C0"/>
        </w:rPr>
        <w:t xml:space="preserve"> </w:t>
      </w:r>
      <w:r>
        <w:t xml:space="preserve">Follow-up </w:t>
      </w:r>
      <w:r w:rsidRPr="00042327">
        <w:t>FAME Report</w:t>
      </w:r>
    </w:p>
    <w:p w14:paraId="24B83506" w14:textId="77777777" w:rsidR="00223A31" w:rsidRDefault="00223A31" w:rsidP="007A71AC">
      <w:pPr>
        <w:widowControl/>
        <w:autoSpaceDE/>
        <w:autoSpaceDN/>
        <w:adjustRightInd/>
        <w:rPr>
          <w:rFonts w:cs="Calibri"/>
          <w:b/>
          <w:color w:val="1F497D"/>
          <w:sz w:val="28"/>
          <w:szCs w:val="28"/>
        </w:rPr>
      </w:pPr>
    </w:p>
    <w:p w14:paraId="0C7B18A6" w14:textId="77777777" w:rsidR="00B073F5" w:rsidRPr="00B073F5" w:rsidRDefault="00B073F5" w:rsidP="007A71AC">
      <w:pPr>
        <w:widowControl/>
        <w:autoSpaceDE/>
        <w:autoSpaceDN/>
        <w:adjustRightInd/>
        <w:rPr>
          <w:rFonts w:cs="Calibri"/>
          <w:b/>
          <w:color w:val="1F497D"/>
          <w:sz w:val="20"/>
          <w:szCs w:val="20"/>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80"/>
        <w:gridCol w:w="1188"/>
        <w:gridCol w:w="1300"/>
        <w:gridCol w:w="4348"/>
      </w:tblGrid>
      <w:tr w:rsidR="00634539" w:rsidRPr="001C1E47" w14:paraId="4B607DC1" w14:textId="77777777" w:rsidTr="00CB7D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1" w:name="_Hlk179982501"/>
            <w:r w:rsidRPr="001C1E47">
              <w:rPr>
                <w:rFonts w:eastAsia="PMingLiU" w:cs="Calibri"/>
                <w:bCs w:val="0"/>
                <w:color w:val="000000" w:themeColor="text1"/>
              </w:rPr>
              <w:t>SAMM Number</w:t>
            </w:r>
          </w:p>
        </w:tc>
        <w:tc>
          <w:tcPr>
            <w:tcW w:w="2528"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67"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14"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CB7D6E" w:rsidRPr="001C1E47" w14:paraId="23E15083"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1a</w:t>
            </w:r>
          </w:p>
        </w:tc>
        <w:tc>
          <w:tcPr>
            <w:tcW w:w="2528" w:type="dxa"/>
          </w:tcPr>
          <w:p w14:paraId="5DD1B3D7"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 xml:space="preserve">Average number of </w:t>
            </w:r>
            <w:proofErr w:type="gramStart"/>
            <w:r w:rsidRPr="00D05E08">
              <w:rPr>
                <w:rFonts w:cs="Calibri"/>
              </w:rPr>
              <w:t>work days</w:t>
            </w:r>
            <w:proofErr w:type="gramEnd"/>
            <w:r w:rsidRPr="00D05E08">
              <w:rPr>
                <w:rFonts w:cs="Calibri"/>
              </w:rPr>
              <w:t xml:space="preserve"> to initiate complaint inspections (state formula)</w:t>
            </w:r>
          </w:p>
        </w:tc>
        <w:tc>
          <w:tcPr>
            <w:tcW w:w="967" w:type="dxa"/>
          </w:tcPr>
          <w:p w14:paraId="50ED339E" w14:textId="77934E9D"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3.21</w:t>
            </w:r>
          </w:p>
        </w:tc>
        <w:tc>
          <w:tcPr>
            <w:tcW w:w="1307" w:type="dxa"/>
          </w:tcPr>
          <w:p w14:paraId="36E21F8C" w14:textId="3596D1FB"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9</w:t>
            </w:r>
          </w:p>
        </w:tc>
        <w:tc>
          <w:tcPr>
            <w:tcW w:w="4514" w:type="dxa"/>
          </w:tcPr>
          <w:p w14:paraId="1BE10DF6" w14:textId="562B5BA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negotiated by OSHA and the State Plan.</w:t>
            </w:r>
          </w:p>
        </w:tc>
      </w:tr>
      <w:tr w:rsidR="00CB7D6E" w:rsidRPr="001C1E47" w14:paraId="6E87F5F9"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1b</w:t>
            </w:r>
          </w:p>
        </w:tc>
        <w:tc>
          <w:tcPr>
            <w:tcW w:w="2528" w:type="dxa"/>
          </w:tcPr>
          <w:p w14:paraId="7BDECFBC"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 xml:space="preserve">Average number of </w:t>
            </w:r>
            <w:proofErr w:type="gramStart"/>
            <w:r w:rsidRPr="00D05E08">
              <w:rPr>
                <w:rFonts w:cs="Calibri"/>
              </w:rPr>
              <w:t>work days</w:t>
            </w:r>
            <w:proofErr w:type="gramEnd"/>
            <w:r w:rsidRPr="00D05E08">
              <w:rPr>
                <w:rFonts w:cs="Calibri"/>
              </w:rPr>
              <w:t xml:space="preserve"> to initiate complaint inspections (federal formula)</w:t>
            </w:r>
          </w:p>
        </w:tc>
        <w:tc>
          <w:tcPr>
            <w:tcW w:w="967" w:type="dxa"/>
          </w:tcPr>
          <w:p w14:paraId="2DD44EDE" w14:textId="586937FE"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2.36</w:t>
            </w:r>
          </w:p>
        </w:tc>
        <w:tc>
          <w:tcPr>
            <w:tcW w:w="1307" w:type="dxa"/>
          </w:tcPr>
          <w:p w14:paraId="44E25FF5" w14:textId="2D15F49D"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N/A</w:t>
            </w:r>
          </w:p>
        </w:tc>
        <w:tc>
          <w:tcPr>
            <w:tcW w:w="4514" w:type="dxa"/>
          </w:tcPr>
          <w:p w14:paraId="3B881485" w14:textId="02345783"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This measure is for informational purposes only and is not a mandated measure.</w:t>
            </w:r>
          </w:p>
        </w:tc>
      </w:tr>
      <w:tr w:rsidR="00CB7D6E" w:rsidRPr="001C1E47" w14:paraId="7254895F"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2a</w:t>
            </w:r>
          </w:p>
        </w:tc>
        <w:tc>
          <w:tcPr>
            <w:tcW w:w="2528" w:type="dxa"/>
          </w:tcPr>
          <w:p w14:paraId="680D30CB"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 xml:space="preserve">Average number of </w:t>
            </w:r>
            <w:proofErr w:type="gramStart"/>
            <w:r w:rsidRPr="00D05E08">
              <w:rPr>
                <w:rFonts w:cs="Calibri"/>
              </w:rPr>
              <w:t>work days</w:t>
            </w:r>
            <w:proofErr w:type="gramEnd"/>
            <w:r w:rsidRPr="00D05E08">
              <w:rPr>
                <w:rFonts w:cs="Calibri"/>
              </w:rPr>
              <w:t xml:space="preserve"> to initiate complaint investigations (state formula)</w:t>
            </w:r>
          </w:p>
        </w:tc>
        <w:tc>
          <w:tcPr>
            <w:tcW w:w="967" w:type="dxa"/>
          </w:tcPr>
          <w:p w14:paraId="5D15BC2D" w14:textId="2D0DEE32"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1.89</w:t>
            </w:r>
          </w:p>
        </w:tc>
        <w:tc>
          <w:tcPr>
            <w:tcW w:w="1307" w:type="dxa"/>
          </w:tcPr>
          <w:p w14:paraId="25E101C9" w14:textId="2CD156F6"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2</w:t>
            </w:r>
          </w:p>
        </w:tc>
        <w:tc>
          <w:tcPr>
            <w:tcW w:w="4514" w:type="dxa"/>
          </w:tcPr>
          <w:p w14:paraId="440E4407" w14:textId="3FA817C9"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negotiated by OSHA and the State Plan.</w:t>
            </w:r>
          </w:p>
        </w:tc>
      </w:tr>
      <w:tr w:rsidR="00CB7D6E" w:rsidRPr="001C1E47" w14:paraId="43AA3020"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2b</w:t>
            </w:r>
          </w:p>
        </w:tc>
        <w:tc>
          <w:tcPr>
            <w:tcW w:w="2528" w:type="dxa"/>
          </w:tcPr>
          <w:p w14:paraId="60EA38B6"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 xml:space="preserve">Average number of </w:t>
            </w:r>
            <w:proofErr w:type="gramStart"/>
            <w:r w:rsidRPr="00D05E08">
              <w:rPr>
                <w:rFonts w:cs="Calibri"/>
              </w:rPr>
              <w:t>work days</w:t>
            </w:r>
            <w:proofErr w:type="gramEnd"/>
            <w:r w:rsidRPr="00D05E08">
              <w:rPr>
                <w:rFonts w:cs="Calibri"/>
              </w:rPr>
              <w:t xml:space="preserve"> to initiate complaint investigations (federal formula)</w:t>
            </w:r>
          </w:p>
        </w:tc>
        <w:tc>
          <w:tcPr>
            <w:tcW w:w="967" w:type="dxa"/>
          </w:tcPr>
          <w:p w14:paraId="148E915C" w14:textId="2EA5566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1.86</w:t>
            </w:r>
          </w:p>
        </w:tc>
        <w:tc>
          <w:tcPr>
            <w:tcW w:w="1307" w:type="dxa"/>
          </w:tcPr>
          <w:p w14:paraId="3C6B37D6" w14:textId="070AE0E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N/A</w:t>
            </w:r>
          </w:p>
        </w:tc>
        <w:tc>
          <w:tcPr>
            <w:tcW w:w="4514" w:type="dxa"/>
          </w:tcPr>
          <w:p w14:paraId="7849D62B" w14:textId="24E7E3DB"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This measure is for informational purposes only and is not a mandated measure.</w:t>
            </w:r>
          </w:p>
        </w:tc>
      </w:tr>
      <w:tr w:rsidR="00CB7D6E" w:rsidRPr="001C1E47" w14:paraId="463E07C8"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3</w:t>
            </w:r>
          </w:p>
        </w:tc>
        <w:tc>
          <w:tcPr>
            <w:tcW w:w="2528" w:type="dxa"/>
          </w:tcPr>
          <w:p w14:paraId="224C67FA"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Percent of complaints and referrals responded to within one workday (imminent danger)</w:t>
            </w:r>
          </w:p>
        </w:tc>
        <w:tc>
          <w:tcPr>
            <w:tcW w:w="967" w:type="dxa"/>
          </w:tcPr>
          <w:p w14:paraId="683DAD92" w14:textId="48287DFB"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100%</w:t>
            </w:r>
          </w:p>
        </w:tc>
        <w:tc>
          <w:tcPr>
            <w:tcW w:w="1307" w:type="dxa"/>
          </w:tcPr>
          <w:p w14:paraId="2138AC62" w14:textId="4A9B86C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100%</w:t>
            </w:r>
          </w:p>
        </w:tc>
        <w:tc>
          <w:tcPr>
            <w:tcW w:w="4514" w:type="dxa"/>
          </w:tcPr>
          <w:p w14:paraId="1639E620" w14:textId="33CAA67C"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fixed for all State Plans.</w:t>
            </w:r>
          </w:p>
        </w:tc>
      </w:tr>
      <w:tr w:rsidR="00CB7D6E" w:rsidRPr="001C1E47" w14:paraId="448E8EB5"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4</w:t>
            </w:r>
          </w:p>
        </w:tc>
        <w:tc>
          <w:tcPr>
            <w:tcW w:w="2528" w:type="dxa"/>
          </w:tcPr>
          <w:p w14:paraId="7F17AA0C"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Number of denials where entry not obtained</w:t>
            </w:r>
          </w:p>
        </w:tc>
        <w:tc>
          <w:tcPr>
            <w:tcW w:w="967" w:type="dxa"/>
          </w:tcPr>
          <w:p w14:paraId="49E38EB6" w14:textId="0061AA4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0</w:t>
            </w:r>
          </w:p>
        </w:tc>
        <w:tc>
          <w:tcPr>
            <w:tcW w:w="1307" w:type="dxa"/>
          </w:tcPr>
          <w:p w14:paraId="39E6BBCD" w14:textId="532BDD3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0</w:t>
            </w:r>
          </w:p>
        </w:tc>
        <w:tc>
          <w:tcPr>
            <w:tcW w:w="4514" w:type="dxa"/>
          </w:tcPr>
          <w:p w14:paraId="63BF7F96" w14:textId="2F561CA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fixed for all State Plans.</w:t>
            </w:r>
          </w:p>
        </w:tc>
      </w:tr>
      <w:tr w:rsidR="00CB7D6E" w:rsidRPr="001C1E47" w14:paraId="391899CE" w14:textId="77777777" w:rsidTr="00CB7D6E">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5a</w:t>
            </w:r>
          </w:p>
        </w:tc>
        <w:tc>
          <w:tcPr>
            <w:tcW w:w="2528" w:type="dxa"/>
          </w:tcPr>
          <w:p w14:paraId="6F060D7F"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Average number of violations per inspection with violations by violation type (SWRU)</w:t>
            </w:r>
          </w:p>
        </w:tc>
        <w:tc>
          <w:tcPr>
            <w:tcW w:w="967" w:type="dxa"/>
          </w:tcPr>
          <w:p w14:paraId="5640B786" w14:textId="1597215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2.44</w:t>
            </w:r>
          </w:p>
        </w:tc>
        <w:tc>
          <w:tcPr>
            <w:tcW w:w="1307" w:type="dxa"/>
          </w:tcPr>
          <w:p w14:paraId="61E7EB0A"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+/- 20% of 1.74</w:t>
            </w:r>
          </w:p>
          <w:p w14:paraId="1930BAF2"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24EFBC"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330DF263" w14:textId="4BA15F4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CB7D6E" w:rsidRPr="001C1E47" w14:paraId="0C0C34AD"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5b</w:t>
            </w:r>
          </w:p>
        </w:tc>
        <w:tc>
          <w:tcPr>
            <w:tcW w:w="2528" w:type="dxa"/>
          </w:tcPr>
          <w:p w14:paraId="1A64659E"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Average number of violations per inspection with violations by violation type (other)</w:t>
            </w:r>
          </w:p>
        </w:tc>
        <w:tc>
          <w:tcPr>
            <w:tcW w:w="967" w:type="dxa"/>
          </w:tcPr>
          <w:p w14:paraId="189B2CB4" w14:textId="08D0B4C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0.77</w:t>
            </w:r>
          </w:p>
        </w:tc>
        <w:tc>
          <w:tcPr>
            <w:tcW w:w="1307" w:type="dxa"/>
          </w:tcPr>
          <w:p w14:paraId="43E90CB8"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+/- 20% of 0.94</w:t>
            </w:r>
          </w:p>
          <w:p w14:paraId="10600A9C" w14:textId="49B51B6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4F83BD91" w14:textId="4BA39F8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CB7D6E" w:rsidRPr="001C1E47" w14:paraId="73051CF9"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4B4D91E3"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lastRenderedPageBreak/>
              <w:t>6</w:t>
            </w:r>
          </w:p>
        </w:tc>
        <w:tc>
          <w:tcPr>
            <w:tcW w:w="2528" w:type="dxa"/>
          </w:tcPr>
          <w:p w14:paraId="79E27E6A"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Percent of total inspections in state and local government workplaces</w:t>
            </w:r>
          </w:p>
        </w:tc>
        <w:tc>
          <w:tcPr>
            <w:tcW w:w="967" w:type="dxa"/>
          </w:tcPr>
          <w:p w14:paraId="01189742" w14:textId="36E21BC2"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4.80%</w:t>
            </w:r>
          </w:p>
        </w:tc>
        <w:tc>
          <w:tcPr>
            <w:tcW w:w="1307" w:type="dxa"/>
          </w:tcPr>
          <w:p w14:paraId="591A6EE7"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+/- 5% of</w:t>
            </w:r>
          </w:p>
          <w:p w14:paraId="7678C0FD" w14:textId="296C8D51"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 xml:space="preserve">Grant </w:t>
            </w:r>
            <w:r w:rsidR="00B9426C">
              <w:rPr>
                <w:rFonts w:asciiTheme="minorHAnsi" w:hAnsiTheme="minorHAnsi" w:cstheme="minorHAnsi"/>
              </w:rPr>
              <w:t>3.00</w:t>
            </w:r>
            <w:r w:rsidRPr="00D05E08">
              <w:rPr>
                <w:rFonts w:asciiTheme="minorHAnsi" w:hAnsiTheme="minorHAnsi" w:cstheme="minorHAnsi"/>
              </w:rPr>
              <w:t>%</w:t>
            </w:r>
          </w:p>
        </w:tc>
        <w:tc>
          <w:tcPr>
            <w:tcW w:w="4514" w:type="dxa"/>
          </w:tcPr>
          <w:p w14:paraId="11909732" w14:textId="013B910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 xml:space="preserve">The further review level is based on a number negotiated by OSHA and the State Plan through the grant application.  The range of acceptable data not requiring further review is from </w:t>
            </w:r>
            <w:r w:rsidR="00B9426C">
              <w:rPr>
                <w:rFonts w:asciiTheme="minorHAnsi" w:eastAsia="PMingLiU" w:hAnsiTheme="minorHAnsi" w:cstheme="minorHAnsi"/>
              </w:rPr>
              <w:t>2.85</w:t>
            </w:r>
            <w:r w:rsidRPr="00D05E08">
              <w:rPr>
                <w:rFonts w:asciiTheme="minorHAnsi" w:eastAsia="PMingLiU" w:hAnsiTheme="minorHAnsi" w:cstheme="minorHAnsi"/>
              </w:rPr>
              <w:t xml:space="preserve">% to </w:t>
            </w:r>
            <w:r w:rsidR="00B9426C">
              <w:rPr>
                <w:rFonts w:asciiTheme="minorHAnsi" w:eastAsia="PMingLiU" w:hAnsiTheme="minorHAnsi" w:cstheme="minorHAnsi"/>
              </w:rPr>
              <w:t>3.15</w:t>
            </w:r>
            <w:r w:rsidRPr="00D05E08">
              <w:rPr>
                <w:rFonts w:asciiTheme="minorHAnsi" w:eastAsia="PMingLiU" w:hAnsiTheme="minorHAnsi" w:cstheme="minorHAnsi"/>
              </w:rPr>
              <w:t>%.</w:t>
            </w:r>
          </w:p>
        </w:tc>
      </w:tr>
      <w:tr w:rsidR="00CB7D6E" w:rsidRPr="001C1E47" w14:paraId="47E35DEE"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7a</w:t>
            </w:r>
          </w:p>
        </w:tc>
        <w:tc>
          <w:tcPr>
            <w:tcW w:w="2528" w:type="dxa"/>
          </w:tcPr>
          <w:p w14:paraId="6972B9CD" w14:textId="3BED009A"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Planned v. actual inspections (safety)</w:t>
            </w:r>
          </w:p>
        </w:tc>
        <w:tc>
          <w:tcPr>
            <w:tcW w:w="967" w:type="dxa"/>
          </w:tcPr>
          <w:p w14:paraId="714EE701" w14:textId="799158F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956</w:t>
            </w:r>
          </w:p>
        </w:tc>
        <w:tc>
          <w:tcPr>
            <w:tcW w:w="1307" w:type="dxa"/>
          </w:tcPr>
          <w:p w14:paraId="4683F4A7"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+/- 5% of </w:t>
            </w:r>
          </w:p>
          <w:p w14:paraId="70DE1282" w14:textId="4F4D8B06"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Grant 1,000</w:t>
            </w:r>
          </w:p>
        </w:tc>
        <w:tc>
          <w:tcPr>
            <w:tcW w:w="4514" w:type="dxa"/>
          </w:tcPr>
          <w:p w14:paraId="127905E2" w14:textId="35718D6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number negotiated by OSHA and the State Plan through the grant application.  The range of acceptable data not requiring further review is from 950 to 1,050 for safety.</w:t>
            </w:r>
          </w:p>
        </w:tc>
      </w:tr>
      <w:tr w:rsidR="00CB7D6E" w:rsidRPr="001C1E47" w14:paraId="41D7E5AF"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D05E08">
              <w:rPr>
                <w:rFonts w:eastAsia="PMingLiU" w:cs="Calibri"/>
              </w:rPr>
              <w:t>7b</w:t>
            </w:r>
          </w:p>
        </w:tc>
        <w:tc>
          <w:tcPr>
            <w:tcW w:w="2528" w:type="dxa"/>
          </w:tcPr>
          <w:p w14:paraId="628291DB" w14:textId="4C38D916"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Planned v. actual inspections (health)</w:t>
            </w:r>
          </w:p>
        </w:tc>
        <w:tc>
          <w:tcPr>
            <w:tcW w:w="967" w:type="dxa"/>
          </w:tcPr>
          <w:p w14:paraId="46225BFE" w14:textId="604BA3C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189</w:t>
            </w:r>
          </w:p>
        </w:tc>
        <w:tc>
          <w:tcPr>
            <w:tcW w:w="1307" w:type="dxa"/>
          </w:tcPr>
          <w:p w14:paraId="628BD637"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+/- 5% of </w:t>
            </w:r>
          </w:p>
          <w:p w14:paraId="615D1DB6" w14:textId="29A5E661"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Grant 200</w:t>
            </w:r>
          </w:p>
        </w:tc>
        <w:tc>
          <w:tcPr>
            <w:tcW w:w="4514" w:type="dxa"/>
          </w:tcPr>
          <w:p w14:paraId="4C49AF53" w14:textId="4C5CE29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number negotiated by OSHA and the State Plan through the grant application.  The range of acceptable data not requiring further review is from 190 to 210 for health.</w:t>
            </w:r>
          </w:p>
        </w:tc>
      </w:tr>
      <w:tr w:rsidR="00CB7D6E" w:rsidRPr="001C1E47" w14:paraId="19A930B8"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8</w:t>
            </w:r>
          </w:p>
        </w:tc>
        <w:tc>
          <w:tcPr>
            <w:tcW w:w="2528" w:type="dxa"/>
          </w:tcPr>
          <w:p w14:paraId="35E2919F"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cs="Calibri"/>
              </w:rPr>
              <w:t>Average current serious penalty in private sector - total (1 to greater than 250 workers)</w:t>
            </w:r>
          </w:p>
        </w:tc>
        <w:tc>
          <w:tcPr>
            <w:tcW w:w="967" w:type="dxa"/>
          </w:tcPr>
          <w:p w14:paraId="4FF95415" w14:textId="65D949B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$2,226.37</w:t>
            </w:r>
          </w:p>
        </w:tc>
        <w:tc>
          <w:tcPr>
            <w:tcW w:w="1307" w:type="dxa"/>
          </w:tcPr>
          <w:p w14:paraId="5BECE2BE"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+/- 25% of </w:t>
            </w:r>
          </w:p>
          <w:p w14:paraId="29C36BE4"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05E08">
              <w:rPr>
                <w:rFonts w:asciiTheme="minorHAnsi" w:eastAsia="PMingLiU" w:hAnsiTheme="minorHAnsi" w:cstheme="minorHAnsi"/>
              </w:rPr>
              <w:t>$3,793.81</w:t>
            </w:r>
          </w:p>
          <w:p w14:paraId="7AD30EF7"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DF20B53" w14:textId="56B07FEE"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asciiTheme="minorHAnsi" w:hAnsiTheme="minorHAnsi" w:cstheme="minorHAnsi"/>
              </w:rPr>
              <w:t>The further review level is based on a three-year national average.  The range of acceptable data not requiring further review is from $2,845.36 to $4,742.27.</w:t>
            </w:r>
          </w:p>
        </w:tc>
      </w:tr>
      <w:tr w:rsidR="00CB7D6E" w:rsidRPr="001C1E47" w14:paraId="4CF9D609"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0ABEB3DA" w14:textId="1086B071" w:rsidR="00CB7D6E" w:rsidRPr="00D05E08" w:rsidRDefault="00D05E08"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Pr>
                <w:rFonts w:eastAsia="PMingLiU" w:cs="Calibri"/>
                <w:b w:val="0"/>
              </w:rPr>
              <w:t>8a</w:t>
            </w:r>
          </w:p>
        </w:tc>
        <w:tc>
          <w:tcPr>
            <w:tcW w:w="2528" w:type="dxa"/>
          </w:tcPr>
          <w:p w14:paraId="51065DBA" w14:textId="1B4B50CF"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Average current serious penalty in private sector</w:t>
            </w:r>
          </w:p>
          <w:p w14:paraId="7C4696DD"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 xml:space="preserve"> (1-25 workers)</w:t>
            </w:r>
          </w:p>
        </w:tc>
        <w:tc>
          <w:tcPr>
            <w:tcW w:w="967" w:type="dxa"/>
          </w:tcPr>
          <w:p w14:paraId="3B168483" w14:textId="45A22A54"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$1,265.00</w:t>
            </w:r>
          </w:p>
        </w:tc>
        <w:tc>
          <w:tcPr>
            <w:tcW w:w="1307" w:type="dxa"/>
          </w:tcPr>
          <w:p w14:paraId="793EA3D1"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+/- 25% of </w:t>
            </w:r>
          </w:p>
          <w:p w14:paraId="731F77D1"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$2,498.51</w:t>
            </w:r>
          </w:p>
          <w:p w14:paraId="4DC91B0C"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371F75E0" w14:textId="74EA081D"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$1,873.88 to $3,123.14.</w:t>
            </w:r>
          </w:p>
        </w:tc>
      </w:tr>
      <w:tr w:rsidR="00CB7D6E" w:rsidRPr="001C1E47" w14:paraId="2F293093"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2794F1EF" w14:textId="15AC6AB1" w:rsidR="00CB7D6E" w:rsidRPr="00D05E08" w:rsidRDefault="00D05E08"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Pr>
                <w:rFonts w:eastAsia="PMingLiU" w:cs="Calibri"/>
                <w:b w:val="0"/>
              </w:rPr>
              <w:t>8b</w:t>
            </w:r>
          </w:p>
        </w:tc>
        <w:tc>
          <w:tcPr>
            <w:tcW w:w="2528" w:type="dxa"/>
          </w:tcPr>
          <w:p w14:paraId="18122F6D" w14:textId="7EAFDB73"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 xml:space="preserve">Average current serious penalty in private sector </w:t>
            </w:r>
          </w:p>
          <w:p w14:paraId="0CB214A9"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(26-100 workers</w:t>
            </w:r>
            <w:r w:rsidRPr="00D05E08">
              <w:rPr>
                <w:rFonts w:cs="Calibri"/>
                <w:b/>
              </w:rPr>
              <w:t>)</w:t>
            </w:r>
          </w:p>
        </w:tc>
        <w:tc>
          <w:tcPr>
            <w:tcW w:w="967" w:type="dxa"/>
          </w:tcPr>
          <w:p w14:paraId="26CF4361" w14:textId="0D039D72"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$1,361.33</w:t>
            </w:r>
          </w:p>
        </w:tc>
        <w:tc>
          <w:tcPr>
            <w:tcW w:w="1307" w:type="dxa"/>
          </w:tcPr>
          <w:p w14:paraId="5EBBD51C"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+/- 25% of </w:t>
            </w:r>
          </w:p>
          <w:p w14:paraId="66EB83F0"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$4,322.61</w:t>
            </w:r>
          </w:p>
          <w:p w14:paraId="6AB595C0"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533EE6CD" w14:textId="288FEDC6"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$3,241.96 to $5,403.26.</w:t>
            </w:r>
          </w:p>
        </w:tc>
      </w:tr>
      <w:tr w:rsidR="00CB7D6E" w:rsidRPr="001C1E47" w14:paraId="786F3F1A"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5A3932AB" w14:textId="2F7EB318" w:rsidR="00CB7D6E" w:rsidRPr="00D05E08" w:rsidRDefault="00D05E08"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Pr>
                <w:rFonts w:eastAsia="PMingLiU" w:cs="Calibri"/>
                <w:b w:val="0"/>
              </w:rPr>
              <w:t>8c</w:t>
            </w:r>
          </w:p>
        </w:tc>
        <w:tc>
          <w:tcPr>
            <w:tcW w:w="2528" w:type="dxa"/>
          </w:tcPr>
          <w:p w14:paraId="5F59BDF5" w14:textId="6C3FC26F"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Average current serious penalty in private sector</w:t>
            </w:r>
          </w:p>
          <w:p w14:paraId="10D9592B"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(101-250 workers)</w:t>
            </w:r>
          </w:p>
        </w:tc>
        <w:tc>
          <w:tcPr>
            <w:tcW w:w="967" w:type="dxa"/>
          </w:tcPr>
          <w:p w14:paraId="7D3E6F14" w14:textId="3588D1EE"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$2,874.94</w:t>
            </w:r>
          </w:p>
        </w:tc>
        <w:tc>
          <w:tcPr>
            <w:tcW w:w="1307" w:type="dxa"/>
          </w:tcPr>
          <w:p w14:paraId="5CEA780B"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+/- 25% of </w:t>
            </w:r>
          </w:p>
          <w:p w14:paraId="2A0C1D02"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$6,114.84</w:t>
            </w:r>
          </w:p>
          <w:p w14:paraId="0194F828"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4B00CAC2" w14:textId="7690CC5A"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$4,586.13 to $7,643.55.</w:t>
            </w:r>
          </w:p>
        </w:tc>
      </w:tr>
      <w:tr w:rsidR="00CB7D6E" w:rsidRPr="001C1E47" w14:paraId="44B346AD"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5ED4D0D0" w14:textId="43360E49" w:rsidR="00CB7D6E" w:rsidRPr="00D05E08" w:rsidRDefault="00D05E08"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Pr>
                <w:rFonts w:eastAsia="PMingLiU" w:cs="Calibri"/>
                <w:b w:val="0"/>
              </w:rPr>
              <w:t>8d</w:t>
            </w:r>
          </w:p>
        </w:tc>
        <w:tc>
          <w:tcPr>
            <w:tcW w:w="2528" w:type="dxa"/>
          </w:tcPr>
          <w:p w14:paraId="255BABE2" w14:textId="247776D4"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Average current serious penalty in private sector</w:t>
            </w:r>
          </w:p>
          <w:p w14:paraId="48DDBB4B"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(greater than 250 workers)</w:t>
            </w:r>
          </w:p>
        </w:tc>
        <w:tc>
          <w:tcPr>
            <w:tcW w:w="967" w:type="dxa"/>
          </w:tcPr>
          <w:p w14:paraId="7D66FCF1" w14:textId="10E4EAF3"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$6,873.67</w:t>
            </w:r>
          </w:p>
        </w:tc>
        <w:tc>
          <w:tcPr>
            <w:tcW w:w="1307" w:type="dxa"/>
          </w:tcPr>
          <w:p w14:paraId="3916168A"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xml:space="preserve">+/- 25% of </w:t>
            </w:r>
          </w:p>
          <w:p w14:paraId="1F6B70B2"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$7,533.58</w:t>
            </w:r>
          </w:p>
          <w:p w14:paraId="3FB5515E"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29FF5D83" w14:textId="5ED3196E"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$5,650.19 to $9,416.98.</w:t>
            </w:r>
          </w:p>
        </w:tc>
      </w:tr>
      <w:tr w:rsidR="00CB7D6E" w:rsidRPr="001C1E47" w14:paraId="6F99001F"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lastRenderedPageBreak/>
              <w:t>9a</w:t>
            </w:r>
          </w:p>
        </w:tc>
        <w:tc>
          <w:tcPr>
            <w:tcW w:w="2528" w:type="dxa"/>
          </w:tcPr>
          <w:p w14:paraId="406CE5F6"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in compliance (safety)</w:t>
            </w:r>
          </w:p>
        </w:tc>
        <w:tc>
          <w:tcPr>
            <w:tcW w:w="967" w:type="dxa"/>
          </w:tcPr>
          <w:p w14:paraId="2CBEE7D5" w14:textId="4337D10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30.69%</w:t>
            </w:r>
          </w:p>
        </w:tc>
        <w:tc>
          <w:tcPr>
            <w:tcW w:w="1307" w:type="dxa"/>
          </w:tcPr>
          <w:p w14:paraId="18D191E7"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+/- 20% of</w:t>
            </w:r>
          </w:p>
          <w:p w14:paraId="0A52EE0A" w14:textId="3AD7030A"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32.83%</w:t>
            </w:r>
          </w:p>
        </w:tc>
        <w:tc>
          <w:tcPr>
            <w:tcW w:w="4514" w:type="dxa"/>
          </w:tcPr>
          <w:p w14:paraId="2A829BA0" w14:textId="3DDB806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26.27% to 39.40% for safety.</w:t>
            </w:r>
          </w:p>
        </w:tc>
      </w:tr>
      <w:tr w:rsidR="00CB7D6E" w:rsidRPr="001C1E47" w14:paraId="3EB76E55"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9b</w:t>
            </w:r>
          </w:p>
        </w:tc>
        <w:tc>
          <w:tcPr>
            <w:tcW w:w="2528" w:type="dxa"/>
          </w:tcPr>
          <w:p w14:paraId="1F4404BA"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in compliance (health)</w:t>
            </w:r>
          </w:p>
        </w:tc>
        <w:tc>
          <w:tcPr>
            <w:tcW w:w="967" w:type="dxa"/>
          </w:tcPr>
          <w:p w14:paraId="0F761403" w14:textId="3C48CB08"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33.92%</w:t>
            </w:r>
          </w:p>
        </w:tc>
        <w:tc>
          <w:tcPr>
            <w:tcW w:w="1307" w:type="dxa"/>
          </w:tcPr>
          <w:p w14:paraId="0F0379B0"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+/- 20% of</w:t>
            </w:r>
          </w:p>
          <w:p w14:paraId="203D8062" w14:textId="136017ED"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44.18%</w:t>
            </w:r>
          </w:p>
        </w:tc>
        <w:tc>
          <w:tcPr>
            <w:tcW w:w="4514" w:type="dxa"/>
          </w:tcPr>
          <w:p w14:paraId="7272F1E9" w14:textId="767709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35.34% to 53.01% for health.</w:t>
            </w:r>
          </w:p>
        </w:tc>
      </w:tr>
      <w:tr w:rsidR="00CB7D6E" w:rsidRPr="001C1E47" w14:paraId="6BD622B6"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10</w:t>
            </w:r>
          </w:p>
        </w:tc>
        <w:tc>
          <w:tcPr>
            <w:tcW w:w="2528" w:type="dxa"/>
          </w:tcPr>
          <w:p w14:paraId="7A555323"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of work-related fatalities responded to in one workday</w:t>
            </w:r>
          </w:p>
        </w:tc>
        <w:tc>
          <w:tcPr>
            <w:tcW w:w="967" w:type="dxa"/>
          </w:tcPr>
          <w:p w14:paraId="36635117" w14:textId="236BF8B2"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100%</w:t>
            </w:r>
          </w:p>
        </w:tc>
        <w:tc>
          <w:tcPr>
            <w:tcW w:w="1307" w:type="dxa"/>
          </w:tcPr>
          <w:p w14:paraId="1B2A9E13" w14:textId="6229C47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100%</w:t>
            </w:r>
          </w:p>
        </w:tc>
        <w:tc>
          <w:tcPr>
            <w:tcW w:w="4514" w:type="dxa"/>
          </w:tcPr>
          <w:p w14:paraId="4CFEF3A7" w14:textId="212234F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fixed for all State Plans.</w:t>
            </w:r>
          </w:p>
        </w:tc>
      </w:tr>
      <w:tr w:rsidR="00CB7D6E" w:rsidRPr="001C1E47" w14:paraId="2893D3CE"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11a</w:t>
            </w:r>
          </w:p>
        </w:tc>
        <w:tc>
          <w:tcPr>
            <w:tcW w:w="2528" w:type="dxa"/>
          </w:tcPr>
          <w:p w14:paraId="0E881318"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Average lapse time (safety)</w:t>
            </w:r>
          </w:p>
        </w:tc>
        <w:tc>
          <w:tcPr>
            <w:tcW w:w="967" w:type="dxa"/>
          </w:tcPr>
          <w:p w14:paraId="155143E8" w14:textId="3857E0F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42.86</w:t>
            </w:r>
          </w:p>
        </w:tc>
        <w:tc>
          <w:tcPr>
            <w:tcW w:w="1307" w:type="dxa"/>
          </w:tcPr>
          <w:p w14:paraId="4BE40717"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+/- 20% of 56.02</w:t>
            </w:r>
          </w:p>
          <w:p w14:paraId="4105E6C0" w14:textId="1E5F5F9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1A7228CC" w14:textId="0465405D"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44.82 to 67.23for safety.</w:t>
            </w:r>
          </w:p>
        </w:tc>
      </w:tr>
      <w:tr w:rsidR="00CB7D6E" w:rsidRPr="001C1E47" w14:paraId="71994532"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11b</w:t>
            </w:r>
          </w:p>
        </w:tc>
        <w:tc>
          <w:tcPr>
            <w:tcW w:w="2528" w:type="dxa"/>
          </w:tcPr>
          <w:p w14:paraId="62670A92"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Average lapse time (health)</w:t>
            </w:r>
          </w:p>
        </w:tc>
        <w:tc>
          <w:tcPr>
            <w:tcW w:w="967" w:type="dxa"/>
          </w:tcPr>
          <w:p w14:paraId="260D705D" w14:textId="3B62EE4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53.50</w:t>
            </w:r>
          </w:p>
        </w:tc>
        <w:tc>
          <w:tcPr>
            <w:tcW w:w="1307" w:type="dxa"/>
          </w:tcPr>
          <w:p w14:paraId="28AD4169"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+/- 20% of 67.21</w:t>
            </w:r>
          </w:p>
          <w:p w14:paraId="4447221B" w14:textId="5D5BE00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77F448C9" w14:textId="05BB78A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53.77 to 80.65 for health.</w:t>
            </w:r>
          </w:p>
        </w:tc>
      </w:tr>
      <w:tr w:rsidR="00CB7D6E" w:rsidRPr="001C1E47" w14:paraId="13BCA211"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12</w:t>
            </w:r>
          </w:p>
        </w:tc>
        <w:tc>
          <w:tcPr>
            <w:tcW w:w="2528" w:type="dxa"/>
          </w:tcPr>
          <w:p w14:paraId="4FDC62A7"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penalty retained</w:t>
            </w:r>
          </w:p>
        </w:tc>
        <w:tc>
          <w:tcPr>
            <w:tcW w:w="967" w:type="dxa"/>
          </w:tcPr>
          <w:p w14:paraId="54C1921C" w14:textId="73DB007E"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91.77%</w:t>
            </w:r>
          </w:p>
        </w:tc>
        <w:tc>
          <w:tcPr>
            <w:tcW w:w="1307" w:type="dxa"/>
          </w:tcPr>
          <w:p w14:paraId="539F2DEA"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+/- 15% of</w:t>
            </w:r>
          </w:p>
          <w:p w14:paraId="5AD20280" w14:textId="1CB15E26"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70.81%</w:t>
            </w:r>
          </w:p>
        </w:tc>
        <w:tc>
          <w:tcPr>
            <w:tcW w:w="4514" w:type="dxa"/>
          </w:tcPr>
          <w:p w14:paraId="45B6E003" w14:textId="4A8C36E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60.19% to 81.44%.</w:t>
            </w:r>
          </w:p>
        </w:tc>
      </w:tr>
      <w:tr w:rsidR="00CB7D6E" w:rsidRPr="001C1E47" w14:paraId="2EAC34D6"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13</w:t>
            </w:r>
          </w:p>
        </w:tc>
        <w:tc>
          <w:tcPr>
            <w:tcW w:w="2528" w:type="dxa"/>
          </w:tcPr>
          <w:p w14:paraId="56540F98"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of initial inspections with worker walk-around representation or worker interview</w:t>
            </w:r>
          </w:p>
        </w:tc>
        <w:tc>
          <w:tcPr>
            <w:tcW w:w="967" w:type="dxa"/>
          </w:tcPr>
          <w:p w14:paraId="71E71ED8" w14:textId="35804C6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100%</w:t>
            </w:r>
          </w:p>
        </w:tc>
        <w:tc>
          <w:tcPr>
            <w:tcW w:w="1307" w:type="dxa"/>
          </w:tcPr>
          <w:p w14:paraId="4A97427F" w14:textId="6D737D09"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100%</w:t>
            </w:r>
          </w:p>
        </w:tc>
        <w:tc>
          <w:tcPr>
            <w:tcW w:w="4514" w:type="dxa"/>
          </w:tcPr>
          <w:p w14:paraId="27DEF00F" w14:textId="04650605"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fixed for all State Plans.</w:t>
            </w:r>
          </w:p>
        </w:tc>
      </w:tr>
      <w:tr w:rsidR="00CB7D6E" w:rsidRPr="001C1E47" w14:paraId="0083664F"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14</w:t>
            </w:r>
          </w:p>
        </w:tc>
        <w:tc>
          <w:tcPr>
            <w:tcW w:w="2528" w:type="dxa"/>
          </w:tcPr>
          <w:p w14:paraId="3454CDD3"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of 11(c) investigations completed within 90 days</w:t>
            </w:r>
          </w:p>
        </w:tc>
        <w:tc>
          <w:tcPr>
            <w:tcW w:w="967" w:type="dxa"/>
          </w:tcPr>
          <w:p w14:paraId="3468F2B1" w14:textId="72E62ABA"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N/A*</w:t>
            </w:r>
          </w:p>
        </w:tc>
        <w:tc>
          <w:tcPr>
            <w:tcW w:w="1307" w:type="dxa"/>
          </w:tcPr>
          <w:p w14:paraId="39333E60" w14:textId="7F9F1B33"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N/A*</w:t>
            </w:r>
          </w:p>
        </w:tc>
        <w:tc>
          <w:tcPr>
            <w:tcW w:w="4514" w:type="dxa"/>
          </w:tcPr>
          <w:p w14:paraId="7DECCD0D" w14:textId="4E803C5A"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This measure is not being reported for FY 2024 due to the transition to the new SAMM measures starting in FY 2025.</w:t>
            </w:r>
          </w:p>
        </w:tc>
      </w:tr>
      <w:tr w:rsidR="00CB7D6E" w:rsidRPr="001C1E47" w14:paraId="570F3912"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15</w:t>
            </w:r>
          </w:p>
        </w:tc>
        <w:tc>
          <w:tcPr>
            <w:tcW w:w="2528" w:type="dxa"/>
          </w:tcPr>
          <w:p w14:paraId="1BE43D29"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of 11(c) complaints that are meritorious</w:t>
            </w:r>
          </w:p>
        </w:tc>
        <w:tc>
          <w:tcPr>
            <w:tcW w:w="967" w:type="dxa"/>
          </w:tcPr>
          <w:p w14:paraId="1E0B0B7D" w14:textId="6FBF4FF2"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N/A*</w:t>
            </w:r>
          </w:p>
        </w:tc>
        <w:tc>
          <w:tcPr>
            <w:tcW w:w="1307" w:type="dxa"/>
          </w:tcPr>
          <w:p w14:paraId="147E9AB5" w14:textId="381865C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N/A*</w:t>
            </w:r>
          </w:p>
        </w:tc>
        <w:tc>
          <w:tcPr>
            <w:tcW w:w="4514" w:type="dxa"/>
          </w:tcPr>
          <w:p w14:paraId="5801C5D4" w14:textId="1077985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This measure is not being reported for FY 2024 due to the transition to the new SAMM measures starting in FY 2025.</w:t>
            </w:r>
          </w:p>
        </w:tc>
      </w:tr>
      <w:tr w:rsidR="00CB7D6E" w:rsidRPr="001C1E47" w14:paraId="06EFF7B6"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7E0D4652"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t>16</w:t>
            </w:r>
          </w:p>
        </w:tc>
        <w:tc>
          <w:tcPr>
            <w:tcW w:w="2528" w:type="dxa"/>
          </w:tcPr>
          <w:p w14:paraId="5E4FAF60"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 xml:space="preserve">Average number of calendar days to </w:t>
            </w:r>
            <w:r w:rsidRPr="00D05E08">
              <w:rPr>
                <w:rFonts w:cs="Calibri"/>
              </w:rPr>
              <w:lastRenderedPageBreak/>
              <w:t>complete an 11(c) investigation</w:t>
            </w:r>
          </w:p>
        </w:tc>
        <w:tc>
          <w:tcPr>
            <w:tcW w:w="967" w:type="dxa"/>
          </w:tcPr>
          <w:p w14:paraId="3207CBD2" w14:textId="571AFBCB"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lastRenderedPageBreak/>
              <w:t>N/A*</w:t>
            </w:r>
          </w:p>
        </w:tc>
        <w:tc>
          <w:tcPr>
            <w:tcW w:w="1307" w:type="dxa"/>
            <w:shd w:val="clear" w:color="auto" w:fill="auto"/>
          </w:tcPr>
          <w:p w14:paraId="7022F7E0" w14:textId="7D49511F"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N/A*</w:t>
            </w:r>
          </w:p>
        </w:tc>
        <w:tc>
          <w:tcPr>
            <w:tcW w:w="4514" w:type="dxa"/>
          </w:tcPr>
          <w:p w14:paraId="088C3C3F" w14:textId="7E93E344"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eastAsia="PMingLiU" w:hAnsiTheme="minorHAnsi" w:cstheme="minorHAnsi"/>
              </w:rPr>
              <w:t xml:space="preserve">This measure is not being reported for FY 2024 due to the transition to the new </w:t>
            </w:r>
            <w:r w:rsidRPr="00D05E08">
              <w:rPr>
                <w:rFonts w:asciiTheme="minorHAnsi" w:eastAsia="PMingLiU" w:hAnsiTheme="minorHAnsi" w:cstheme="minorHAnsi"/>
              </w:rPr>
              <w:lastRenderedPageBreak/>
              <w:t>SAMM measures starting in FY 2025.</w:t>
            </w:r>
          </w:p>
        </w:tc>
      </w:tr>
      <w:tr w:rsidR="00CB7D6E" w:rsidRPr="001C1E47" w14:paraId="464BCA80" w14:textId="77777777" w:rsidTr="00CB7D6E">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D05E08">
              <w:rPr>
                <w:rFonts w:eastAsia="PMingLiU" w:cs="Calibri"/>
              </w:rPr>
              <w:lastRenderedPageBreak/>
              <w:t>17</w:t>
            </w:r>
          </w:p>
        </w:tc>
        <w:tc>
          <w:tcPr>
            <w:tcW w:w="2528" w:type="dxa"/>
          </w:tcPr>
          <w:p w14:paraId="4A04782E" w14:textId="77777777"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D05E08">
              <w:rPr>
                <w:rFonts w:cs="Calibri"/>
              </w:rPr>
              <w:t>Percent of enforcement presence</w:t>
            </w:r>
          </w:p>
        </w:tc>
        <w:tc>
          <w:tcPr>
            <w:tcW w:w="967" w:type="dxa"/>
          </w:tcPr>
          <w:p w14:paraId="2883494A" w14:textId="50313AD9"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0.89%</w:t>
            </w:r>
          </w:p>
        </w:tc>
        <w:tc>
          <w:tcPr>
            <w:tcW w:w="1307" w:type="dxa"/>
          </w:tcPr>
          <w:p w14:paraId="4A64AFC9" w14:textId="77777777" w:rsidR="00CB7D6E" w:rsidRPr="00D05E08" w:rsidRDefault="00CB7D6E" w:rsidP="00CB7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5E08">
              <w:rPr>
                <w:rFonts w:asciiTheme="minorHAnsi" w:hAnsiTheme="minorHAnsi" w:cstheme="minorHAnsi"/>
              </w:rPr>
              <w:t>+/- 25% of</w:t>
            </w:r>
          </w:p>
          <w:p w14:paraId="315D63EF" w14:textId="13B89860"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1.00%</w:t>
            </w:r>
          </w:p>
        </w:tc>
        <w:tc>
          <w:tcPr>
            <w:tcW w:w="4514" w:type="dxa"/>
          </w:tcPr>
          <w:p w14:paraId="66CFA076" w14:textId="260EDC5A" w:rsidR="00CB7D6E" w:rsidRPr="00D05E08" w:rsidRDefault="00CB7D6E" w:rsidP="00CB7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D05E08">
              <w:rPr>
                <w:rFonts w:asciiTheme="minorHAnsi" w:hAnsiTheme="minorHAnsi" w:cstheme="minorHAnsi"/>
              </w:rPr>
              <w:t>The further review level is based on a three-year national average.  The range of acceptable data not requiring further review is from 0.75% to 1.25%.</w:t>
            </w:r>
          </w:p>
        </w:tc>
      </w:tr>
      <w:bookmarkEnd w:id="31"/>
    </w:tbl>
    <w:p w14:paraId="723E33DA" w14:textId="77777777" w:rsidR="005128CD" w:rsidRPr="001C1E47" w:rsidRDefault="005128CD" w:rsidP="007A71AC">
      <w:pPr>
        <w:widowControl/>
        <w:autoSpaceDE/>
        <w:autoSpaceDN/>
        <w:adjustRightInd/>
        <w:rPr>
          <w:rFonts w:cs="Calibri"/>
          <w:b/>
          <w:color w:val="1F497D"/>
          <w:sz w:val="28"/>
          <w:szCs w:val="28"/>
        </w:rPr>
      </w:pPr>
    </w:p>
    <w:p w14:paraId="7021D43D" w14:textId="77777777" w:rsidR="005128CD" w:rsidRDefault="005128CD" w:rsidP="00634539">
      <w:pPr>
        <w:widowControl/>
        <w:autoSpaceDE/>
        <w:autoSpaceDN/>
        <w:adjustRightInd/>
        <w:rPr>
          <w:rFonts w:cs="Calibri"/>
        </w:rPr>
      </w:pPr>
    </w:p>
    <w:p w14:paraId="16D3D228" w14:textId="77777777" w:rsidR="00D05E08" w:rsidRDefault="00D05E08" w:rsidP="00840C7C">
      <w:r w:rsidRPr="00013DB8">
        <w:t>NOTE:  The national averages in this report are three-year rolling averages.  Unless otherwise noted, the data contained in this Appendix D is pulled from the State Activity Mandated Measures (SAMM) Report in OIS and the State Plan WebIMIS report run on November 1</w:t>
      </w:r>
      <w:r>
        <w:t>2</w:t>
      </w:r>
      <w:r w:rsidRPr="00013DB8">
        <w:t>, 202</w:t>
      </w:r>
      <w:r>
        <w:t>4</w:t>
      </w:r>
      <w:r w:rsidRPr="00013DB8">
        <w:t>, as part of OSHA’s official end-of-year da</w:t>
      </w:r>
      <w:r w:rsidR="00840C7C">
        <w:t>ta.</w:t>
      </w:r>
    </w:p>
    <w:p w14:paraId="6573BAF6" w14:textId="3FAD77B0" w:rsidR="00634539" w:rsidRPr="001C1E47" w:rsidRDefault="00634539" w:rsidP="00840C7C">
      <w:pPr>
        <w:tabs>
          <w:tab w:val="left" w:pos="3405"/>
        </w:tabs>
        <w:rPr>
          <w:rFonts w:cs="Calibri"/>
        </w:rPr>
      </w:pPr>
    </w:p>
    <w:sectPr w:rsidR="00634539" w:rsidRPr="001C1E47" w:rsidSect="00E8466B">
      <w:headerReference w:type="default" r:id="rId2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21C8" w14:textId="77777777" w:rsidR="00774495" w:rsidRDefault="00774495" w:rsidP="00C872A0">
      <w:r>
        <w:separator/>
      </w:r>
    </w:p>
  </w:endnote>
  <w:endnote w:type="continuationSeparator" w:id="0">
    <w:p w14:paraId="0372554B" w14:textId="77777777" w:rsidR="00774495" w:rsidRDefault="00774495"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1F98799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37B8" w14:textId="77777777" w:rsidR="00774495" w:rsidRDefault="00774495" w:rsidP="00C872A0">
      <w:r>
        <w:separator/>
      </w:r>
    </w:p>
  </w:footnote>
  <w:footnote w:type="continuationSeparator" w:id="0">
    <w:p w14:paraId="3492F2AF" w14:textId="77777777" w:rsidR="00774495" w:rsidRDefault="00774495"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840C7C" w:rsidRDefault="00780E29" w:rsidP="00840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4200"/>
    <w:rsid w:val="000063B0"/>
    <w:rsid w:val="00007781"/>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83A76"/>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0E53"/>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AA2"/>
    <w:rsid w:val="000E20A2"/>
    <w:rsid w:val="000E46F3"/>
    <w:rsid w:val="000E5C64"/>
    <w:rsid w:val="000E6466"/>
    <w:rsid w:val="000E7F42"/>
    <w:rsid w:val="000F1D68"/>
    <w:rsid w:val="000F1E49"/>
    <w:rsid w:val="000F46ED"/>
    <w:rsid w:val="000F47FD"/>
    <w:rsid w:val="000F4DA3"/>
    <w:rsid w:val="000F5631"/>
    <w:rsid w:val="000F5A36"/>
    <w:rsid w:val="000F63C1"/>
    <w:rsid w:val="000F6A5C"/>
    <w:rsid w:val="000F7ECC"/>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412"/>
    <w:rsid w:val="0012279E"/>
    <w:rsid w:val="00122839"/>
    <w:rsid w:val="00122BD3"/>
    <w:rsid w:val="00123AC4"/>
    <w:rsid w:val="00125065"/>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1FC"/>
    <w:rsid w:val="0014420A"/>
    <w:rsid w:val="00144A53"/>
    <w:rsid w:val="00145BC1"/>
    <w:rsid w:val="001469F6"/>
    <w:rsid w:val="001471B8"/>
    <w:rsid w:val="00147B01"/>
    <w:rsid w:val="00147F8B"/>
    <w:rsid w:val="00150F03"/>
    <w:rsid w:val="001515BB"/>
    <w:rsid w:val="00151CFD"/>
    <w:rsid w:val="00152207"/>
    <w:rsid w:val="001522C3"/>
    <w:rsid w:val="00155591"/>
    <w:rsid w:val="00156CD6"/>
    <w:rsid w:val="00156E0C"/>
    <w:rsid w:val="00157520"/>
    <w:rsid w:val="00161740"/>
    <w:rsid w:val="0016336D"/>
    <w:rsid w:val="00163E90"/>
    <w:rsid w:val="00171831"/>
    <w:rsid w:val="00172085"/>
    <w:rsid w:val="00173853"/>
    <w:rsid w:val="0017552C"/>
    <w:rsid w:val="00176DF8"/>
    <w:rsid w:val="00177A1E"/>
    <w:rsid w:val="00177D70"/>
    <w:rsid w:val="00182B5C"/>
    <w:rsid w:val="00182CE0"/>
    <w:rsid w:val="00183AAE"/>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A2967"/>
    <w:rsid w:val="001A335E"/>
    <w:rsid w:val="001A3671"/>
    <w:rsid w:val="001A6B79"/>
    <w:rsid w:val="001A7BB9"/>
    <w:rsid w:val="001A7F60"/>
    <w:rsid w:val="001B0219"/>
    <w:rsid w:val="001B02D7"/>
    <w:rsid w:val="001B0632"/>
    <w:rsid w:val="001B0AF1"/>
    <w:rsid w:val="001B160F"/>
    <w:rsid w:val="001B284A"/>
    <w:rsid w:val="001B346B"/>
    <w:rsid w:val="001B6DA7"/>
    <w:rsid w:val="001B77A2"/>
    <w:rsid w:val="001C154D"/>
    <w:rsid w:val="001C1E47"/>
    <w:rsid w:val="001C2B11"/>
    <w:rsid w:val="001C3276"/>
    <w:rsid w:val="001C44E8"/>
    <w:rsid w:val="001C560E"/>
    <w:rsid w:val="001C58C2"/>
    <w:rsid w:val="001C620B"/>
    <w:rsid w:val="001C696B"/>
    <w:rsid w:val="001D1819"/>
    <w:rsid w:val="001D1A16"/>
    <w:rsid w:val="001D6530"/>
    <w:rsid w:val="001D6564"/>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1F6622"/>
    <w:rsid w:val="00200D27"/>
    <w:rsid w:val="002011AC"/>
    <w:rsid w:val="00201EB9"/>
    <w:rsid w:val="00202BD7"/>
    <w:rsid w:val="002048CC"/>
    <w:rsid w:val="0020506D"/>
    <w:rsid w:val="00205391"/>
    <w:rsid w:val="00205A99"/>
    <w:rsid w:val="00205B95"/>
    <w:rsid w:val="0020733F"/>
    <w:rsid w:val="00207B94"/>
    <w:rsid w:val="00210157"/>
    <w:rsid w:val="00210E15"/>
    <w:rsid w:val="00211626"/>
    <w:rsid w:val="0021277A"/>
    <w:rsid w:val="00212BC7"/>
    <w:rsid w:val="0021380C"/>
    <w:rsid w:val="00213FCA"/>
    <w:rsid w:val="002148F3"/>
    <w:rsid w:val="00215C57"/>
    <w:rsid w:val="00216621"/>
    <w:rsid w:val="00216B0E"/>
    <w:rsid w:val="00217433"/>
    <w:rsid w:val="00217437"/>
    <w:rsid w:val="0022017B"/>
    <w:rsid w:val="00222350"/>
    <w:rsid w:val="002231D3"/>
    <w:rsid w:val="002235F3"/>
    <w:rsid w:val="00223A31"/>
    <w:rsid w:val="002247E7"/>
    <w:rsid w:val="0022537C"/>
    <w:rsid w:val="0022685E"/>
    <w:rsid w:val="00227868"/>
    <w:rsid w:val="00230915"/>
    <w:rsid w:val="00230D53"/>
    <w:rsid w:val="0023191B"/>
    <w:rsid w:val="002337B2"/>
    <w:rsid w:val="00233C64"/>
    <w:rsid w:val="00233DEE"/>
    <w:rsid w:val="00240319"/>
    <w:rsid w:val="002404BA"/>
    <w:rsid w:val="002427F7"/>
    <w:rsid w:val="00243015"/>
    <w:rsid w:val="0024338F"/>
    <w:rsid w:val="002511A8"/>
    <w:rsid w:val="002511E9"/>
    <w:rsid w:val="002512E8"/>
    <w:rsid w:val="00251FA2"/>
    <w:rsid w:val="002523FB"/>
    <w:rsid w:val="002529E8"/>
    <w:rsid w:val="00253249"/>
    <w:rsid w:val="002536CB"/>
    <w:rsid w:val="0025526A"/>
    <w:rsid w:val="00255EA4"/>
    <w:rsid w:val="00260A89"/>
    <w:rsid w:val="00260C9F"/>
    <w:rsid w:val="00261A11"/>
    <w:rsid w:val="00262A51"/>
    <w:rsid w:val="00262DDC"/>
    <w:rsid w:val="002648FC"/>
    <w:rsid w:val="00265778"/>
    <w:rsid w:val="002658D0"/>
    <w:rsid w:val="002679E5"/>
    <w:rsid w:val="00270695"/>
    <w:rsid w:val="002707B8"/>
    <w:rsid w:val="0027084D"/>
    <w:rsid w:val="002725BC"/>
    <w:rsid w:val="002731DE"/>
    <w:rsid w:val="002735F9"/>
    <w:rsid w:val="00273CD1"/>
    <w:rsid w:val="002740BF"/>
    <w:rsid w:val="00274463"/>
    <w:rsid w:val="0027502F"/>
    <w:rsid w:val="0027753D"/>
    <w:rsid w:val="00277C24"/>
    <w:rsid w:val="0028166F"/>
    <w:rsid w:val="00281733"/>
    <w:rsid w:val="0028174D"/>
    <w:rsid w:val="00281A30"/>
    <w:rsid w:val="002823D9"/>
    <w:rsid w:val="002831C6"/>
    <w:rsid w:val="00283FF9"/>
    <w:rsid w:val="00290B29"/>
    <w:rsid w:val="00292313"/>
    <w:rsid w:val="00294168"/>
    <w:rsid w:val="00294245"/>
    <w:rsid w:val="002948AE"/>
    <w:rsid w:val="00294FD0"/>
    <w:rsid w:val="002954DC"/>
    <w:rsid w:val="0029647F"/>
    <w:rsid w:val="002966F6"/>
    <w:rsid w:val="00296B1E"/>
    <w:rsid w:val="00297ABC"/>
    <w:rsid w:val="002A1F09"/>
    <w:rsid w:val="002A2421"/>
    <w:rsid w:val="002A39F7"/>
    <w:rsid w:val="002A40A1"/>
    <w:rsid w:val="002A4594"/>
    <w:rsid w:val="002A4934"/>
    <w:rsid w:val="002A50A7"/>
    <w:rsid w:val="002A65C4"/>
    <w:rsid w:val="002A6CAA"/>
    <w:rsid w:val="002A6EA8"/>
    <w:rsid w:val="002B020A"/>
    <w:rsid w:val="002B228C"/>
    <w:rsid w:val="002B334F"/>
    <w:rsid w:val="002B3E37"/>
    <w:rsid w:val="002B4100"/>
    <w:rsid w:val="002B4250"/>
    <w:rsid w:val="002B429D"/>
    <w:rsid w:val="002B43F3"/>
    <w:rsid w:val="002B4830"/>
    <w:rsid w:val="002B4F49"/>
    <w:rsid w:val="002B63FA"/>
    <w:rsid w:val="002B780F"/>
    <w:rsid w:val="002B7D36"/>
    <w:rsid w:val="002C1E78"/>
    <w:rsid w:val="002C21A1"/>
    <w:rsid w:val="002C4E8C"/>
    <w:rsid w:val="002C65D1"/>
    <w:rsid w:val="002D0261"/>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1D6A"/>
    <w:rsid w:val="002F313C"/>
    <w:rsid w:val="002F4EFA"/>
    <w:rsid w:val="002F4FA0"/>
    <w:rsid w:val="002F5F07"/>
    <w:rsid w:val="002F78C9"/>
    <w:rsid w:val="002F7F47"/>
    <w:rsid w:val="0030105C"/>
    <w:rsid w:val="003046F7"/>
    <w:rsid w:val="00304846"/>
    <w:rsid w:val="00304930"/>
    <w:rsid w:val="0030523E"/>
    <w:rsid w:val="00306137"/>
    <w:rsid w:val="00312D97"/>
    <w:rsid w:val="00312FDE"/>
    <w:rsid w:val="0031493F"/>
    <w:rsid w:val="00315E58"/>
    <w:rsid w:val="00320A32"/>
    <w:rsid w:val="00322518"/>
    <w:rsid w:val="00322C51"/>
    <w:rsid w:val="003235C8"/>
    <w:rsid w:val="003249AC"/>
    <w:rsid w:val="0032597C"/>
    <w:rsid w:val="00327926"/>
    <w:rsid w:val="00327E12"/>
    <w:rsid w:val="003306BF"/>
    <w:rsid w:val="00331F49"/>
    <w:rsid w:val="00332F63"/>
    <w:rsid w:val="00333548"/>
    <w:rsid w:val="00334155"/>
    <w:rsid w:val="0033567A"/>
    <w:rsid w:val="00336613"/>
    <w:rsid w:val="00336FF6"/>
    <w:rsid w:val="0033715B"/>
    <w:rsid w:val="003400CE"/>
    <w:rsid w:val="00340ED2"/>
    <w:rsid w:val="00341DD1"/>
    <w:rsid w:val="00343604"/>
    <w:rsid w:val="00344186"/>
    <w:rsid w:val="00344D3F"/>
    <w:rsid w:val="0034504D"/>
    <w:rsid w:val="00345174"/>
    <w:rsid w:val="0034562A"/>
    <w:rsid w:val="003478A8"/>
    <w:rsid w:val="00351ABE"/>
    <w:rsid w:val="00351DAD"/>
    <w:rsid w:val="0035483B"/>
    <w:rsid w:val="0035620E"/>
    <w:rsid w:val="003568FA"/>
    <w:rsid w:val="0035765D"/>
    <w:rsid w:val="00360CDE"/>
    <w:rsid w:val="003625AF"/>
    <w:rsid w:val="00363176"/>
    <w:rsid w:val="00363AF6"/>
    <w:rsid w:val="0036420B"/>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3ED6"/>
    <w:rsid w:val="0039497C"/>
    <w:rsid w:val="003953E3"/>
    <w:rsid w:val="00395A18"/>
    <w:rsid w:val="0039632A"/>
    <w:rsid w:val="00396CFB"/>
    <w:rsid w:val="003A15AE"/>
    <w:rsid w:val="003A1E5E"/>
    <w:rsid w:val="003A1F58"/>
    <w:rsid w:val="003A20DA"/>
    <w:rsid w:val="003A2119"/>
    <w:rsid w:val="003A4F3E"/>
    <w:rsid w:val="003A53CD"/>
    <w:rsid w:val="003A6DB0"/>
    <w:rsid w:val="003A79DB"/>
    <w:rsid w:val="003B022E"/>
    <w:rsid w:val="003B2977"/>
    <w:rsid w:val="003B3314"/>
    <w:rsid w:val="003B349E"/>
    <w:rsid w:val="003B3D85"/>
    <w:rsid w:val="003B3DD0"/>
    <w:rsid w:val="003B572B"/>
    <w:rsid w:val="003B5B99"/>
    <w:rsid w:val="003B7931"/>
    <w:rsid w:val="003C217D"/>
    <w:rsid w:val="003C24E4"/>
    <w:rsid w:val="003C25AC"/>
    <w:rsid w:val="003C32BA"/>
    <w:rsid w:val="003C45C1"/>
    <w:rsid w:val="003C47F4"/>
    <w:rsid w:val="003C553A"/>
    <w:rsid w:val="003C5C8B"/>
    <w:rsid w:val="003C664A"/>
    <w:rsid w:val="003C70C3"/>
    <w:rsid w:val="003D0C21"/>
    <w:rsid w:val="003D248B"/>
    <w:rsid w:val="003D2F9B"/>
    <w:rsid w:val="003D4ED4"/>
    <w:rsid w:val="003D53B8"/>
    <w:rsid w:val="003D5D7B"/>
    <w:rsid w:val="003D6D33"/>
    <w:rsid w:val="003D750D"/>
    <w:rsid w:val="003E01A1"/>
    <w:rsid w:val="003E03E0"/>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7844"/>
    <w:rsid w:val="003F78C1"/>
    <w:rsid w:val="003F7A1E"/>
    <w:rsid w:val="004007AC"/>
    <w:rsid w:val="00401AD3"/>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22070"/>
    <w:rsid w:val="0042395F"/>
    <w:rsid w:val="0042568D"/>
    <w:rsid w:val="00425EE1"/>
    <w:rsid w:val="00426918"/>
    <w:rsid w:val="0042694A"/>
    <w:rsid w:val="00430741"/>
    <w:rsid w:val="00431115"/>
    <w:rsid w:val="00431F6C"/>
    <w:rsid w:val="00435253"/>
    <w:rsid w:val="004359BB"/>
    <w:rsid w:val="00437CD0"/>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6047E"/>
    <w:rsid w:val="00464590"/>
    <w:rsid w:val="00464C75"/>
    <w:rsid w:val="004658D1"/>
    <w:rsid w:val="00466B8D"/>
    <w:rsid w:val="00470794"/>
    <w:rsid w:val="00471057"/>
    <w:rsid w:val="00471DCC"/>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5A"/>
    <w:rsid w:val="0049137F"/>
    <w:rsid w:val="00491777"/>
    <w:rsid w:val="00491ECF"/>
    <w:rsid w:val="00492379"/>
    <w:rsid w:val="004923EB"/>
    <w:rsid w:val="0049240B"/>
    <w:rsid w:val="00492E5F"/>
    <w:rsid w:val="0049342D"/>
    <w:rsid w:val="0049420B"/>
    <w:rsid w:val="0049474F"/>
    <w:rsid w:val="004954D4"/>
    <w:rsid w:val="00496760"/>
    <w:rsid w:val="00497316"/>
    <w:rsid w:val="00497C0D"/>
    <w:rsid w:val="00497CF7"/>
    <w:rsid w:val="004A17E0"/>
    <w:rsid w:val="004A4886"/>
    <w:rsid w:val="004A57F6"/>
    <w:rsid w:val="004A58A4"/>
    <w:rsid w:val="004A5A2F"/>
    <w:rsid w:val="004A613F"/>
    <w:rsid w:val="004B0D97"/>
    <w:rsid w:val="004B106A"/>
    <w:rsid w:val="004B31ED"/>
    <w:rsid w:val="004B394F"/>
    <w:rsid w:val="004B3D81"/>
    <w:rsid w:val="004B5D11"/>
    <w:rsid w:val="004C1432"/>
    <w:rsid w:val="004C3ECD"/>
    <w:rsid w:val="004C4576"/>
    <w:rsid w:val="004C5508"/>
    <w:rsid w:val="004C5E86"/>
    <w:rsid w:val="004C641B"/>
    <w:rsid w:val="004C7081"/>
    <w:rsid w:val="004C7EFC"/>
    <w:rsid w:val="004D0505"/>
    <w:rsid w:val="004D05C8"/>
    <w:rsid w:val="004D0B18"/>
    <w:rsid w:val="004D0DD0"/>
    <w:rsid w:val="004D194A"/>
    <w:rsid w:val="004D2808"/>
    <w:rsid w:val="004D4A2C"/>
    <w:rsid w:val="004D5BB2"/>
    <w:rsid w:val="004D7611"/>
    <w:rsid w:val="004E11D8"/>
    <w:rsid w:val="004E22AA"/>
    <w:rsid w:val="004E3225"/>
    <w:rsid w:val="004E40FD"/>
    <w:rsid w:val="004E4C79"/>
    <w:rsid w:val="004E505A"/>
    <w:rsid w:val="004E58BC"/>
    <w:rsid w:val="004E6043"/>
    <w:rsid w:val="004E72DE"/>
    <w:rsid w:val="004E7417"/>
    <w:rsid w:val="004E7689"/>
    <w:rsid w:val="004E76B9"/>
    <w:rsid w:val="004F4B9A"/>
    <w:rsid w:val="004F4D6A"/>
    <w:rsid w:val="004F5900"/>
    <w:rsid w:val="004F5FF4"/>
    <w:rsid w:val="004F706D"/>
    <w:rsid w:val="004F7483"/>
    <w:rsid w:val="004F75CE"/>
    <w:rsid w:val="004F7758"/>
    <w:rsid w:val="0050077F"/>
    <w:rsid w:val="00500DEF"/>
    <w:rsid w:val="00501CB0"/>
    <w:rsid w:val="00502D50"/>
    <w:rsid w:val="00510256"/>
    <w:rsid w:val="0051107A"/>
    <w:rsid w:val="00511BBB"/>
    <w:rsid w:val="00512339"/>
    <w:rsid w:val="005128CD"/>
    <w:rsid w:val="005129C3"/>
    <w:rsid w:val="005133E4"/>
    <w:rsid w:val="00513906"/>
    <w:rsid w:val="00513BF3"/>
    <w:rsid w:val="0051489E"/>
    <w:rsid w:val="00514AFF"/>
    <w:rsid w:val="00516517"/>
    <w:rsid w:val="005175EF"/>
    <w:rsid w:val="005179A1"/>
    <w:rsid w:val="00521119"/>
    <w:rsid w:val="00521191"/>
    <w:rsid w:val="005218C3"/>
    <w:rsid w:val="00521951"/>
    <w:rsid w:val="00522159"/>
    <w:rsid w:val="0052483D"/>
    <w:rsid w:val="00525623"/>
    <w:rsid w:val="0052604A"/>
    <w:rsid w:val="00531513"/>
    <w:rsid w:val="00531978"/>
    <w:rsid w:val="0053426F"/>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025"/>
    <w:rsid w:val="005543E0"/>
    <w:rsid w:val="00555259"/>
    <w:rsid w:val="005556B2"/>
    <w:rsid w:val="00561459"/>
    <w:rsid w:val="00561B12"/>
    <w:rsid w:val="0056204C"/>
    <w:rsid w:val="00562433"/>
    <w:rsid w:val="00562F0E"/>
    <w:rsid w:val="00562F8C"/>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44C"/>
    <w:rsid w:val="0059072C"/>
    <w:rsid w:val="005915D6"/>
    <w:rsid w:val="00591A40"/>
    <w:rsid w:val="00591F96"/>
    <w:rsid w:val="00594F37"/>
    <w:rsid w:val="00597441"/>
    <w:rsid w:val="005A0888"/>
    <w:rsid w:val="005A1AFE"/>
    <w:rsid w:val="005A2F63"/>
    <w:rsid w:val="005A2F6F"/>
    <w:rsid w:val="005A573D"/>
    <w:rsid w:val="005A59F4"/>
    <w:rsid w:val="005A5B9A"/>
    <w:rsid w:val="005A5C27"/>
    <w:rsid w:val="005A5EEE"/>
    <w:rsid w:val="005A6B9B"/>
    <w:rsid w:val="005A7708"/>
    <w:rsid w:val="005B0F17"/>
    <w:rsid w:val="005B368D"/>
    <w:rsid w:val="005B3E85"/>
    <w:rsid w:val="005B50B8"/>
    <w:rsid w:val="005B5B2D"/>
    <w:rsid w:val="005B5BFC"/>
    <w:rsid w:val="005B636A"/>
    <w:rsid w:val="005B7C09"/>
    <w:rsid w:val="005C138B"/>
    <w:rsid w:val="005C1BFC"/>
    <w:rsid w:val="005C2D4A"/>
    <w:rsid w:val="005C3F96"/>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CD7"/>
    <w:rsid w:val="005D6827"/>
    <w:rsid w:val="005D7D4E"/>
    <w:rsid w:val="005D7FB3"/>
    <w:rsid w:val="005E038B"/>
    <w:rsid w:val="005E05FC"/>
    <w:rsid w:val="005E1543"/>
    <w:rsid w:val="005E18EB"/>
    <w:rsid w:val="005E1D1F"/>
    <w:rsid w:val="005E20BF"/>
    <w:rsid w:val="005E2179"/>
    <w:rsid w:val="005E2647"/>
    <w:rsid w:val="005E28CB"/>
    <w:rsid w:val="005E3EFB"/>
    <w:rsid w:val="005E56E6"/>
    <w:rsid w:val="005E61ED"/>
    <w:rsid w:val="005E6698"/>
    <w:rsid w:val="005F128A"/>
    <w:rsid w:val="005F1373"/>
    <w:rsid w:val="005F4085"/>
    <w:rsid w:val="005F70AA"/>
    <w:rsid w:val="005F77E4"/>
    <w:rsid w:val="00600B02"/>
    <w:rsid w:val="00600D22"/>
    <w:rsid w:val="00601444"/>
    <w:rsid w:val="006025A4"/>
    <w:rsid w:val="00602EF3"/>
    <w:rsid w:val="006036FD"/>
    <w:rsid w:val="006049B0"/>
    <w:rsid w:val="00606897"/>
    <w:rsid w:val="00607267"/>
    <w:rsid w:val="006109F6"/>
    <w:rsid w:val="0061177B"/>
    <w:rsid w:val="006124DB"/>
    <w:rsid w:val="0061276B"/>
    <w:rsid w:val="0061362E"/>
    <w:rsid w:val="00615341"/>
    <w:rsid w:val="006160BF"/>
    <w:rsid w:val="0061616D"/>
    <w:rsid w:val="006163AE"/>
    <w:rsid w:val="00616ADA"/>
    <w:rsid w:val="006175A7"/>
    <w:rsid w:val="006220FA"/>
    <w:rsid w:val="006239C7"/>
    <w:rsid w:val="00623BE6"/>
    <w:rsid w:val="0062454B"/>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5D2E"/>
    <w:rsid w:val="006360DB"/>
    <w:rsid w:val="00636B85"/>
    <w:rsid w:val="00636C18"/>
    <w:rsid w:val="006375CA"/>
    <w:rsid w:val="00637970"/>
    <w:rsid w:val="00643DC9"/>
    <w:rsid w:val="00643E2B"/>
    <w:rsid w:val="006460B8"/>
    <w:rsid w:val="0064646B"/>
    <w:rsid w:val="006479EF"/>
    <w:rsid w:val="006514A3"/>
    <w:rsid w:val="006529AA"/>
    <w:rsid w:val="00654707"/>
    <w:rsid w:val="00654ABB"/>
    <w:rsid w:val="0065591D"/>
    <w:rsid w:val="0066010E"/>
    <w:rsid w:val="00660D00"/>
    <w:rsid w:val="00664D23"/>
    <w:rsid w:val="0066658E"/>
    <w:rsid w:val="006668D8"/>
    <w:rsid w:val="00666D5A"/>
    <w:rsid w:val="006672E3"/>
    <w:rsid w:val="00667656"/>
    <w:rsid w:val="00670051"/>
    <w:rsid w:val="00670523"/>
    <w:rsid w:val="00670587"/>
    <w:rsid w:val="00672D7A"/>
    <w:rsid w:val="00672E10"/>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28D3"/>
    <w:rsid w:val="006A3685"/>
    <w:rsid w:val="006A424B"/>
    <w:rsid w:val="006A6EF2"/>
    <w:rsid w:val="006A7B6C"/>
    <w:rsid w:val="006B16CD"/>
    <w:rsid w:val="006B22CB"/>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4ADC"/>
    <w:rsid w:val="006E5B1C"/>
    <w:rsid w:val="006E6CC3"/>
    <w:rsid w:val="006F01DD"/>
    <w:rsid w:val="006F10FB"/>
    <w:rsid w:val="006F1799"/>
    <w:rsid w:val="006F1912"/>
    <w:rsid w:val="006F22ED"/>
    <w:rsid w:val="006F2309"/>
    <w:rsid w:val="006F3F20"/>
    <w:rsid w:val="006F4D78"/>
    <w:rsid w:val="006F511E"/>
    <w:rsid w:val="006F5CBA"/>
    <w:rsid w:val="006F5D72"/>
    <w:rsid w:val="00700807"/>
    <w:rsid w:val="00702538"/>
    <w:rsid w:val="007025D9"/>
    <w:rsid w:val="0070369D"/>
    <w:rsid w:val="00704431"/>
    <w:rsid w:val="007052B7"/>
    <w:rsid w:val="00705A09"/>
    <w:rsid w:val="00710360"/>
    <w:rsid w:val="00714CC3"/>
    <w:rsid w:val="00716505"/>
    <w:rsid w:val="0072002A"/>
    <w:rsid w:val="0072015A"/>
    <w:rsid w:val="00720230"/>
    <w:rsid w:val="00720865"/>
    <w:rsid w:val="00723121"/>
    <w:rsid w:val="007232E0"/>
    <w:rsid w:val="007249B2"/>
    <w:rsid w:val="00724A9A"/>
    <w:rsid w:val="00725BBB"/>
    <w:rsid w:val="007270F4"/>
    <w:rsid w:val="00731276"/>
    <w:rsid w:val="007324F0"/>
    <w:rsid w:val="00733729"/>
    <w:rsid w:val="00733D36"/>
    <w:rsid w:val="007340FB"/>
    <w:rsid w:val="00734685"/>
    <w:rsid w:val="00737B21"/>
    <w:rsid w:val="00740849"/>
    <w:rsid w:val="007408CB"/>
    <w:rsid w:val="00740F2A"/>
    <w:rsid w:val="0074312B"/>
    <w:rsid w:val="00743EA9"/>
    <w:rsid w:val="007443F6"/>
    <w:rsid w:val="007453B6"/>
    <w:rsid w:val="007458FA"/>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495"/>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64C3"/>
    <w:rsid w:val="00787686"/>
    <w:rsid w:val="00787E50"/>
    <w:rsid w:val="0079063F"/>
    <w:rsid w:val="00793D9F"/>
    <w:rsid w:val="00795EF2"/>
    <w:rsid w:val="007968B8"/>
    <w:rsid w:val="00796B1B"/>
    <w:rsid w:val="007A0B2C"/>
    <w:rsid w:val="007A0FEC"/>
    <w:rsid w:val="007A12C9"/>
    <w:rsid w:val="007A17BB"/>
    <w:rsid w:val="007A272C"/>
    <w:rsid w:val="007A2B3E"/>
    <w:rsid w:val="007A2EE6"/>
    <w:rsid w:val="007A584C"/>
    <w:rsid w:val="007A6CAA"/>
    <w:rsid w:val="007A6EEF"/>
    <w:rsid w:val="007A71AC"/>
    <w:rsid w:val="007A7AF1"/>
    <w:rsid w:val="007B18D0"/>
    <w:rsid w:val="007B1F3E"/>
    <w:rsid w:val="007B21AB"/>
    <w:rsid w:val="007B2E9D"/>
    <w:rsid w:val="007B34EF"/>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0139"/>
    <w:rsid w:val="007D1457"/>
    <w:rsid w:val="007D1D5D"/>
    <w:rsid w:val="007D2511"/>
    <w:rsid w:val="007D354A"/>
    <w:rsid w:val="007D41D8"/>
    <w:rsid w:val="007D4FDA"/>
    <w:rsid w:val="007D5AD8"/>
    <w:rsid w:val="007D6269"/>
    <w:rsid w:val="007D62F3"/>
    <w:rsid w:val="007D6425"/>
    <w:rsid w:val="007D7696"/>
    <w:rsid w:val="007E01D5"/>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731"/>
    <w:rsid w:val="00805FBE"/>
    <w:rsid w:val="00806A19"/>
    <w:rsid w:val="00806A3A"/>
    <w:rsid w:val="00807989"/>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11E"/>
    <w:rsid w:val="00827686"/>
    <w:rsid w:val="00827EC4"/>
    <w:rsid w:val="00830CC4"/>
    <w:rsid w:val="0083168B"/>
    <w:rsid w:val="00831D33"/>
    <w:rsid w:val="00832D88"/>
    <w:rsid w:val="00832F6E"/>
    <w:rsid w:val="0083338D"/>
    <w:rsid w:val="00833722"/>
    <w:rsid w:val="00833FB6"/>
    <w:rsid w:val="00834BC3"/>
    <w:rsid w:val="00840C7C"/>
    <w:rsid w:val="00842FE7"/>
    <w:rsid w:val="00844277"/>
    <w:rsid w:val="00844434"/>
    <w:rsid w:val="00844F3B"/>
    <w:rsid w:val="008455EF"/>
    <w:rsid w:val="00845891"/>
    <w:rsid w:val="0084695A"/>
    <w:rsid w:val="00850E16"/>
    <w:rsid w:val="00852018"/>
    <w:rsid w:val="00852226"/>
    <w:rsid w:val="008543E8"/>
    <w:rsid w:val="00856121"/>
    <w:rsid w:val="00860AF0"/>
    <w:rsid w:val="008618B2"/>
    <w:rsid w:val="008626CE"/>
    <w:rsid w:val="00862760"/>
    <w:rsid w:val="00867A25"/>
    <w:rsid w:val="008700BA"/>
    <w:rsid w:val="00873666"/>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2D3A"/>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C0158"/>
    <w:rsid w:val="008C174F"/>
    <w:rsid w:val="008C3D7A"/>
    <w:rsid w:val="008C3F3A"/>
    <w:rsid w:val="008C4902"/>
    <w:rsid w:val="008C5042"/>
    <w:rsid w:val="008C544B"/>
    <w:rsid w:val="008D1581"/>
    <w:rsid w:val="008D1BAD"/>
    <w:rsid w:val="008D1C55"/>
    <w:rsid w:val="008D2F32"/>
    <w:rsid w:val="008D33E2"/>
    <w:rsid w:val="008D4019"/>
    <w:rsid w:val="008D51F3"/>
    <w:rsid w:val="008D527A"/>
    <w:rsid w:val="008E051D"/>
    <w:rsid w:val="008E0F34"/>
    <w:rsid w:val="008E1E03"/>
    <w:rsid w:val="008E2B3B"/>
    <w:rsid w:val="008E4054"/>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2BEC"/>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10B5"/>
    <w:rsid w:val="00931611"/>
    <w:rsid w:val="009329AE"/>
    <w:rsid w:val="00933C53"/>
    <w:rsid w:val="00934C83"/>
    <w:rsid w:val="009369AE"/>
    <w:rsid w:val="0094439D"/>
    <w:rsid w:val="00944AFA"/>
    <w:rsid w:val="00945650"/>
    <w:rsid w:val="00945FE2"/>
    <w:rsid w:val="0094621D"/>
    <w:rsid w:val="00950727"/>
    <w:rsid w:val="009508E4"/>
    <w:rsid w:val="00951FDB"/>
    <w:rsid w:val="009522DA"/>
    <w:rsid w:val="00953E02"/>
    <w:rsid w:val="00954323"/>
    <w:rsid w:val="00954BC2"/>
    <w:rsid w:val="009567B8"/>
    <w:rsid w:val="00957E7E"/>
    <w:rsid w:val="00960D34"/>
    <w:rsid w:val="009611D2"/>
    <w:rsid w:val="00961836"/>
    <w:rsid w:val="0096202E"/>
    <w:rsid w:val="009621A0"/>
    <w:rsid w:val="00962BC2"/>
    <w:rsid w:val="00963D5E"/>
    <w:rsid w:val="00964224"/>
    <w:rsid w:val="0096696A"/>
    <w:rsid w:val="00967201"/>
    <w:rsid w:val="00967C74"/>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416"/>
    <w:rsid w:val="00993789"/>
    <w:rsid w:val="00994B4C"/>
    <w:rsid w:val="00994F61"/>
    <w:rsid w:val="00996057"/>
    <w:rsid w:val="00996394"/>
    <w:rsid w:val="00996C89"/>
    <w:rsid w:val="00996CB7"/>
    <w:rsid w:val="009979B9"/>
    <w:rsid w:val="009A03C7"/>
    <w:rsid w:val="009A0703"/>
    <w:rsid w:val="009A1399"/>
    <w:rsid w:val="009A22FD"/>
    <w:rsid w:val="009A2ED6"/>
    <w:rsid w:val="009A31E7"/>
    <w:rsid w:val="009A397B"/>
    <w:rsid w:val="009A546A"/>
    <w:rsid w:val="009A621C"/>
    <w:rsid w:val="009A6677"/>
    <w:rsid w:val="009A6C66"/>
    <w:rsid w:val="009A6EF9"/>
    <w:rsid w:val="009A7BBC"/>
    <w:rsid w:val="009B021E"/>
    <w:rsid w:val="009B2A11"/>
    <w:rsid w:val="009B5581"/>
    <w:rsid w:val="009B5940"/>
    <w:rsid w:val="009B63ED"/>
    <w:rsid w:val="009B710D"/>
    <w:rsid w:val="009C3862"/>
    <w:rsid w:val="009C4171"/>
    <w:rsid w:val="009C475C"/>
    <w:rsid w:val="009C5878"/>
    <w:rsid w:val="009C60A5"/>
    <w:rsid w:val="009C75C9"/>
    <w:rsid w:val="009D1492"/>
    <w:rsid w:val="009D169E"/>
    <w:rsid w:val="009D17E7"/>
    <w:rsid w:val="009D2602"/>
    <w:rsid w:val="009D3234"/>
    <w:rsid w:val="009D346D"/>
    <w:rsid w:val="009D41B7"/>
    <w:rsid w:val="009D5CA7"/>
    <w:rsid w:val="009D65CD"/>
    <w:rsid w:val="009D6E2E"/>
    <w:rsid w:val="009D7298"/>
    <w:rsid w:val="009E02DA"/>
    <w:rsid w:val="009E03C7"/>
    <w:rsid w:val="009E12B5"/>
    <w:rsid w:val="009E3716"/>
    <w:rsid w:val="009E3C1C"/>
    <w:rsid w:val="009E3F6F"/>
    <w:rsid w:val="009E6ACB"/>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6C2D"/>
    <w:rsid w:val="00A079D0"/>
    <w:rsid w:val="00A11132"/>
    <w:rsid w:val="00A11756"/>
    <w:rsid w:val="00A11969"/>
    <w:rsid w:val="00A12DE8"/>
    <w:rsid w:val="00A157B9"/>
    <w:rsid w:val="00A158FB"/>
    <w:rsid w:val="00A1712E"/>
    <w:rsid w:val="00A17F2D"/>
    <w:rsid w:val="00A20667"/>
    <w:rsid w:val="00A22348"/>
    <w:rsid w:val="00A243D6"/>
    <w:rsid w:val="00A24C62"/>
    <w:rsid w:val="00A254EC"/>
    <w:rsid w:val="00A25F51"/>
    <w:rsid w:val="00A26182"/>
    <w:rsid w:val="00A30382"/>
    <w:rsid w:val="00A30CEC"/>
    <w:rsid w:val="00A3188E"/>
    <w:rsid w:val="00A32604"/>
    <w:rsid w:val="00A32EF3"/>
    <w:rsid w:val="00A33959"/>
    <w:rsid w:val="00A35312"/>
    <w:rsid w:val="00A354C8"/>
    <w:rsid w:val="00A407E6"/>
    <w:rsid w:val="00A40E00"/>
    <w:rsid w:val="00A417AE"/>
    <w:rsid w:val="00A43345"/>
    <w:rsid w:val="00A447E6"/>
    <w:rsid w:val="00A463E3"/>
    <w:rsid w:val="00A50AD6"/>
    <w:rsid w:val="00A50D0F"/>
    <w:rsid w:val="00A50E2B"/>
    <w:rsid w:val="00A51495"/>
    <w:rsid w:val="00A54097"/>
    <w:rsid w:val="00A54DAA"/>
    <w:rsid w:val="00A57661"/>
    <w:rsid w:val="00A60E34"/>
    <w:rsid w:val="00A62074"/>
    <w:rsid w:val="00A62606"/>
    <w:rsid w:val="00A62EA7"/>
    <w:rsid w:val="00A6459E"/>
    <w:rsid w:val="00A64686"/>
    <w:rsid w:val="00A64CAE"/>
    <w:rsid w:val="00A6578C"/>
    <w:rsid w:val="00A6605D"/>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AA5"/>
    <w:rsid w:val="00A912BA"/>
    <w:rsid w:val="00A924F3"/>
    <w:rsid w:val="00A92AF0"/>
    <w:rsid w:val="00A94369"/>
    <w:rsid w:val="00A97923"/>
    <w:rsid w:val="00AA0E31"/>
    <w:rsid w:val="00AA11AA"/>
    <w:rsid w:val="00AA150D"/>
    <w:rsid w:val="00AA1803"/>
    <w:rsid w:val="00AA20EA"/>
    <w:rsid w:val="00AA446F"/>
    <w:rsid w:val="00AA59A6"/>
    <w:rsid w:val="00AA739B"/>
    <w:rsid w:val="00AB0D80"/>
    <w:rsid w:val="00AB16D9"/>
    <w:rsid w:val="00AB1C49"/>
    <w:rsid w:val="00AB1FC8"/>
    <w:rsid w:val="00AB284D"/>
    <w:rsid w:val="00AB2F02"/>
    <w:rsid w:val="00AB304E"/>
    <w:rsid w:val="00AB3266"/>
    <w:rsid w:val="00AB6C17"/>
    <w:rsid w:val="00AC0A9D"/>
    <w:rsid w:val="00AC0C9E"/>
    <w:rsid w:val="00AC20C0"/>
    <w:rsid w:val="00AC2876"/>
    <w:rsid w:val="00AC3349"/>
    <w:rsid w:val="00AC33C8"/>
    <w:rsid w:val="00AC449A"/>
    <w:rsid w:val="00AC4C13"/>
    <w:rsid w:val="00AC4C74"/>
    <w:rsid w:val="00AC4CD2"/>
    <w:rsid w:val="00AC5D5B"/>
    <w:rsid w:val="00AC7B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FE0"/>
    <w:rsid w:val="00AF45EB"/>
    <w:rsid w:val="00AF4794"/>
    <w:rsid w:val="00AF695E"/>
    <w:rsid w:val="00AF7191"/>
    <w:rsid w:val="00AF7C74"/>
    <w:rsid w:val="00B001EB"/>
    <w:rsid w:val="00B004D7"/>
    <w:rsid w:val="00B00586"/>
    <w:rsid w:val="00B00972"/>
    <w:rsid w:val="00B0098B"/>
    <w:rsid w:val="00B0271B"/>
    <w:rsid w:val="00B041BF"/>
    <w:rsid w:val="00B04601"/>
    <w:rsid w:val="00B06B70"/>
    <w:rsid w:val="00B073F5"/>
    <w:rsid w:val="00B15137"/>
    <w:rsid w:val="00B16A33"/>
    <w:rsid w:val="00B17AC0"/>
    <w:rsid w:val="00B17B7B"/>
    <w:rsid w:val="00B17D41"/>
    <w:rsid w:val="00B21333"/>
    <w:rsid w:val="00B23F14"/>
    <w:rsid w:val="00B24AD9"/>
    <w:rsid w:val="00B25959"/>
    <w:rsid w:val="00B267CA"/>
    <w:rsid w:val="00B31EF6"/>
    <w:rsid w:val="00B32A7C"/>
    <w:rsid w:val="00B3572E"/>
    <w:rsid w:val="00B40734"/>
    <w:rsid w:val="00B40C90"/>
    <w:rsid w:val="00B41FAA"/>
    <w:rsid w:val="00B44EFF"/>
    <w:rsid w:val="00B46F12"/>
    <w:rsid w:val="00B50B91"/>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4E41"/>
    <w:rsid w:val="00B65E5A"/>
    <w:rsid w:val="00B66C2A"/>
    <w:rsid w:val="00B6741C"/>
    <w:rsid w:val="00B70AD6"/>
    <w:rsid w:val="00B710C6"/>
    <w:rsid w:val="00B71940"/>
    <w:rsid w:val="00B72D36"/>
    <w:rsid w:val="00B73342"/>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620B"/>
    <w:rsid w:val="00B909F2"/>
    <w:rsid w:val="00B928DE"/>
    <w:rsid w:val="00B92912"/>
    <w:rsid w:val="00B92ABB"/>
    <w:rsid w:val="00B92BEA"/>
    <w:rsid w:val="00B9426C"/>
    <w:rsid w:val="00B95605"/>
    <w:rsid w:val="00B968AA"/>
    <w:rsid w:val="00B96B6A"/>
    <w:rsid w:val="00BA0943"/>
    <w:rsid w:val="00BA0C81"/>
    <w:rsid w:val="00BA1F04"/>
    <w:rsid w:val="00BA21E1"/>
    <w:rsid w:val="00BA23ED"/>
    <w:rsid w:val="00BA423F"/>
    <w:rsid w:val="00BA64E8"/>
    <w:rsid w:val="00BA6512"/>
    <w:rsid w:val="00BA75BB"/>
    <w:rsid w:val="00BA7C33"/>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C7CB3"/>
    <w:rsid w:val="00BD0358"/>
    <w:rsid w:val="00BD05FC"/>
    <w:rsid w:val="00BD2B8D"/>
    <w:rsid w:val="00BD3834"/>
    <w:rsid w:val="00BD5923"/>
    <w:rsid w:val="00BD6750"/>
    <w:rsid w:val="00BD7018"/>
    <w:rsid w:val="00BD7A6B"/>
    <w:rsid w:val="00BD7D58"/>
    <w:rsid w:val="00BD7DD0"/>
    <w:rsid w:val="00BE0493"/>
    <w:rsid w:val="00BE0E4F"/>
    <w:rsid w:val="00BE615C"/>
    <w:rsid w:val="00BF4442"/>
    <w:rsid w:val="00BF487A"/>
    <w:rsid w:val="00BF5642"/>
    <w:rsid w:val="00BF640F"/>
    <w:rsid w:val="00BF7129"/>
    <w:rsid w:val="00C033E7"/>
    <w:rsid w:val="00C04166"/>
    <w:rsid w:val="00C06B72"/>
    <w:rsid w:val="00C07DF4"/>
    <w:rsid w:val="00C07EF6"/>
    <w:rsid w:val="00C10836"/>
    <w:rsid w:val="00C11FD0"/>
    <w:rsid w:val="00C122BA"/>
    <w:rsid w:val="00C12986"/>
    <w:rsid w:val="00C12D78"/>
    <w:rsid w:val="00C14885"/>
    <w:rsid w:val="00C15234"/>
    <w:rsid w:val="00C15A52"/>
    <w:rsid w:val="00C15E83"/>
    <w:rsid w:val="00C1632D"/>
    <w:rsid w:val="00C170C0"/>
    <w:rsid w:val="00C17DE9"/>
    <w:rsid w:val="00C204A6"/>
    <w:rsid w:val="00C2197D"/>
    <w:rsid w:val="00C220E4"/>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2588"/>
    <w:rsid w:val="00C443EA"/>
    <w:rsid w:val="00C449C8"/>
    <w:rsid w:val="00C451D8"/>
    <w:rsid w:val="00C4636A"/>
    <w:rsid w:val="00C4663F"/>
    <w:rsid w:val="00C51EEC"/>
    <w:rsid w:val="00C5303D"/>
    <w:rsid w:val="00C53328"/>
    <w:rsid w:val="00C53BC4"/>
    <w:rsid w:val="00C55A51"/>
    <w:rsid w:val="00C55A71"/>
    <w:rsid w:val="00C608B8"/>
    <w:rsid w:val="00C610FD"/>
    <w:rsid w:val="00C632AD"/>
    <w:rsid w:val="00C6348B"/>
    <w:rsid w:val="00C63620"/>
    <w:rsid w:val="00C66BC5"/>
    <w:rsid w:val="00C67434"/>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8CD"/>
    <w:rsid w:val="00CB5257"/>
    <w:rsid w:val="00CB52E3"/>
    <w:rsid w:val="00CB540B"/>
    <w:rsid w:val="00CB7D6E"/>
    <w:rsid w:val="00CC014E"/>
    <w:rsid w:val="00CC1054"/>
    <w:rsid w:val="00CC22A8"/>
    <w:rsid w:val="00CC4104"/>
    <w:rsid w:val="00CC665E"/>
    <w:rsid w:val="00CC6E87"/>
    <w:rsid w:val="00CC79E0"/>
    <w:rsid w:val="00CD059B"/>
    <w:rsid w:val="00CD1748"/>
    <w:rsid w:val="00CD251B"/>
    <w:rsid w:val="00CD25B8"/>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E08"/>
    <w:rsid w:val="00D05F8E"/>
    <w:rsid w:val="00D07BB7"/>
    <w:rsid w:val="00D10BDF"/>
    <w:rsid w:val="00D110CF"/>
    <w:rsid w:val="00D1186B"/>
    <w:rsid w:val="00D11C10"/>
    <w:rsid w:val="00D12DCB"/>
    <w:rsid w:val="00D132FA"/>
    <w:rsid w:val="00D144D9"/>
    <w:rsid w:val="00D1582D"/>
    <w:rsid w:val="00D15D33"/>
    <w:rsid w:val="00D1749C"/>
    <w:rsid w:val="00D17756"/>
    <w:rsid w:val="00D202A1"/>
    <w:rsid w:val="00D20CE3"/>
    <w:rsid w:val="00D214C1"/>
    <w:rsid w:val="00D228CE"/>
    <w:rsid w:val="00D23477"/>
    <w:rsid w:val="00D23754"/>
    <w:rsid w:val="00D24728"/>
    <w:rsid w:val="00D25027"/>
    <w:rsid w:val="00D254BA"/>
    <w:rsid w:val="00D256CC"/>
    <w:rsid w:val="00D2585B"/>
    <w:rsid w:val="00D305E7"/>
    <w:rsid w:val="00D31519"/>
    <w:rsid w:val="00D31E7C"/>
    <w:rsid w:val="00D32C28"/>
    <w:rsid w:val="00D3428F"/>
    <w:rsid w:val="00D3493F"/>
    <w:rsid w:val="00D34D18"/>
    <w:rsid w:val="00D35071"/>
    <w:rsid w:val="00D37B8F"/>
    <w:rsid w:val="00D37D8A"/>
    <w:rsid w:val="00D40574"/>
    <w:rsid w:val="00D41A52"/>
    <w:rsid w:val="00D41B13"/>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80209"/>
    <w:rsid w:val="00D8047B"/>
    <w:rsid w:val="00D81445"/>
    <w:rsid w:val="00D81E47"/>
    <w:rsid w:val="00D82509"/>
    <w:rsid w:val="00D825EA"/>
    <w:rsid w:val="00D82A17"/>
    <w:rsid w:val="00D83995"/>
    <w:rsid w:val="00D83CC0"/>
    <w:rsid w:val="00D83D8F"/>
    <w:rsid w:val="00D84607"/>
    <w:rsid w:val="00D84901"/>
    <w:rsid w:val="00D86250"/>
    <w:rsid w:val="00D8651C"/>
    <w:rsid w:val="00D86879"/>
    <w:rsid w:val="00D87EFC"/>
    <w:rsid w:val="00D91654"/>
    <w:rsid w:val="00D934E5"/>
    <w:rsid w:val="00D93CB3"/>
    <w:rsid w:val="00D94008"/>
    <w:rsid w:val="00D95665"/>
    <w:rsid w:val="00D95848"/>
    <w:rsid w:val="00D96D6A"/>
    <w:rsid w:val="00D96F97"/>
    <w:rsid w:val="00D97421"/>
    <w:rsid w:val="00D97481"/>
    <w:rsid w:val="00D97C66"/>
    <w:rsid w:val="00DA10A4"/>
    <w:rsid w:val="00DA1B90"/>
    <w:rsid w:val="00DA42B5"/>
    <w:rsid w:val="00DA5B20"/>
    <w:rsid w:val="00DA70B4"/>
    <w:rsid w:val="00DA78F5"/>
    <w:rsid w:val="00DB0CC6"/>
    <w:rsid w:val="00DB278E"/>
    <w:rsid w:val="00DB32BF"/>
    <w:rsid w:val="00DB3ABE"/>
    <w:rsid w:val="00DB5B03"/>
    <w:rsid w:val="00DB6078"/>
    <w:rsid w:val="00DB63A4"/>
    <w:rsid w:val="00DB76D9"/>
    <w:rsid w:val="00DB7A60"/>
    <w:rsid w:val="00DC0E99"/>
    <w:rsid w:val="00DC162F"/>
    <w:rsid w:val="00DC2E09"/>
    <w:rsid w:val="00DC330A"/>
    <w:rsid w:val="00DC4A62"/>
    <w:rsid w:val="00DC6559"/>
    <w:rsid w:val="00DC6563"/>
    <w:rsid w:val="00DC6A5E"/>
    <w:rsid w:val="00DC7221"/>
    <w:rsid w:val="00DC7737"/>
    <w:rsid w:val="00DD0F62"/>
    <w:rsid w:val="00DD20B7"/>
    <w:rsid w:val="00DD233A"/>
    <w:rsid w:val="00DD254F"/>
    <w:rsid w:val="00DD2820"/>
    <w:rsid w:val="00DD2851"/>
    <w:rsid w:val="00DD3E38"/>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1356"/>
    <w:rsid w:val="00DF505B"/>
    <w:rsid w:val="00DF631B"/>
    <w:rsid w:val="00DF78FB"/>
    <w:rsid w:val="00E005BB"/>
    <w:rsid w:val="00E006CC"/>
    <w:rsid w:val="00E00849"/>
    <w:rsid w:val="00E019D5"/>
    <w:rsid w:val="00E02095"/>
    <w:rsid w:val="00E05350"/>
    <w:rsid w:val="00E05851"/>
    <w:rsid w:val="00E05AD0"/>
    <w:rsid w:val="00E11F9C"/>
    <w:rsid w:val="00E125C6"/>
    <w:rsid w:val="00E162B6"/>
    <w:rsid w:val="00E1739F"/>
    <w:rsid w:val="00E1746C"/>
    <w:rsid w:val="00E1762B"/>
    <w:rsid w:val="00E179DC"/>
    <w:rsid w:val="00E20610"/>
    <w:rsid w:val="00E24AAC"/>
    <w:rsid w:val="00E258BC"/>
    <w:rsid w:val="00E25EE0"/>
    <w:rsid w:val="00E25FA3"/>
    <w:rsid w:val="00E30C19"/>
    <w:rsid w:val="00E3116D"/>
    <w:rsid w:val="00E35E8A"/>
    <w:rsid w:val="00E368C9"/>
    <w:rsid w:val="00E37663"/>
    <w:rsid w:val="00E3787C"/>
    <w:rsid w:val="00E37E61"/>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56FA"/>
    <w:rsid w:val="00E557C1"/>
    <w:rsid w:val="00E565FB"/>
    <w:rsid w:val="00E56885"/>
    <w:rsid w:val="00E56AC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3F34"/>
    <w:rsid w:val="00E759AB"/>
    <w:rsid w:val="00E75ACD"/>
    <w:rsid w:val="00E76ADF"/>
    <w:rsid w:val="00E772BB"/>
    <w:rsid w:val="00E81AA1"/>
    <w:rsid w:val="00E81FC9"/>
    <w:rsid w:val="00E821BF"/>
    <w:rsid w:val="00E835E9"/>
    <w:rsid w:val="00E840AA"/>
    <w:rsid w:val="00E8466B"/>
    <w:rsid w:val="00E85252"/>
    <w:rsid w:val="00E85665"/>
    <w:rsid w:val="00E858C0"/>
    <w:rsid w:val="00E85E79"/>
    <w:rsid w:val="00E8692D"/>
    <w:rsid w:val="00E87299"/>
    <w:rsid w:val="00E87ACE"/>
    <w:rsid w:val="00E909DF"/>
    <w:rsid w:val="00E90EE0"/>
    <w:rsid w:val="00E9264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26B0"/>
    <w:rsid w:val="00EC3897"/>
    <w:rsid w:val="00EC397A"/>
    <w:rsid w:val="00EC3E42"/>
    <w:rsid w:val="00EC3E4C"/>
    <w:rsid w:val="00EC4745"/>
    <w:rsid w:val="00EC4DF0"/>
    <w:rsid w:val="00EC4FED"/>
    <w:rsid w:val="00EC5A36"/>
    <w:rsid w:val="00EC6B24"/>
    <w:rsid w:val="00EC7073"/>
    <w:rsid w:val="00EC7600"/>
    <w:rsid w:val="00ED3388"/>
    <w:rsid w:val="00ED440C"/>
    <w:rsid w:val="00EE15CE"/>
    <w:rsid w:val="00EE1C69"/>
    <w:rsid w:val="00EE2BC4"/>
    <w:rsid w:val="00EE3379"/>
    <w:rsid w:val="00EE3877"/>
    <w:rsid w:val="00EE52D6"/>
    <w:rsid w:val="00EE6C9E"/>
    <w:rsid w:val="00EE77F7"/>
    <w:rsid w:val="00EE7DB4"/>
    <w:rsid w:val="00EF0435"/>
    <w:rsid w:val="00EF11AE"/>
    <w:rsid w:val="00EF1969"/>
    <w:rsid w:val="00EF2589"/>
    <w:rsid w:val="00EF25EC"/>
    <w:rsid w:val="00EF34B9"/>
    <w:rsid w:val="00EF383F"/>
    <w:rsid w:val="00EF4D92"/>
    <w:rsid w:val="00EF5378"/>
    <w:rsid w:val="00EF573C"/>
    <w:rsid w:val="00EF6541"/>
    <w:rsid w:val="00EF6550"/>
    <w:rsid w:val="00F02B7B"/>
    <w:rsid w:val="00F03384"/>
    <w:rsid w:val="00F04175"/>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2283"/>
    <w:rsid w:val="00F24E5D"/>
    <w:rsid w:val="00F24E6F"/>
    <w:rsid w:val="00F250C0"/>
    <w:rsid w:val="00F25BBC"/>
    <w:rsid w:val="00F26294"/>
    <w:rsid w:val="00F31BDD"/>
    <w:rsid w:val="00F33550"/>
    <w:rsid w:val="00F338E7"/>
    <w:rsid w:val="00F33973"/>
    <w:rsid w:val="00F35F68"/>
    <w:rsid w:val="00F3765A"/>
    <w:rsid w:val="00F40413"/>
    <w:rsid w:val="00F40E31"/>
    <w:rsid w:val="00F42E3D"/>
    <w:rsid w:val="00F43B23"/>
    <w:rsid w:val="00F5030C"/>
    <w:rsid w:val="00F52C95"/>
    <w:rsid w:val="00F5367B"/>
    <w:rsid w:val="00F5387B"/>
    <w:rsid w:val="00F5467E"/>
    <w:rsid w:val="00F54BA5"/>
    <w:rsid w:val="00F54BE0"/>
    <w:rsid w:val="00F54FF0"/>
    <w:rsid w:val="00F57CFE"/>
    <w:rsid w:val="00F60A49"/>
    <w:rsid w:val="00F60F45"/>
    <w:rsid w:val="00F63864"/>
    <w:rsid w:val="00F6407E"/>
    <w:rsid w:val="00F66D2D"/>
    <w:rsid w:val="00F706A8"/>
    <w:rsid w:val="00F71596"/>
    <w:rsid w:val="00F7399D"/>
    <w:rsid w:val="00F73E5E"/>
    <w:rsid w:val="00F74C40"/>
    <w:rsid w:val="00F76033"/>
    <w:rsid w:val="00F7618B"/>
    <w:rsid w:val="00F7699A"/>
    <w:rsid w:val="00F809E7"/>
    <w:rsid w:val="00F80FA5"/>
    <w:rsid w:val="00F8252F"/>
    <w:rsid w:val="00F834E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9A5"/>
    <w:rsid w:val="00FA6B86"/>
    <w:rsid w:val="00FA759D"/>
    <w:rsid w:val="00FB07AF"/>
    <w:rsid w:val="00FB2C32"/>
    <w:rsid w:val="00FB37FF"/>
    <w:rsid w:val="00FB5436"/>
    <w:rsid w:val="00FB57A6"/>
    <w:rsid w:val="00FB5905"/>
    <w:rsid w:val="00FC0D89"/>
    <w:rsid w:val="00FC0FA3"/>
    <w:rsid w:val="00FC1E77"/>
    <w:rsid w:val="00FC41C1"/>
    <w:rsid w:val="00FC4360"/>
    <w:rsid w:val="00FC6328"/>
    <w:rsid w:val="00FC65D9"/>
    <w:rsid w:val="00FC6FB3"/>
    <w:rsid w:val="00FD0B7B"/>
    <w:rsid w:val="00FD1787"/>
    <w:rsid w:val="00FD20F9"/>
    <w:rsid w:val="00FD2772"/>
    <w:rsid w:val="00FD31FF"/>
    <w:rsid w:val="00FE00B5"/>
    <w:rsid w:val="00FE027F"/>
    <w:rsid w:val="00FE2EE5"/>
    <w:rsid w:val="00FE32C0"/>
    <w:rsid w:val="00FE5D0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FBD73D9-9496-48D6-89A5-23831431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FC"/>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3291</Words>
  <Characters>18583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dc:description/>
  <cp:lastModifiedBy>Yang, Fan - OSHA</cp:lastModifiedBy>
  <cp:revision>2</cp:revision>
  <cp:lastPrinted>2025-03-07T19:47:00Z</cp:lastPrinted>
  <dcterms:created xsi:type="dcterms:W3CDTF">2025-06-03T17:54:00Z</dcterms:created>
  <dcterms:modified xsi:type="dcterms:W3CDTF">2025-06-03T17:54:00Z</dcterms:modified>
</cp:coreProperties>
</file>