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6E6C8D7F" w:rsidR="000A134A" w:rsidRPr="0060129A" w:rsidRDefault="002511E9" w:rsidP="0060129A">
      <w:pPr>
        <w:pStyle w:val="Heading1"/>
      </w:pPr>
      <w:bookmarkStart w:id="0" w:name="_Toc118900169"/>
      <w:bookmarkStart w:id="1" w:name="_Toc118905008"/>
      <w:r w:rsidRPr="0060129A">
        <w:t>FY 2</w:t>
      </w:r>
      <w:r w:rsidR="00BD0358" w:rsidRPr="0060129A">
        <w:t>0</w:t>
      </w:r>
      <w:r w:rsidR="00AB512D" w:rsidRPr="0060129A">
        <w:t>24</w:t>
      </w:r>
      <w:r w:rsidR="001C1E47" w:rsidRPr="0060129A">
        <w:t xml:space="preserve"> </w:t>
      </w:r>
      <w:r w:rsidR="000A134A" w:rsidRPr="0060129A">
        <w:t xml:space="preserve">Follow-up </w:t>
      </w:r>
      <w:r w:rsidR="00626033" w:rsidRPr="0060129A">
        <w:t>Federal Annual Monitoring</w:t>
      </w:r>
      <w:r w:rsidR="000A134A" w:rsidRPr="0060129A">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1C1E47" w:rsidRDefault="000A134A" w:rsidP="0061177B">
      <w:pPr>
        <w:widowControl/>
        <w:autoSpaceDE/>
        <w:autoSpaceDN/>
        <w:adjustRightInd/>
        <w:rPr>
          <w:rFonts w:cs="Calibri"/>
          <w:b/>
        </w:rPr>
      </w:pPr>
    </w:p>
    <w:p w14:paraId="58E78B79" w14:textId="7D1A5E60" w:rsidR="00AB512D" w:rsidRPr="0060129A" w:rsidRDefault="00AB512D" w:rsidP="00AB512D">
      <w:pPr>
        <w:widowControl/>
        <w:autoSpaceDE/>
        <w:autoSpaceDN/>
        <w:adjustRightInd/>
        <w:rPr>
          <w:rFonts w:cs="Calibri"/>
          <w:b/>
          <w:sz w:val="40"/>
          <w:szCs w:val="40"/>
        </w:rPr>
      </w:pPr>
      <w:r w:rsidRPr="0060129A">
        <w:rPr>
          <w:rFonts w:cs="Calibri"/>
          <w:b/>
          <w:sz w:val="40"/>
          <w:szCs w:val="40"/>
        </w:rPr>
        <w:t>Kentucky Education and Labor Cabinet</w:t>
      </w:r>
    </w:p>
    <w:p w14:paraId="69741D39" w14:textId="66190D8B" w:rsidR="00AB512D" w:rsidRDefault="00AB512D" w:rsidP="00AB512D">
      <w:pPr>
        <w:widowControl/>
        <w:autoSpaceDE/>
        <w:autoSpaceDN/>
        <w:adjustRightInd/>
        <w:rPr>
          <w:rFonts w:cs="Calibri"/>
          <w:b/>
          <w:sz w:val="40"/>
          <w:szCs w:val="40"/>
        </w:rPr>
      </w:pPr>
      <w:r w:rsidRPr="0060129A">
        <w:rPr>
          <w:rFonts w:cs="Calibri"/>
          <w:b/>
          <w:sz w:val="40"/>
          <w:szCs w:val="40"/>
        </w:rPr>
        <w:t>Department of Workplace Standards</w:t>
      </w:r>
    </w:p>
    <w:p w14:paraId="6AA3B9DA" w14:textId="77777777" w:rsidR="0060129A" w:rsidRPr="0060129A" w:rsidRDefault="0060129A" w:rsidP="00AB512D">
      <w:pPr>
        <w:widowControl/>
        <w:autoSpaceDE/>
        <w:autoSpaceDN/>
        <w:adjustRightInd/>
        <w:rPr>
          <w:rFonts w:cs="Calibri"/>
          <w:b/>
          <w:sz w:val="40"/>
          <w:szCs w:val="40"/>
        </w:rPr>
      </w:pPr>
    </w:p>
    <w:p w14:paraId="670DCD85" w14:textId="77777777" w:rsidR="006B7D49" w:rsidRDefault="00AB512D" w:rsidP="00AB512D">
      <w:pPr>
        <w:widowControl/>
        <w:autoSpaceDE/>
        <w:autoSpaceDN/>
        <w:adjustRightInd/>
        <w:rPr>
          <w:rFonts w:cs="Calibri"/>
          <w:b/>
          <w:sz w:val="36"/>
          <w:szCs w:val="36"/>
        </w:rPr>
      </w:pPr>
      <w:r w:rsidRPr="0060129A">
        <w:rPr>
          <w:rFonts w:cs="Calibri"/>
          <w:b/>
          <w:sz w:val="36"/>
          <w:szCs w:val="36"/>
        </w:rPr>
        <w:t>Occupational Safety and Hea</w:t>
      </w:r>
      <w:r w:rsidR="00091A89" w:rsidRPr="0060129A">
        <w:rPr>
          <w:rFonts w:cs="Calibri"/>
          <w:b/>
          <w:sz w:val="36"/>
          <w:szCs w:val="36"/>
        </w:rPr>
        <w:t>l</w:t>
      </w:r>
      <w:r w:rsidRPr="0060129A">
        <w:rPr>
          <w:rFonts w:cs="Calibri"/>
          <w:b/>
          <w:sz w:val="36"/>
          <w:szCs w:val="36"/>
        </w:rPr>
        <w:t>th Compliance</w:t>
      </w:r>
    </w:p>
    <w:p w14:paraId="560E6AA1" w14:textId="31676801" w:rsidR="00AB512D" w:rsidRPr="0060129A" w:rsidRDefault="006B7D49" w:rsidP="00AB512D">
      <w:pPr>
        <w:widowControl/>
        <w:autoSpaceDE/>
        <w:autoSpaceDN/>
        <w:adjustRightInd/>
        <w:rPr>
          <w:rFonts w:cs="Calibri"/>
          <w:b/>
          <w:sz w:val="36"/>
          <w:szCs w:val="36"/>
        </w:rPr>
      </w:pPr>
      <w:r>
        <w:rPr>
          <w:rFonts w:cs="Calibri"/>
          <w:b/>
          <w:sz w:val="36"/>
          <w:szCs w:val="36"/>
        </w:rPr>
        <w:t xml:space="preserve">Occupational Safety and Health </w:t>
      </w:r>
      <w:r w:rsidR="0060129A" w:rsidRPr="0060129A">
        <w:rPr>
          <w:rFonts w:cs="Calibri"/>
          <w:b/>
          <w:sz w:val="36"/>
          <w:szCs w:val="36"/>
        </w:rPr>
        <w:t xml:space="preserve">Training and Education </w:t>
      </w:r>
    </w:p>
    <w:p w14:paraId="031C95A8" w14:textId="77777777" w:rsidR="00AB512D" w:rsidRDefault="00AB512D" w:rsidP="00AB512D">
      <w:pPr>
        <w:widowControl/>
        <w:autoSpaceDE/>
        <w:autoSpaceDN/>
        <w:adjustRightInd/>
        <w:rPr>
          <w:rFonts w:cs="Calibri"/>
          <w:b/>
          <w:color w:val="0070C0"/>
        </w:rPr>
      </w:pPr>
    </w:p>
    <w:p w14:paraId="2A3E5133" w14:textId="77777777" w:rsidR="000A134A" w:rsidRPr="001C1E47" w:rsidRDefault="000A134A" w:rsidP="0061177B">
      <w:pPr>
        <w:widowControl/>
        <w:autoSpaceDE/>
        <w:autoSpaceDN/>
        <w:adjustRightInd/>
        <w:rPr>
          <w:rFonts w:cs="Calibri"/>
          <w:bCs/>
        </w:rPr>
      </w:pPr>
    </w:p>
    <w:p w14:paraId="33BDDAA9" w14:textId="14C86A55" w:rsidR="000A134A" w:rsidRPr="001C1E47" w:rsidRDefault="00AB512D" w:rsidP="0061177B">
      <w:pPr>
        <w:widowControl/>
        <w:autoSpaceDE/>
        <w:autoSpaceDN/>
        <w:adjustRightInd/>
        <w:rPr>
          <w:rFonts w:cs="Calibri"/>
          <w:bCs/>
        </w:rPr>
      </w:pPr>
      <w:r>
        <w:rPr>
          <w:noProof/>
        </w:rPr>
        <w:drawing>
          <wp:inline distT="0" distB="0" distL="0" distR="0" wp14:anchorId="7F6194C3" wp14:editId="495376F1">
            <wp:extent cx="2862747" cy="1339850"/>
            <wp:effectExtent l="0" t="0" r="0" b="0"/>
            <wp:docPr id="164507140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7140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4213" cy="1345216"/>
                    </a:xfrm>
                    <a:prstGeom prst="rect">
                      <a:avLst/>
                    </a:prstGeom>
                    <a:noFill/>
                    <a:ln>
                      <a:noFill/>
                    </a:ln>
                  </pic:spPr>
                </pic:pic>
              </a:graphicData>
            </a:graphic>
          </wp:inline>
        </w:drawing>
      </w:r>
    </w:p>
    <w:p w14:paraId="0E828210" w14:textId="77777777" w:rsidR="000A134A" w:rsidRPr="001C1E47" w:rsidRDefault="000A134A" w:rsidP="0061177B">
      <w:pPr>
        <w:widowControl/>
        <w:autoSpaceDE/>
        <w:autoSpaceDN/>
        <w:adjustRightInd/>
        <w:rPr>
          <w:rFonts w:cs="Calibri"/>
          <w:bCs/>
        </w:rPr>
      </w:pPr>
    </w:p>
    <w:p w14:paraId="3FC46738" w14:textId="77777777" w:rsidR="000A134A" w:rsidRPr="001C1E47" w:rsidRDefault="000A134A" w:rsidP="0061177B">
      <w:pPr>
        <w:widowControl/>
        <w:autoSpaceDE/>
        <w:autoSpaceDN/>
        <w:adjustRightInd/>
        <w:rPr>
          <w:rFonts w:cs="Calibri"/>
          <w:b/>
        </w:rPr>
      </w:pPr>
    </w:p>
    <w:p w14:paraId="6CB8AD27" w14:textId="3FB4627C" w:rsidR="000A134A" w:rsidRPr="000B3A7F" w:rsidRDefault="000A134A" w:rsidP="001C1E47">
      <w:pPr>
        <w:widowControl/>
        <w:tabs>
          <w:tab w:val="left" w:pos="720"/>
          <w:tab w:val="left" w:pos="1440"/>
          <w:tab w:val="left" w:pos="2160"/>
        </w:tabs>
        <w:autoSpaceDE/>
        <w:autoSpaceDN/>
        <w:adjustRightInd/>
        <w:rPr>
          <w:rFonts w:eastAsia="Batang" w:cs="Calibri"/>
          <w:b/>
          <w:sz w:val="32"/>
          <w:szCs w:val="32"/>
        </w:rPr>
      </w:pPr>
      <w:r w:rsidRPr="000B3A7F">
        <w:rPr>
          <w:rFonts w:eastAsia="Batang" w:cs="Calibri"/>
          <w:b/>
          <w:sz w:val="32"/>
          <w:szCs w:val="32"/>
        </w:rPr>
        <w:t>Ev</w:t>
      </w:r>
      <w:r w:rsidR="00882F2B" w:rsidRPr="000B3A7F">
        <w:rPr>
          <w:rFonts w:eastAsia="Batang" w:cs="Calibri"/>
          <w:b/>
          <w:sz w:val="32"/>
          <w:szCs w:val="32"/>
        </w:rPr>
        <w:t>aluation Period: October 1, 20</w:t>
      </w:r>
      <w:r w:rsidR="00AB512D" w:rsidRPr="000B3A7F">
        <w:rPr>
          <w:rFonts w:eastAsia="Batang" w:cs="Calibri"/>
          <w:b/>
          <w:sz w:val="32"/>
          <w:szCs w:val="32"/>
        </w:rPr>
        <w:t>23</w:t>
      </w:r>
      <w:r w:rsidRPr="000B3A7F">
        <w:rPr>
          <w:rFonts w:eastAsia="Batang" w:cs="Calibri"/>
          <w:b/>
          <w:sz w:val="32"/>
          <w:szCs w:val="32"/>
        </w:rPr>
        <w:t xml:space="preserve"> –</w:t>
      </w:r>
      <w:r w:rsidR="00882F2B" w:rsidRPr="000B3A7F">
        <w:rPr>
          <w:rFonts w:eastAsia="Batang" w:cs="Calibri"/>
          <w:b/>
          <w:sz w:val="32"/>
          <w:szCs w:val="32"/>
        </w:rPr>
        <w:t xml:space="preserve"> September 30, 20</w:t>
      </w:r>
      <w:r w:rsidR="00AB512D" w:rsidRPr="000B3A7F">
        <w:rPr>
          <w:rFonts w:eastAsia="Batang" w:cs="Calibri"/>
          <w:b/>
          <w:sz w:val="32"/>
          <w:szCs w:val="32"/>
        </w:rPr>
        <w:t>24</w:t>
      </w:r>
    </w:p>
    <w:p w14:paraId="03D79AE5" w14:textId="77777777" w:rsidR="000A134A" w:rsidRPr="001C1E47" w:rsidRDefault="000A134A" w:rsidP="007A71AC">
      <w:pPr>
        <w:widowControl/>
        <w:autoSpaceDE/>
        <w:autoSpaceDN/>
        <w:adjustRightInd/>
        <w:jc w:val="center"/>
        <w:rPr>
          <w:rFonts w:cs="Calibri"/>
        </w:rPr>
      </w:pPr>
    </w:p>
    <w:p w14:paraId="221B5785" w14:textId="77777777" w:rsidR="000A134A"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6261C44B" w14:textId="77777777" w:rsidR="0060129A" w:rsidRPr="001C1E47" w:rsidRDefault="0060129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3FC37BA3" w:rsidR="000A134A" w:rsidRPr="000B3A7F"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sz w:val="28"/>
          <w:szCs w:val="28"/>
        </w:rPr>
      </w:pPr>
      <w:r w:rsidRPr="000B3A7F">
        <w:rPr>
          <w:rFonts w:eastAsia="Batang" w:cs="Calibri"/>
          <w:b/>
          <w:sz w:val="28"/>
          <w:szCs w:val="28"/>
        </w:rPr>
        <w:t>Initial Approval Date:</w:t>
      </w:r>
      <w:r w:rsidR="00AB512D" w:rsidRPr="000B3A7F">
        <w:rPr>
          <w:rFonts w:eastAsia="Batang" w:cs="Calibri"/>
          <w:b/>
          <w:sz w:val="28"/>
          <w:szCs w:val="28"/>
        </w:rPr>
        <w:t xml:space="preserve">  July 23, 1973</w:t>
      </w:r>
    </w:p>
    <w:p w14:paraId="3062998A" w14:textId="79BCC0C8" w:rsidR="000A134A" w:rsidRPr="000B3A7F"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sz w:val="28"/>
          <w:szCs w:val="28"/>
        </w:rPr>
      </w:pPr>
      <w:r w:rsidRPr="000B3A7F">
        <w:rPr>
          <w:rFonts w:eastAsia="Batang" w:cs="Calibri"/>
          <w:b/>
          <w:sz w:val="28"/>
          <w:szCs w:val="28"/>
        </w:rPr>
        <w:t xml:space="preserve">Program Certification Date: </w:t>
      </w:r>
      <w:r w:rsidR="00AB512D" w:rsidRPr="000B3A7F">
        <w:rPr>
          <w:rFonts w:eastAsia="Batang" w:cs="Calibri"/>
          <w:b/>
          <w:sz w:val="28"/>
          <w:szCs w:val="28"/>
        </w:rPr>
        <w:t>February 8, 1980</w:t>
      </w:r>
    </w:p>
    <w:p w14:paraId="51A91D4F" w14:textId="51D49936" w:rsidR="000A134A" w:rsidRPr="000B3A7F"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sz w:val="28"/>
          <w:szCs w:val="28"/>
        </w:rPr>
      </w:pPr>
      <w:r w:rsidRPr="000B3A7F">
        <w:rPr>
          <w:rFonts w:eastAsia="Batang" w:cs="Calibri"/>
          <w:b/>
          <w:sz w:val="28"/>
          <w:szCs w:val="28"/>
        </w:rPr>
        <w:t>Final Approval Date:</w:t>
      </w:r>
      <w:r w:rsidR="00AB512D" w:rsidRPr="000B3A7F">
        <w:rPr>
          <w:sz w:val="28"/>
          <w:szCs w:val="28"/>
        </w:rPr>
        <w:t xml:space="preserve">  </w:t>
      </w:r>
      <w:r w:rsidR="00AB512D" w:rsidRPr="000B3A7F">
        <w:rPr>
          <w:rFonts w:eastAsia="Batang" w:cs="Calibri"/>
          <w:b/>
          <w:sz w:val="28"/>
          <w:szCs w:val="28"/>
        </w:rPr>
        <w:t>June 13, 1985</w:t>
      </w:r>
      <w:r w:rsidRPr="000B3A7F">
        <w:rPr>
          <w:rFonts w:eastAsia="Batang" w:cs="Calibri"/>
          <w:b/>
          <w:sz w:val="28"/>
          <w:szCs w:val="28"/>
        </w:rPr>
        <w:t xml:space="preserve"> </w:t>
      </w:r>
    </w:p>
    <w:p w14:paraId="5FD63D8C" w14:textId="77777777" w:rsidR="000A134A" w:rsidRPr="001C1E47" w:rsidRDefault="000A134A" w:rsidP="0061177B">
      <w:pPr>
        <w:widowControl/>
        <w:autoSpaceDE/>
        <w:autoSpaceDN/>
        <w:adjustRightInd/>
        <w:rPr>
          <w:rFonts w:cs="Calibri"/>
          <w:b/>
          <w:bCs/>
        </w:rPr>
      </w:pPr>
    </w:p>
    <w:p w14:paraId="69312D4F"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387FBD0F" w:rsidR="000A134A" w:rsidRPr="001C1E47" w:rsidRDefault="00AB512D" w:rsidP="00C53328">
      <w:pPr>
        <w:widowControl/>
        <w:autoSpaceDE/>
        <w:autoSpaceDN/>
        <w:adjustRightInd/>
        <w:rPr>
          <w:rFonts w:cs="Calibri"/>
          <w:b/>
        </w:rPr>
      </w:pPr>
      <w:r>
        <w:rPr>
          <w:rFonts w:cs="Calibri"/>
          <w:b/>
        </w:rPr>
        <w:t>Birmingham Regional Office</w:t>
      </w:r>
    </w:p>
    <w:p w14:paraId="50EE0B64" w14:textId="453DB76D" w:rsidR="000A134A" w:rsidRPr="00C53328" w:rsidRDefault="00AB512D" w:rsidP="00C53328">
      <w:pPr>
        <w:widowControl/>
        <w:autoSpaceDE/>
        <w:autoSpaceDN/>
        <w:adjustRightInd/>
        <w:rPr>
          <w:rFonts w:cs="Calibri"/>
          <w:b/>
          <w:color w:val="0070C0"/>
        </w:rPr>
      </w:pPr>
      <w:r w:rsidRPr="00AB512D">
        <w:rPr>
          <w:rFonts w:cs="Calibri"/>
          <w:b/>
        </w:rPr>
        <w:t>Birmingham, Alabama</w:t>
      </w:r>
    </w:p>
    <w:p w14:paraId="51A9F615" w14:textId="77777777" w:rsidR="006F4AAE" w:rsidRDefault="006F4AAE">
      <w:pPr>
        <w:widowControl/>
        <w:autoSpaceDE/>
        <w:autoSpaceDN/>
        <w:adjustRightInd/>
        <w:rPr>
          <w:rFonts w:cs="Calibri"/>
          <w:b/>
          <w:sz w:val="28"/>
          <w:szCs w:val="28"/>
        </w:rPr>
      </w:pPr>
    </w:p>
    <w:p w14:paraId="253E64F1" w14:textId="18320301" w:rsidR="002A6CAA" w:rsidRPr="00F43B23" w:rsidRDefault="00F43B23">
      <w:pPr>
        <w:widowControl/>
        <w:autoSpaceDE/>
        <w:autoSpaceDN/>
        <w:adjustRightInd/>
        <w:rPr>
          <w:rFonts w:cs="Calibri"/>
          <w:b/>
          <w:sz w:val="28"/>
          <w:szCs w:val="28"/>
        </w:rPr>
      </w:pPr>
      <w:r w:rsidRPr="00F43B23">
        <w:rPr>
          <w:rFonts w:cs="Calibri"/>
          <w:b/>
          <w:sz w:val="28"/>
          <w:szCs w:val="28"/>
        </w:rPr>
        <w:t>Table of Contents</w:t>
      </w:r>
    </w:p>
    <w:p w14:paraId="161B9969" w14:textId="31CE6A91" w:rsidR="000F63C1" w:rsidRDefault="000F63C1" w:rsidP="4A488747">
      <w:pPr>
        <w:pStyle w:val="TOC2"/>
        <w:tabs>
          <w:tab w:val="left" w:pos="480"/>
          <w:tab w:val="right" w:leader="dot" w:pos="9530"/>
        </w:tabs>
        <w:rPr>
          <w:rFonts w:eastAsiaTheme="minorEastAsia" w:cstheme="minorBidi"/>
          <w:b/>
          <w:noProof/>
          <w:sz w:val="22"/>
          <w:szCs w:val="22"/>
        </w:rPr>
      </w:pPr>
      <w:r>
        <w:fldChar w:fldCharType="begin"/>
      </w:r>
      <w:r>
        <w:instrText xml:space="preserve"> TOC \o "2-3" \h \z \u \t "Level 1,1" </w:instrText>
      </w:r>
      <w:r>
        <w:fldChar w:fldCharType="separate"/>
      </w:r>
      <w:hyperlink w:anchor="_Toc119418663" w:history="1">
        <w:r w:rsidR="11D50563" w:rsidRPr="00B5463F">
          <w:rPr>
            <w:rStyle w:val="Hyperlink"/>
            <w:noProof/>
          </w:rPr>
          <w:t>I.</w:t>
        </w:r>
        <w:r>
          <w:rPr>
            <w:rFonts w:eastAsiaTheme="minorEastAsia" w:cstheme="minorBidi"/>
            <w:b/>
            <w:bCs w:val="0"/>
            <w:noProof/>
            <w:sz w:val="22"/>
            <w:szCs w:val="22"/>
          </w:rPr>
          <w:tab/>
        </w:r>
        <w:r w:rsidR="11D50563"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853FBA">
          <w:rPr>
            <w:noProof/>
            <w:webHidden/>
          </w:rPr>
          <w:t>3</w:t>
        </w:r>
        <w:r>
          <w:rPr>
            <w:noProof/>
            <w:webHidden/>
          </w:rPr>
          <w:fldChar w:fldCharType="end"/>
        </w:r>
      </w:hyperlink>
    </w:p>
    <w:p w14:paraId="3BD91ACD" w14:textId="295B4CE9"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Pr>
            <w:noProof/>
            <w:webHidden/>
          </w:rPr>
          <w:fldChar w:fldCharType="begin"/>
        </w:r>
        <w:r>
          <w:rPr>
            <w:noProof/>
            <w:webHidden/>
          </w:rPr>
          <w:instrText xml:space="preserve"> PAGEREF _Toc119418664 \h </w:instrText>
        </w:r>
        <w:r>
          <w:rPr>
            <w:noProof/>
            <w:webHidden/>
          </w:rPr>
        </w:r>
        <w:r>
          <w:rPr>
            <w:noProof/>
            <w:webHidden/>
          </w:rPr>
          <w:fldChar w:fldCharType="separate"/>
        </w:r>
        <w:r w:rsidR="00853FBA">
          <w:rPr>
            <w:noProof/>
            <w:webHidden/>
          </w:rPr>
          <w:t>4</w:t>
        </w:r>
        <w:r>
          <w:rPr>
            <w:noProof/>
            <w:webHidden/>
          </w:rPr>
          <w:fldChar w:fldCharType="end"/>
        </w:r>
      </w:hyperlink>
    </w:p>
    <w:p w14:paraId="12E60A29" w14:textId="2206B8A4"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sidR="00853FBA">
          <w:rPr>
            <w:noProof/>
            <w:webHidden/>
          </w:rPr>
          <w:t>5</w:t>
        </w:r>
        <w:r>
          <w:rPr>
            <w:noProof/>
            <w:webHidden/>
          </w:rPr>
          <w:fldChar w:fldCharType="end"/>
        </w:r>
      </w:hyperlink>
    </w:p>
    <w:p w14:paraId="1E2078A6" w14:textId="77DD0FC0"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sidR="00853FBA">
          <w:rPr>
            <w:noProof/>
            <w:webHidden/>
          </w:rPr>
          <w:t>5</w:t>
        </w:r>
        <w:r>
          <w:rPr>
            <w:noProof/>
            <w:webHidden/>
          </w:rPr>
          <w:fldChar w:fldCharType="end"/>
        </w:r>
      </w:hyperlink>
    </w:p>
    <w:p w14:paraId="5EC14328" w14:textId="2EA735BC"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Pr>
            <w:noProof/>
            <w:webHidden/>
          </w:rPr>
          <w:fldChar w:fldCharType="begin"/>
        </w:r>
        <w:r>
          <w:rPr>
            <w:noProof/>
            <w:webHidden/>
          </w:rPr>
          <w:instrText xml:space="preserve"> PAGEREF _Toc119418667 \h </w:instrText>
        </w:r>
        <w:r>
          <w:rPr>
            <w:noProof/>
            <w:webHidden/>
          </w:rPr>
        </w:r>
        <w:r>
          <w:rPr>
            <w:noProof/>
            <w:webHidden/>
          </w:rPr>
          <w:fldChar w:fldCharType="separate"/>
        </w:r>
        <w:r w:rsidR="00853FBA">
          <w:rPr>
            <w:noProof/>
            <w:webHidden/>
          </w:rPr>
          <w:t>5</w:t>
        </w:r>
        <w:r>
          <w:rPr>
            <w:noProof/>
            <w:webHidden/>
          </w:rPr>
          <w:fldChar w:fldCharType="end"/>
        </w:r>
      </w:hyperlink>
    </w:p>
    <w:p w14:paraId="373A40FB" w14:textId="2A47896E"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Pr>
            <w:noProof/>
            <w:webHidden/>
          </w:rPr>
          <w:fldChar w:fldCharType="begin"/>
        </w:r>
        <w:r>
          <w:rPr>
            <w:noProof/>
            <w:webHidden/>
          </w:rPr>
          <w:instrText xml:space="preserve"> PAGEREF _Toc119418668 \h </w:instrText>
        </w:r>
        <w:r>
          <w:rPr>
            <w:noProof/>
            <w:webHidden/>
          </w:rPr>
        </w:r>
        <w:r>
          <w:rPr>
            <w:noProof/>
            <w:webHidden/>
          </w:rPr>
          <w:fldChar w:fldCharType="separate"/>
        </w:r>
        <w:r w:rsidR="00853FBA">
          <w:rPr>
            <w:noProof/>
            <w:webHidden/>
          </w:rPr>
          <w:t>8</w:t>
        </w:r>
        <w:r>
          <w:rPr>
            <w:noProof/>
            <w:webHidden/>
          </w:rPr>
          <w:fldChar w:fldCharType="end"/>
        </w:r>
      </w:hyperlink>
    </w:p>
    <w:p w14:paraId="50DBA2CB" w14:textId="04546F1A"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Pr>
            <w:noProof/>
            <w:webHidden/>
          </w:rPr>
          <w:fldChar w:fldCharType="begin"/>
        </w:r>
        <w:r>
          <w:rPr>
            <w:noProof/>
            <w:webHidden/>
          </w:rPr>
          <w:instrText xml:space="preserve"> PAGEREF _Toc119418669 \h </w:instrText>
        </w:r>
        <w:r>
          <w:rPr>
            <w:noProof/>
            <w:webHidden/>
          </w:rPr>
        </w:r>
        <w:r>
          <w:rPr>
            <w:noProof/>
            <w:webHidden/>
          </w:rPr>
          <w:fldChar w:fldCharType="separate"/>
        </w:r>
        <w:r w:rsidR="00853FBA">
          <w:rPr>
            <w:noProof/>
            <w:webHidden/>
          </w:rPr>
          <w:t>10</w:t>
        </w:r>
        <w:r>
          <w:rPr>
            <w:noProof/>
            <w:webHidden/>
          </w:rPr>
          <w:fldChar w:fldCharType="end"/>
        </w:r>
      </w:hyperlink>
    </w:p>
    <w:p w14:paraId="150115C6" w14:textId="75D179B6"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Pr>
            <w:noProof/>
            <w:webHidden/>
          </w:rPr>
          <w:fldChar w:fldCharType="begin"/>
        </w:r>
        <w:r>
          <w:rPr>
            <w:noProof/>
            <w:webHidden/>
          </w:rPr>
          <w:instrText xml:space="preserve"> PAGEREF _Toc119418670 \h </w:instrText>
        </w:r>
        <w:r>
          <w:rPr>
            <w:noProof/>
            <w:webHidden/>
          </w:rPr>
        </w:r>
        <w:r>
          <w:rPr>
            <w:noProof/>
            <w:webHidden/>
          </w:rPr>
          <w:fldChar w:fldCharType="separate"/>
        </w:r>
        <w:r w:rsidR="00853FBA">
          <w:rPr>
            <w:noProof/>
            <w:webHidden/>
          </w:rPr>
          <w:t>11</w:t>
        </w:r>
        <w:r>
          <w:rPr>
            <w:noProof/>
            <w:webHidden/>
          </w:rPr>
          <w:fldChar w:fldCharType="end"/>
        </w:r>
      </w:hyperlink>
    </w:p>
    <w:p w14:paraId="65AD001B" w14:textId="60C657BA"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386C85">
          <w:rPr>
            <w:rStyle w:val="Hyperlink"/>
            <w:noProof/>
          </w:rPr>
          <w:t>23</w:t>
        </w:r>
        <w:r w:rsidRPr="00B5463F">
          <w:rPr>
            <w:rStyle w:val="Hyperlink"/>
            <w:noProof/>
          </w:rPr>
          <w:t xml:space="preserve"> Findings and Recommendations</w:t>
        </w:r>
        <w:r>
          <w:rPr>
            <w:noProof/>
            <w:webHidden/>
          </w:rPr>
          <w:tab/>
        </w:r>
        <w:r>
          <w:rPr>
            <w:noProof/>
            <w:webHidden/>
          </w:rPr>
          <w:fldChar w:fldCharType="begin"/>
        </w:r>
        <w:r>
          <w:rPr>
            <w:noProof/>
            <w:webHidden/>
          </w:rPr>
          <w:instrText xml:space="preserve"> PAGEREF _Toc119418671 \h </w:instrText>
        </w:r>
        <w:r>
          <w:rPr>
            <w:noProof/>
            <w:webHidden/>
          </w:rPr>
        </w:r>
        <w:r>
          <w:rPr>
            <w:noProof/>
            <w:webHidden/>
          </w:rPr>
          <w:fldChar w:fldCharType="separate"/>
        </w:r>
        <w:r w:rsidR="00853FBA">
          <w:rPr>
            <w:noProof/>
            <w:webHidden/>
          </w:rPr>
          <w:t>12</w:t>
        </w:r>
        <w:r>
          <w:rPr>
            <w:noProof/>
            <w:webHidden/>
          </w:rPr>
          <w:fldChar w:fldCharType="end"/>
        </w:r>
      </w:hyperlink>
    </w:p>
    <w:p w14:paraId="38E9E7F9" w14:textId="06A4819E"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AB512D" w:rsidRPr="00AB512D">
          <w:rPr>
            <w:rStyle w:val="Hyperlink"/>
            <w:noProof/>
            <w:color w:val="auto"/>
          </w:rPr>
          <w:t>24</w:t>
        </w:r>
        <w:r w:rsidRPr="00AB512D">
          <w:rPr>
            <w:rStyle w:val="Hyperlink"/>
            <w:noProof/>
            <w:color w:val="auto"/>
          </w:rPr>
          <w:t xml:space="preserve"> </w:t>
        </w:r>
        <w:r w:rsidRPr="00B5463F">
          <w:rPr>
            <w:rStyle w:val="Hyperlink"/>
            <w:noProof/>
          </w:rPr>
          <w:t>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sidR="00853FBA">
          <w:rPr>
            <w:noProof/>
            <w:webHidden/>
          </w:rPr>
          <w:t>1</w:t>
        </w:r>
        <w:r>
          <w:rPr>
            <w:noProof/>
            <w:webHidden/>
          </w:rPr>
          <w:fldChar w:fldCharType="end"/>
        </w:r>
      </w:hyperlink>
      <w:r w:rsidR="003D1B14">
        <w:rPr>
          <w:noProof/>
        </w:rPr>
        <w:t>3</w:t>
      </w:r>
    </w:p>
    <w:p w14:paraId="5025DE29" w14:textId="41EDABB1" w:rsidR="000A134A" w:rsidRPr="0016787F" w:rsidRDefault="000F63C1" w:rsidP="0016787F">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p>
    <w:p w14:paraId="771270D4" w14:textId="77777777" w:rsidR="000B77DC" w:rsidRDefault="000B77DC" w:rsidP="00783189">
      <w:pPr>
        <w:widowControl/>
        <w:autoSpaceDE/>
        <w:autoSpaceDN/>
        <w:adjustRightInd/>
        <w:rPr>
          <w:rFonts w:cs="Calibri"/>
          <w:iCs/>
          <w:color w:val="0070C0"/>
        </w:rPr>
      </w:pPr>
    </w:p>
    <w:p w14:paraId="329D9730" w14:textId="36CE989F" w:rsidR="000B77DC" w:rsidRDefault="000B77DC" w:rsidP="000B77DC">
      <w:pPr>
        <w:widowControl/>
        <w:autoSpaceDE/>
        <w:autoSpaceDN/>
        <w:adjustRightInd/>
        <w:rPr>
          <w:rFonts w:cs="Calibri"/>
          <w:iCs/>
        </w:rPr>
      </w:pPr>
      <w:r w:rsidRPr="00832FF0">
        <w:rPr>
          <w:rFonts w:cs="Calibri"/>
          <w:iCs/>
        </w:rPr>
        <w:t>The purpose of this report is to assess the activities of the</w:t>
      </w:r>
      <w:r w:rsidRPr="00832FF0">
        <w:t xml:space="preserve"> </w:t>
      </w:r>
      <w:r w:rsidRPr="00832FF0">
        <w:rPr>
          <w:rFonts w:cs="Calibri"/>
          <w:iCs/>
        </w:rPr>
        <w:t xml:space="preserve">Kentucky Occupational Safety and Health program </w:t>
      </w:r>
      <w:r w:rsidR="00ED456A" w:rsidRPr="00F02693">
        <w:rPr>
          <w:rFonts w:cs="Calibri"/>
          <w:iCs/>
        </w:rPr>
        <w:t>(</w:t>
      </w:r>
      <w:r w:rsidR="00BC5696" w:rsidRPr="00F02693">
        <w:rPr>
          <w:rFonts w:cs="Calibri"/>
          <w:iCs/>
        </w:rPr>
        <w:t>“</w:t>
      </w:r>
      <w:r w:rsidR="00ED456A" w:rsidRPr="00F02693">
        <w:rPr>
          <w:rFonts w:cs="Calibri"/>
          <w:iCs/>
        </w:rPr>
        <w:t>KY OSH”)</w:t>
      </w:r>
      <w:r w:rsidR="00F02693">
        <w:rPr>
          <w:rFonts w:cs="Calibri"/>
          <w:iCs/>
        </w:rPr>
        <w:t xml:space="preserve"> </w:t>
      </w:r>
      <w:r w:rsidRPr="00832FF0">
        <w:rPr>
          <w:rFonts w:cs="Calibri"/>
          <w:iCs/>
        </w:rPr>
        <w:t>for Fiscal Year (FY) 2024 regarding activities mandated by the Occupational Safety and Health Administration (OSHA).  In addition, this report gauges the State Plan’s progress in resolving any outstanding findings and observations from the previous FY 2023 Comprehensive Federal Annual Monitoring Evaluation (FAME) Report.</w:t>
      </w:r>
    </w:p>
    <w:p w14:paraId="0E04740C" w14:textId="77777777" w:rsidR="000A1ACE" w:rsidRPr="000A1ACE" w:rsidRDefault="000A1ACE" w:rsidP="000B77DC">
      <w:pPr>
        <w:widowControl/>
        <w:autoSpaceDE/>
        <w:autoSpaceDN/>
        <w:adjustRightInd/>
        <w:rPr>
          <w:rFonts w:cs="Calibri"/>
          <w:iCs/>
        </w:rPr>
      </w:pPr>
    </w:p>
    <w:p w14:paraId="2B1EA389" w14:textId="1740E4EA" w:rsidR="001B72F5" w:rsidRDefault="00091A89" w:rsidP="00ED3EB0">
      <w:pPr>
        <w:widowControl/>
        <w:autoSpaceDE/>
        <w:autoSpaceDN/>
        <w:adjustRightInd/>
        <w:rPr>
          <w:rFonts w:cs="Calibri"/>
          <w:iCs/>
        </w:rPr>
      </w:pPr>
      <w:r>
        <w:rPr>
          <w:rFonts w:cs="Calibri"/>
          <w:iCs/>
        </w:rPr>
        <w:t>T</w:t>
      </w:r>
      <w:r w:rsidR="00E51223">
        <w:rPr>
          <w:rFonts w:cs="Calibri"/>
          <w:iCs/>
        </w:rPr>
        <w:t xml:space="preserve">he </w:t>
      </w:r>
      <w:r w:rsidR="00A51D33">
        <w:rPr>
          <w:rFonts w:cs="Calibri"/>
          <w:iCs/>
        </w:rPr>
        <w:t>S</w:t>
      </w:r>
      <w:r w:rsidR="00E51223">
        <w:rPr>
          <w:rFonts w:cs="Calibri"/>
          <w:iCs/>
        </w:rPr>
        <w:t xml:space="preserve">tate </w:t>
      </w:r>
      <w:r w:rsidR="00A51D33">
        <w:rPr>
          <w:rFonts w:cs="Calibri"/>
          <w:iCs/>
        </w:rPr>
        <w:t>P</w:t>
      </w:r>
      <w:r w:rsidR="00E51223">
        <w:rPr>
          <w:rFonts w:cs="Calibri"/>
          <w:iCs/>
        </w:rPr>
        <w:t>lan</w:t>
      </w:r>
      <w:r w:rsidR="00AF3257">
        <w:rPr>
          <w:rFonts w:cs="Calibri"/>
          <w:iCs/>
        </w:rPr>
        <w:t xml:space="preserve"> </w:t>
      </w:r>
      <w:r w:rsidR="000958B8">
        <w:rPr>
          <w:rFonts w:cs="Calibri"/>
          <w:iCs/>
        </w:rPr>
        <w:t>had</w:t>
      </w:r>
      <w:r w:rsidR="001D79C2">
        <w:rPr>
          <w:rFonts w:cs="Calibri"/>
          <w:iCs/>
        </w:rPr>
        <w:t xml:space="preserve"> many </w:t>
      </w:r>
      <w:r w:rsidR="001D79C2" w:rsidRPr="001D79C2">
        <w:rPr>
          <w:rFonts w:cs="Calibri"/>
          <w:iCs/>
        </w:rPr>
        <w:t>successe</w:t>
      </w:r>
      <w:r w:rsidR="001D79C2">
        <w:rPr>
          <w:rFonts w:cs="Calibri"/>
          <w:iCs/>
        </w:rPr>
        <w:t xml:space="preserve">s and </w:t>
      </w:r>
      <w:r w:rsidR="001D79C2" w:rsidRPr="001D79C2">
        <w:rPr>
          <w:rFonts w:cs="Calibri"/>
          <w:iCs/>
        </w:rPr>
        <w:t xml:space="preserve">successful initiatives </w:t>
      </w:r>
      <w:r w:rsidR="000958B8">
        <w:rPr>
          <w:rFonts w:cs="Calibri"/>
          <w:iCs/>
        </w:rPr>
        <w:t>which</w:t>
      </w:r>
      <w:r w:rsidR="001D79C2" w:rsidRPr="001D79C2">
        <w:rPr>
          <w:rFonts w:cs="Calibri"/>
          <w:iCs/>
        </w:rPr>
        <w:t xml:space="preserve"> occurred in FY</w:t>
      </w:r>
      <w:r w:rsidR="00432219">
        <w:rPr>
          <w:rFonts w:cs="Calibri"/>
          <w:iCs/>
        </w:rPr>
        <w:t xml:space="preserve"> </w:t>
      </w:r>
      <w:r w:rsidR="001D79C2" w:rsidRPr="001D79C2">
        <w:rPr>
          <w:rFonts w:cs="Calibri"/>
          <w:iCs/>
        </w:rPr>
        <w:t>2</w:t>
      </w:r>
      <w:r w:rsidR="0011789B">
        <w:rPr>
          <w:rFonts w:cs="Calibri"/>
          <w:iCs/>
        </w:rPr>
        <w:t>02</w:t>
      </w:r>
      <w:r w:rsidR="001D79C2" w:rsidRPr="001D79C2">
        <w:rPr>
          <w:rFonts w:cs="Calibri"/>
          <w:iCs/>
        </w:rPr>
        <w:t>4</w:t>
      </w:r>
      <w:r w:rsidR="008350F1">
        <w:rPr>
          <w:rFonts w:cs="Calibri"/>
          <w:iCs/>
        </w:rPr>
        <w:t xml:space="preserve"> to </w:t>
      </w:r>
      <w:r w:rsidR="002E127D">
        <w:rPr>
          <w:rFonts w:cs="Calibri"/>
          <w:iCs/>
        </w:rPr>
        <w:t>lower work related injuries and illnesses in Kentucky</w:t>
      </w:r>
      <w:r w:rsidR="009C74F0">
        <w:rPr>
          <w:rFonts w:cs="Calibri"/>
          <w:iCs/>
        </w:rPr>
        <w:t>:</w:t>
      </w:r>
      <w:r w:rsidR="00E642A9">
        <w:rPr>
          <w:rFonts w:cs="Calibri"/>
          <w:iCs/>
        </w:rPr>
        <w:t xml:space="preserve"> </w:t>
      </w:r>
    </w:p>
    <w:p w14:paraId="6C678C15" w14:textId="77777777" w:rsidR="0048798C" w:rsidRDefault="0048798C" w:rsidP="00ED3EB0">
      <w:pPr>
        <w:widowControl/>
        <w:autoSpaceDE/>
        <w:autoSpaceDN/>
        <w:adjustRightInd/>
        <w:rPr>
          <w:rFonts w:cs="Calibri"/>
          <w:iCs/>
        </w:rPr>
      </w:pPr>
    </w:p>
    <w:p w14:paraId="589F1E1B" w14:textId="73B0E814" w:rsidR="001B72F5" w:rsidRPr="00E322AE" w:rsidRDefault="00F24978" w:rsidP="001B72F5">
      <w:pPr>
        <w:pStyle w:val="ListParagraph"/>
        <w:numPr>
          <w:ilvl w:val="0"/>
          <w:numId w:val="13"/>
        </w:numPr>
        <w:rPr>
          <w:iCs/>
          <w:sz w:val="24"/>
          <w:szCs w:val="24"/>
        </w:rPr>
      </w:pPr>
      <w:r w:rsidRPr="00E322AE">
        <w:rPr>
          <w:iCs/>
          <w:sz w:val="24"/>
          <w:szCs w:val="24"/>
        </w:rPr>
        <w:t>KY OSH</w:t>
      </w:r>
      <w:r w:rsidR="00E322AE">
        <w:rPr>
          <w:iCs/>
          <w:sz w:val="24"/>
          <w:szCs w:val="24"/>
        </w:rPr>
        <w:t xml:space="preserve"> </w:t>
      </w:r>
      <w:r w:rsidR="002F6C6A">
        <w:rPr>
          <w:iCs/>
          <w:sz w:val="24"/>
          <w:szCs w:val="24"/>
        </w:rPr>
        <w:t>C</w:t>
      </w:r>
      <w:r w:rsidR="00E322AE">
        <w:rPr>
          <w:iCs/>
          <w:sz w:val="24"/>
          <w:szCs w:val="24"/>
        </w:rPr>
        <w:t>onsultation</w:t>
      </w:r>
      <w:r w:rsidR="00ED456A" w:rsidRPr="00F02693">
        <w:rPr>
          <w:iCs/>
          <w:sz w:val="24"/>
          <w:szCs w:val="24"/>
        </w:rPr>
        <w:t>, also known as KYSAFE,</w:t>
      </w:r>
      <w:r w:rsidR="00090C19" w:rsidRPr="00E322AE">
        <w:rPr>
          <w:iCs/>
          <w:sz w:val="24"/>
          <w:szCs w:val="24"/>
        </w:rPr>
        <w:t xml:space="preserve"> identified 3,138 serious hazards that exposed 49,234 employees and saved employers up to $21,959,000 in potential penalties. </w:t>
      </w:r>
      <w:r w:rsidRPr="00E322AE">
        <w:rPr>
          <w:iCs/>
          <w:sz w:val="24"/>
          <w:szCs w:val="24"/>
        </w:rPr>
        <w:t>KY OSH</w:t>
      </w:r>
      <w:r w:rsidR="00090C19" w:rsidRPr="00E322AE">
        <w:rPr>
          <w:iCs/>
          <w:sz w:val="24"/>
          <w:szCs w:val="24"/>
        </w:rPr>
        <w:t xml:space="preserve"> also identified 1,015 other than serious hazards that exposed 20,450 employees and saved employers $2,030,000 in potential penalties.</w:t>
      </w:r>
      <w:r w:rsidR="00E72E3A" w:rsidRPr="00E322AE">
        <w:rPr>
          <w:iCs/>
          <w:sz w:val="24"/>
          <w:szCs w:val="24"/>
        </w:rPr>
        <w:t xml:space="preserve">  </w:t>
      </w:r>
    </w:p>
    <w:p w14:paraId="35BA9E19" w14:textId="692EC2C8" w:rsidR="00B46259" w:rsidRPr="00E322AE" w:rsidRDefault="00E72E3A" w:rsidP="001B72F5">
      <w:pPr>
        <w:pStyle w:val="ListParagraph"/>
        <w:numPr>
          <w:ilvl w:val="0"/>
          <w:numId w:val="13"/>
        </w:numPr>
        <w:rPr>
          <w:iCs/>
          <w:sz w:val="24"/>
          <w:szCs w:val="24"/>
        </w:rPr>
      </w:pPr>
      <w:r w:rsidRPr="00E322AE">
        <w:rPr>
          <w:iCs/>
          <w:sz w:val="24"/>
          <w:szCs w:val="24"/>
        </w:rPr>
        <w:t xml:space="preserve">The </w:t>
      </w:r>
      <w:r w:rsidR="00ED456A" w:rsidRPr="00F02693">
        <w:rPr>
          <w:iCs/>
          <w:sz w:val="24"/>
          <w:szCs w:val="24"/>
        </w:rPr>
        <w:t xml:space="preserve">KYSAFE </w:t>
      </w:r>
      <w:r w:rsidRPr="00E322AE">
        <w:rPr>
          <w:iCs/>
          <w:sz w:val="24"/>
          <w:szCs w:val="24"/>
        </w:rPr>
        <w:t>Partnership Branch maintain</w:t>
      </w:r>
      <w:r w:rsidR="0011789B" w:rsidRPr="00E322AE">
        <w:rPr>
          <w:iCs/>
          <w:sz w:val="24"/>
          <w:szCs w:val="24"/>
        </w:rPr>
        <w:t>ed</w:t>
      </w:r>
      <w:r w:rsidRPr="00E322AE">
        <w:rPr>
          <w:iCs/>
          <w:sz w:val="24"/>
          <w:szCs w:val="24"/>
        </w:rPr>
        <w:t xml:space="preserve"> </w:t>
      </w:r>
      <w:r w:rsidR="00E322AE">
        <w:rPr>
          <w:iCs/>
          <w:sz w:val="24"/>
          <w:szCs w:val="24"/>
        </w:rPr>
        <w:t>19</w:t>
      </w:r>
      <w:r w:rsidRPr="00E322AE">
        <w:rPr>
          <w:iCs/>
          <w:sz w:val="24"/>
          <w:szCs w:val="24"/>
        </w:rPr>
        <w:t xml:space="preserve"> VPP sites.</w:t>
      </w:r>
      <w:r w:rsidR="00F2111F" w:rsidRPr="00E322AE">
        <w:rPr>
          <w:iCs/>
          <w:sz w:val="24"/>
          <w:szCs w:val="24"/>
        </w:rPr>
        <w:t xml:space="preserve"> </w:t>
      </w:r>
    </w:p>
    <w:p w14:paraId="62DCCB28" w14:textId="5A7237C0" w:rsidR="001B72F5" w:rsidRPr="00E322AE" w:rsidRDefault="00F24978" w:rsidP="001B72F5">
      <w:pPr>
        <w:pStyle w:val="ListParagraph"/>
        <w:numPr>
          <w:ilvl w:val="0"/>
          <w:numId w:val="13"/>
        </w:numPr>
        <w:rPr>
          <w:iCs/>
          <w:sz w:val="24"/>
          <w:szCs w:val="24"/>
        </w:rPr>
      </w:pPr>
      <w:r w:rsidRPr="00E322AE">
        <w:rPr>
          <w:iCs/>
          <w:sz w:val="24"/>
          <w:szCs w:val="24"/>
        </w:rPr>
        <w:t>KY OSH</w:t>
      </w:r>
      <w:r w:rsidR="00F2111F" w:rsidRPr="00E322AE">
        <w:rPr>
          <w:iCs/>
          <w:sz w:val="24"/>
          <w:szCs w:val="24"/>
        </w:rPr>
        <w:t xml:space="preserve"> continue</w:t>
      </w:r>
      <w:r w:rsidR="0011789B" w:rsidRPr="00E322AE">
        <w:rPr>
          <w:iCs/>
          <w:sz w:val="24"/>
          <w:szCs w:val="24"/>
        </w:rPr>
        <w:t>d</w:t>
      </w:r>
      <w:r w:rsidR="00F2111F" w:rsidRPr="00E322AE">
        <w:rPr>
          <w:iCs/>
          <w:sz w:val="24"/>
          <w:szCs w:val="24"/>
        </w:rPr>
        <w:t xml:space="preserve"> to focus on the construction industry by promoting </w:t>
      </w:r>
      <w:r w:rsidR="00735B25" w:rsidRPr="00E322AE">
        <w:rPr>
          <w:iCs/>
          <w:sz w:val="24"/>
          <w:szCs w:val="24"/>
        </w:rPr>
        <w:t>their Construction Partnership Program (CPP)</w:t>
      </w:r>
      <w:r w:rsidR="00F2111F" w:rsidRPr="00E322AE">
        <w:rPr>
          <w:iCs/>
          <w:sz w:val="24"/>
          <w:szCs w:val="24"/>
        </w:rPr>
        <w:t xml:space="preserve">. There were </w:t>
      </w:r>
      <w:r w:rsidR="00E322AE">
        <w:rPr>
          <w:iCs/>
          <w:sz w:val="24"/>
          <w:szCs w:val="24"/>
        </w:rPr>
        <w:t>29</w:t>
      </w:r>
      <w:r w:rsidR="00F2111F" w:rsidRPr="00E322AE">
        <w:rPr>
          <w:iCs/>
          <w:sz w:val="24"/>
          <w:szCs w:val="24"/>
        </w:rPr>
        <w:t xml:space="preserve"> active </w:t>
      </w:r>
      <w:r w:rsidR="00ED456A" w:rsidRPr="00F02693">
        <w:rPr>
          <w:iCs/>
          <w:sz w:val="24"/>
          <w:szCs w:val="24"/>
        </w:rPr>
        <w:t>KYSAFE</w:t>
      </w:r>
      <w:r w:rsidR="00ED456A">
        <w:rPr>
          <w:iCs/>
          <w:sz w:val="24"/>
          <w:szCs w:val="24"/>
        </w:rPr>
        <w:t xml:space="preserve"> </w:t>
      </w:r>
      <w:r w:rsidR="00F2111F" w:rsidRPr="00E322AE">
        <w:rPr>
          <w:iCs/>
          <w:sz w:val="24"/>
          <w:szCs w:val="24"/>
        </w:rPr>
        <w:t>CPP sites in FY 2024 with a total project cost of approximately $12 billion. There were 61 site audits with CPP sites in FY 2024 affecting 9,023</w:t>
      </w:r>
      <w:r w:rsidR="00735B25" w:rsidRPr="00E322AE">
        <w:rPr>
          <w:iCs/>
          <w:sz w:val="24"/>
          <w:szCs w:val="24"/>
        </w:rPr>
        <w:t xml:space="preserve"> </w:t>
      </w:r>
      <w:r w:rsidR="00F2111F" w:rsidRPr="00E322AE">
        <w:rPr>
          <w:iCs/>
          <w:sz w:val="24"/>
          <w:szCs w:val="24"/>
        </w:rPr>
        <w:t>employees.</w:t>
      </w:r>
      <w:r w:rsidR="00DB542C" w:rsidRPr="00E322AE">
        <w:rPr>
          <w:iCs/>
          <w:sz w:val="24"/>
          <w:szCs w:val="24"/>
        </w:rPr>
        <w:t xml:space="preserve">  </w:t>
      </w:r>
    </w:p>
    <w:p w14:paraId="5423DED6" w14:textId="58AF158E" w:rsidR="001B72F5" w:rsidRPr="00CF5669" w:rsidRDefault="00ED456A" w:rsidP="00CF5669">
      <w:pPr>
        <w:pStyle w:val="ListParagraph"/>
        <w:numPr>
          <w:ilvl w:val="0"/>
          <w:numId w:val="13"/>
        </w:numPr>
        <w:rPr>
          <w:iCs/>
          <w:sz w:val="24"/>
          <w:szCs w:val="24"/>
        </w:rPr>
      </w:pPr>
      <w:r w:rsidRPr="00F02693">
        <w:rPr>
          <w:iCs/>
          <w:sz w:val="24"/>
          <w:szCs w:val="24"/>
        </w:rPr>
        <w:t>KYSAFE</w:t>
      </w:r>
      <w:r w:rsidR="00CF5669" w:rsidRPr="00F02693">
        <w:rPr>
          <w:iCs/>
          <w:sz w:val="24"/>
          <w:szCs w:val="24"/>
        </w:rPr>
        <w:t xml:space="preserve"> </w:t>
      </w:r>
      <w:r w:rsidR="00CF5669" w:rsidRPr="00CF5669">
        <w:rPr>
          <w:iCs/>
          <w:sz w:val="24"/>
          <w:szCs w:val="24"/>
        </w:rPr>
        <w:t xml:space="preserve">had 14 active SHARP sites in FY 2024.  </w:t>
      </w:r>
    </w:p>
    <w:p w14:paraId="54AA78AD" w14:textId="73797749" w:rsidR="001B72F5" w:rsidRPr="00E322AE" w:rsidRDefault="00ED456A" w:rsidP="001B72F5">
      <w:pPr>
        <w:pStyle w:val="ListParagraph"/>
        <w:numPr>
          <w:ilvl w:val="0"/>
          <w:numId w:val="13"/>
        </w:numPr>
        <w:rPr>
          <w:iCs/>
          <w:sz w:val="24"/>
          <w:szCs w:val="24"/>
        </w:rPr>
      </w:pPr>
      <w:r w:rsidRPr="00F02693">
        <w:rPr>
          <w:iCs/>
          <w:sz w:val="24"/>
          <w:szCs w:val="24"/>
        </w:rPr>
        <w:t>KYSAFE partnership</w:t>
      </w:r>
      <w:r w:rsidR="00F02693">
        <w:rPr>
          <w:iCs/>
          <w:sz w:val="24"/>
          <w:szCs w:val="24"/>
        </w:rPr>
        <w:t xml:space="preserve"> </w:t>
      </w:r>
      <w:r w:rsidR="00DB542C" w:rsidRPr="00E322AE">
        <w:rPr>
          <w:iCs/>
          <w:sz w:val="24"/>
          <w:szCs w:val="24"/>
        </w:rPr>
        <w:t>staff conducted</w:t>
      </w:r>
      <w:r w:rsidR="00FE5E64">
        <w:rPr>
          <w:iCs/>
          <w:sz w:val="24"/>
          <w:szCs w:val="24"/>
        </w:rPr>
        <w:t xml:space="preserve"> </w:t>
      </w:r>
      <w:r w:rsidR="00DB542C" w:rsidRPr="00E322AE">
        <w:rPr>
          <w:iCs/>
          <w:sz w:val="24"/>
          <w:szCs w:val="24"/>
        </w:rPr>
        <w:t>12 excavation interventions in FY 2024</w:t>
      </w:r>
      <w:r w:rsidR="00F02693">
        <w:rPr>
          <w:iCs/>
          <w:sz w:val="24"/>
          <w:szCs w:val="24"/>
        </w:rPr>
        <w:t>.</w:t>
      </w:r>
    </w:p>
    <w:p w14:paraId="49CAF30C" w14:textId="39430E62" w:rsidR="001B72F5" w:rsidRPr="00E322AE" w:rsidRDefault="00F4767B" w:rsidP="001B72F5">
      <w:pPr>
        <w:pStyle w:val="ListParagraph"/>
        <w:numPr>
          <w:ilvl w:val="0"/>
          <w:numId w:val="13"/>
        </w:numPr>
        <w:rPr>
          <w:iCs/>
          <w:sz w:val="24"/>
          <w:szCs w:val="24"/>
        </w:rPr>
      </w:pPr>
      <w:r w:rsidRPr="00E322AE">
        <w:rPr>
          <w:iCs/>
          <w:sz w:val="24"/>
          <w:szCs w:val="24"/>
        </w:rPr>
        <w:t xml:space="preserve">In a continuing effort to address staff recruitment and retention, </w:t>
      </w:r>
      <w:r w:rsidR="00ED456A" w:rsidRPr="00F02693">
        <w:rPr>
          <w:iCs/>
          <w:sz w:val="24"/>
          <w:szCs w:val="24"/>
        </w:rPr>
        <w:t>a</w:t>
      </w:r>
      <w:r w:rsidR="00F02693">
        <w:rPr>
          <w:iCs/>
          <w:sz w:val="24"/>
          <w:szCs w:val="24"/>
        </w:rPr>
        <w:t xml:space="preserve"> </w:t>
      </w:r>
      <w:r w:rsidRPr="00E322AE">
        <w:rPr>
          <w:iCs/>
          <w:sz w:val="24"/>
          <w:szCs w:val="24"/>
        </w:rPr>
        <w:t xml:space="preserve">salary increase was </w:t>
      </w:r>
      <w:r w:rsidR="00C60696">
        <w:rPr>
          <w:iCs/>
          <w:sz w:val="24"/>
          <w:szCs w:val="24"/>
        </w:rPr>
        <w:t>implemented</w:t>
      </w:r>
      <w:r w:rsidRPr="00E322AE">
        <w:rPr>
          <w:iCs/>
          <w:sz w:val="24"/>
          <w:szCs w:val="24"/>
        </w:rPr>
        <w:t xml:space="preserve"> in </w:t>
      </w:r>
      <w:r w:rsidR="00A33840" w:rsidRPr="00E322AE">
        <w:rPr>
          <w:iCs/>
          <w:sz w:val="24"/>
          <w:szCs w:val="24"/>
        </w:rPr>
        <w:t>FY</w:t>
      </w:r>
      <w:r w:rsidRPr="00E322AE">
        <w:rPr>
          <w:iCs/>
          <w:sz w:val="24"/>
          <w:szCs w:val="24"/>
        </w:rPr>
        <w:t xml:space="preserve"> 2024 for all OSH compliance officers and </w:t>
      </w:r>
      <w:r w:rsidR="00F24978" w:rsidRPr="00E322AE">
        <w:rPr>
          <w:iCs/>
          <w:sz w:val="24"/>
          <w:szCs w:val="24"/>
        </w:rPr>
        <w:t>KY OSH</w:t>
      </w:r>
      <w:r w:rsidRPr="00E322AE">
        <w:rPr>
          <w:iCs/>
          <w:sz w:val="24"/>
          <w:szCs w:val="24"/>
        </w:rPr>
        <w:t xml:space="preserve"> consultants.</w:t>
      </w:r>
      <w:r w:rsidR="00ED3EB0" w:rsidRPr="00E322AE">
        <w:rPr>
          <w:iCs/>
          <w:sz w:val="24"/>
          <w:szCs w:val="24"/>
        </w:rPr>
        <w:t xml:space="preserve">  </w:t>
      </w:r>
    </w:p>
    <w:p w14:paraId="32154A31" w14:textId="6D8E1F9F" w:rsidR="2773EDED" w:rsidRDefault="00B54A1D" w:rsidP="00EC30D6">
      <w:pPr>
        <w:pStyle w:val="ListParagraph"/>
        <w:numPr>
          <w:ilvl w:val="0"/>
          <w:numId w:val="13"/>
        </w:numPr>
      </w:pPr>
      <w:r w:rsidRPr="00EC30D6">
        <w:rPr>
          <w:iCs/>
          <w:sz w:val="24"/>
          <w:szCs w:val="24"/>
        </w:rPr>
        <w:t>In FY 2024,</w:t>
      </w:r>
      <w:r w:rsidR="00ED3EB0" w:rsidRPr="00EC30D6">
        <w:rPr>
          <w:iCs/>
          <w:sz w:val="24"/>
          <w:szCs w:val="24"/>
        </w:rPr>
        <w:t xml:space="preserve"> </w:t>
      </w:r>
      <w:r w:rsidR="00ED456A" w:rsidRPr="00F02693">
        <w:rPr>
          <w:iCs/>
          <w:sz w:val="24"/>
          <w:szCs w:val="24"/>
        </w:rPr>
        <w:t>KYSAF</w:t>
      </w:r>
      <w:r w:rsidR="00F02693" w:rsidRPr="00F02693">
        <w:rPr>
          <w:iCs/>
          <w:sz w:val="24"/>
          <w:szCs w:val="24"/>
        </w:rPr>
        <w:t>E</w:t>
      </w:r>
      <w:r w:rsidR="00ED3EB0" w:rsidRPr="00EC30D6">
        <w:rPr>
          <w:iCs/>
          <w:sz w:val="24"/>
          <w:szCs w:val="24"/>
        </w:rPr>
        <w:t xml:space="preserve"> conducted</w:t>
      </w:r>
      <w:r w:rsidR="00E82563" w:rsidRPr="00EC30D6">
        <w:rPr>
          <w:iCs/>
          <w:sz w:val="24"/>
          <w:szCs w:val="24"/>
        </w:rPr>
        <w:t xml:space="preserve"> </w:t>
      </w:r>
      <w:r w:rsidR="00ED3EB0" w:rsidRPr="00EC30D6">
        <w:rPr>
          <w:iCs/>
          <w:sz w:val="24"/>
          <w:szCs w:val="24"/>
        </w:rPr>
        <w:t>43 face-to-face training courses in response to employer specific requests that reached 1,494 attendees. Thirty-six training sessions were</w:t>
      </w:r>
      <w:r w:rsidR="001B72F5" w:rsidRPr="00EC30D6">
        <w:rPr>
          <w:iCs/>
          <w:sz w:val="24"/>
          <w:szCs w:val="24"/>
        </w:rPr>
        <w:t xml:space="preserve"> </w:t>
      </w:r>
      <w:r w:rsidR="00ED3EB0" w:rsidRPr="00EC30D6">
        <w:rPr>
          <w:iCs/>
          <w:sz w:val="24"/>
          <w:szCs w:val="24"/>
        </w:rPr>
        <w:t xml:space="preserve">presented at five </w:t>
      </w:r>
      <w:r w:rsidR="69386116" w:rsidRPr="4A488747">
        <w:rPr>
          <w:sz w:val="24"/>
          <w:szCs w:val="24"/>
        </w:rPr>
        <w:t>Population</w:t>
      </w:r>
      <w:r w:rsidR="00ED3EB0" w:rsidRPr="00EC30D6">
        <w:rPr>
          <w:iCs/>
          <w:sz w:val="24"/>
          <w:szCs w:val="24"/>
        </w:rPr>
        <w:t xml:space="preserve"> Center training seminars; 728 participants attended the training.</w:t>
      </w:r>
      <w:r w:rsidR="00537DA3" w:rsidRPr="00EC30D6">
        <w:rPr>
          <w:iCs/>
          <w:sz w:val="24"/>
          <w:szCs w:val="24"/>
        </w:rPr>
        <w:t xml:space="preserve"> </w:t>
      </w:r>
    </w:p>
    <w:p w14:paraId="48284335" w14:textId="5768E281" w:rsidR="000B77DC" w:rsidRPr="00EC30D6" w:rsidRDefault="00C62070" w:rsidP="00EC30D6">
      <w:pPr>
        <w:rPr>
          <w:iCs/>
        </w:rPr>
      </w:pPr>
      <w:r w:rsidRPr="00EC30D6">
        <w:t>KY OSH</w:t>
      </w:r>
      <w:r w:rsidR="000B77DC" w:rsidRPr="00EC30D6">
        <w:t xml:space="preserve"> continually worked to make progress on findings and observations from the FY23 Comprehensive FAME. </w:t>
      </w:r>
      <w:r w:rsidR="00432219" w:rsidRPr="00EC30D6">
        <w:t>E</w:t>
      </w:r>
      <w:r w:rsidR="000B77DC" w:rsidRPr="00EC30D6">
        <w:t>mployee turnover rates</w:t>
      </w:r>
      <w:r w:rsidR="00832FF0" w:rsidRPr="00EC30D6">
        <w:t xml:space="preserve">, </w:t>
      </w:r>
      <w:r w:rsidR="00984EC6" w:rsidRPr="00EC30D6">
        <w:t>high volume</w:t>
      </w:r>
      <w:r w:rsidR="00832FF0" w:rsidRPr="00EC30D6">
        <w:t xml:space="preserve"> of complaints</w:t>
      </w:r>
      <w:r w:rsidR="000B77DC" w:rsidRPr="00EC30D6">
        <w:t xml:space="preserve"> and </w:t>
      </w:r>
      <w:r w:rsidR="00AF47C0" w:rsidRPr="00EC30D6">
        <w:t>blocks</w:t>
      </w:r>
      <w:r w:rsidR="000B77DC" w:rsidRPr="00EC30D6">
        <w:t xml:space="preserve"> in passing legislation to increase penalties were challenges the program continued to face in FY 2024. </w:t>
      </w:r>
    </w:p>
    <w:p w14:paraId="40342E61" w14:textId="2D8C9F30" w:rsidR="000B77DC" w:rsidRPr="00832FF0" w:rsidRDefault="000B77DC" w:rsidP="000B77DC">
      <w:pPr>
        <w:widowControl/>
        <w:autoSpaceDE/>
        <w:autoSpaceDN/>
        <w:adjustRightInd/>
        <w:rPr>
          <w:rFonts w:cs="Calibri"/>
          <w:iCs/>
        </w:rPr>
      </w:pPr>
      <w:r w:rsidRPr="00832FF0">
        <w:rPr>
          <w:rFonts w:cs="Calibri"/>
          <w:iCs/>
        </w:rPr>
        <w:t>The FY 2024 follow-up FAME report contains</w:t>
      </w:r>
      <w:r w:rsidR="00AF47C0" w:rsidRPr="00AF47C0">
        <w:rPr>
          <w:rFonts w:cs="Calibri"/>
          <w:iCs/>
        </w:rPr>
        <w:t xml:space="preserve"> three findings (two continued, one new) and </w:t>
      </w:r>
      <w:r w:rsidR="003E37AD">
        <w:rPr>
          <w:rFonts w:cs="Calibri"/>
          <w:iCs/>
        </w:rPr>
        <w:t>zero</w:t>
      </w:r>
      <w:r w:rsidR="00AF47C0" w:rsidRPr="00AF47C0">
        <w:rPr>
          <w:rFonts w:cs="Calibri"/>
          <w:iCs/>
        </w:rPr>
        <w:t xml:space="preserve"> observation</w:t>
      </w:r>
      <w:r w:rsidR="003E37AD">
        <w:rPr>
          <w:rFonts w:cs="Calibri"/>
          <w:iCs/>
        </w:rPr>
        <w:t>s</w:t>
      </w:r>
      <w:r w:rsidR="00AF47C0" w:rsidRPr="00AF47C0">
        <w:rPr>
          <w:rFonts w:cs="Calibri"/>
          <w:iCs/>
        </w:rPr>
        <w:t>.  Zero findings were completed, one observation was c</w:t>
      </w:r>
      <w:r w:rsidR="003E37AD">
        <w:rPr>
          <w:rFonts w:cs="Calibri"/>
          <w:iCs/>
        </w:rPr>
        <w:t>losed</w:t>
      </w:r>
      <w:r w:rsidR="00AF47C0" w:rsidRPr="00AF47C0">
        <w:rPr>
          <w:rFonts w:cs="Calibri"/>
          <w:iCs/>
        </w:rPr>
        <w:t xml:space="preserve">, and one observation was converted to a finding.  </w:t>
      </w:r>
      <w:r w:rsidR="00984EC6">
        <w:rPr>
          <w:rFonts w:cs="Calibri"/>
          <w:iCs/>
        </w:rPr>
        <w:t xml:space="preserve"> </w:t>
      </w:r>
      <w:r w:rsidRPr="00832FF0">
        <w:rPr>
          <w:rFonts w:cs="Calibri"/>
          <w:iCs/>
        </w:rPr>
        <w:t xml:space="preserve">  </w:t>
      </w:r>
    </w:p>
    <w:p w14:paraId="2C733F63" w14:textId="77777777" w:rsidR="00CF20AA" w:rsidRPr="001C1E47" w:rsidRDefault="00CF20AA" w:rsidP="00783189">
      <w:pPr>
        <w:widowControl/>
        <w:autoSpaceDE/>
        <w:autoSpaceDN/>
        <w:adjustRightInd/>
        <w:rPr>
          <w:rFonts w:cs="Calibri"/>
        </w:rPr>
      </w:pPr>
    </w:p>
    <w:p w14:paraId="0DFEA239" w14:textId="2BF9DA2D" w:rsidR="00C81681" w:rsidRPr="00BD2665" w:rsidRDefault="001E71BA" w:rsidP="00BD2665">
      <w:pPr>
        <w:pStyle w:val="Heading2"/>
      </w:pPr>
      <w:bookmarkStart w:id="6" w:name="_Toc118900171"/>
      <w:bookmarkStart w:id="7" w:name="_Toc118905010"/>
      <w:bookmarkStart w:id="8" w:name="_Toc119418664"/>
      <w:r w:rsidRPr="001C1E47">
        <w:t>State Plan Backgroun</w:t>
      </w:r>
      <w:bookmarkEnd w:id="6"/>
      <w:bookmarkEnd w:id="7"/>
      <w:bookmarkEnd w:id="8"/>
      <w:r w:rsidR="00BD2665">
        <w:t>d</w:t>
      </w:r>
    </w:p>
    <w:p w14:paraId="0D5CFFB7" w14:textId="77777777" w:rsidR="00414978" w:rsidRPr="00C12976" w:rsidRDefault="00414978" w:rsidP="00C12976">
      <w:pPr>
        <w:ind w:left="180"/>
        <w:rPr>
          <w:iCs/>
          <w:color w:val="0070C0"/>
        </w:rPr>
      </w:pPr>
    </w:p>
    <w:p w14:paraId="2025E41A" w14:textId="1B8319A3" w:rsidR="006449A7" w:rsidRPr="00D43D98" w:rsidRDefault="004261DC" w:rsidP="00C947AA">
      <w:pPr>
        <w:rPr>
          <w:iCs/>
        </w:rPr>
      </w:pPr>
      <w:r w:rsidRPr="00F02693">
        <w:rPr>
          <w:iCs/>
        </w:rPr>
        <w:t>The</w:t>
      </w:r>
      <w:r w:rsidR="00494029" w:rsidRPr="00F02693">
        <w:rPr>
          <w:iCs/>
        </w:rPr>
        <w:t xml:space="preserve"> </w:t>
      </w:r>
      <w:r w:rsidR="00DB7899" w:rsidRPr="00F02693">
        <w:rPr>
          <w:iCs/>
        </w:rPr>
        <w:t>KY OSH Progr</w:t>
      </w:r>
      <w:r w:rsidR="00F02693" w:rsidRPr="00F02693">
        <w:rPr>
          <w:iCs/>
        </w:rPr>
        <w:t xml:space="preserve">am </w:t>
      </w:r>
      <w:r w:rsidRPr="00D43D98">
        <w:rPr>
          <w:iCs/>
        </w:rPr>
        <w:t>operates</w:t>
      </w:r>
      <w:bookmarkStart w:id="9" w:name="_Hlk190347509"/>
      <w:r w:rsidR="00074F95" w:rsidRPr="00D43D98">
        <w:rPr>
          <w:iCs/>
        </w:rPr>
        <w:t xml:space="preserve"> </w:t>
      </w:r>
      <w:bookmarkEnd w:id="9"/>
      <w:r w:rsidR="00122810" w:rsidRPr="00D43D98">
        <w:rPr>
          <w:iCs/>
        </w:rPr>
        <w:t>through the</w:t>
      </w:r>
      <w:r w:rsidR="00414978" w:rsidRPr="00D43D98">
        <w:rPr>
          <w:iCs/>
        </w:rPr>
        <w:t xml:space="preserve"> Kentucky Education and Labor Cabinet’s Department of Workplace Standards</w:t>
      </w:r>
      <w:r w:rsidR="00320E48" w:rsidRPr="00D43D98">
        <w:rPr>
          <w:iCs/>
        </w:rPr>
        <w:t>.  The Kentucky State Plan received initial approval on July 31, 1973</w:t>
      </w:r>
      <w:r w:rsidR="00074F95" w:rsidRPr="00D43D98">
        <w:rPr>
          <w:iCs/>
        </w:rPr>
        <w:t xml:space="preserve">, and final approval on June 13, 1985. </w:t>
      </w:r>
      <w:r w:rsidR="00414978" w:rsidRPr="00D43D98">
        <w:rPr>
          <w:iCs/>
        </w:rPr>
        <w:t xml:space="preserve"> </w:t>
      </w:r>
      <w:r w:rsidR="00C947AA" w:rsidRPr="00D43D98">
        <w:rPr>
          <w:iCs/>
        </w:rPr>
        <w:t xml:space="preserve"> </w:t>
      </w:r>
    </w:p>
    <w:p w14:paraId="27CC610F" w14:textId="77777777" w:rsidR="000D5443" w:rsidRPr="00D43D98" w:rsidRDefault="000D5443" w:rsidP="00414978">
      <w:pPr>
        <w:rPr>
          <w:iCs/>
        </w:rPr>
      </w:pPr>
    </w:p>
    <w:p w14:paraId="6CA29AAF" w14:textId="58A13BE4" w:rsidR="00414978" w:rsidRPr="00D43D98" w:rsidRDefault="00414978" w:rsidP="00414978">
      <w:pPr>
        <w:rPr>
          <w:iCs/>
        </w:rPr>
      </w:pPr>
      <w:r w:rsidRPr="00D43D98">
        <w:rPr>
          <w:iCs/>
        </w:rPr>
        <w:t>The Secretary of the Education and Labor Cabinet</w:t>
      </w:r>
      <w:r w:rsidR="00B7599F" w:rsidRPr="00D43D98">
        <w:t xml:space="preserve">, </w:t>
      </w:r>
      <w:r w:rsidR="00B7599F" w:rsidRPr="00D43D98">
        <w:rPr>
          <w:iCs/>
        </w:rPr>
        <w:t>Jamie Link,</w:t>
      </w:r>
      <w:r w:rsidRPr="00D43D98">
        <w:rPr>
          <w:iCs/>
        </w:rPr>
        <w:t xml:space="preserve"> is the State Plan designee</w:t>
      </w:r>
      <w:r w:rsidR="000D5443" w:rsidRPr="00D43D98">
        <w:rPr>
          <w:iCs/>
        </w:rPr>
        <w:t xml:space="preserve">. </w:t>
      </w:r>
      <w:r w:rsidR="000833E6" w:rsidRPr="00D43D98">
        <w:rPr>
          <w:iCs/>
        </w:rPr>
        <w:t xml:space="preserve">The Kentucky Occupational Safety and Health Program is administered by </w:t>
      </w:r>
      <w:r w:rsidR="0073549A" w:rsidRPr="00D43D98">
        <w:rPr>
          <w:iCs/>
        </w:rPr>
        <w:t xml:space="preserve">Kimberlee </w:t>
      </w:r>
      <w:r w:rsidR="00C00335" w:rsidRPr="00D43D98">
        <w:rPr>
          <w:iCs/>
        </w:rPr>
        <w:t>Perry, Commissioner</w:t>
      </w:r>
      <w:r w:rsidR="005506D9" w:rsidRPr="00D43D98">
        <w:rPr>
          <w:iCs/>
        </w:rPr>
        <w:t xml:space="preserve"> and Chuck</w:t>
      </w:r>
      <w:r w:rsidR="000833E6" w:rsidRPr="00D43D98">
        <w:rPr>
          <w:iCs/>
        </w:rPr>
        <w:t xml:space="preserve"> </w:t>
      </w:r>
      <w:r w:rsidR="00C00335" w:rsidRPr="00D43D98">
        <w:rPr>
          <w:iCs/>
        </w:rPr>
        <w:t>Stribling,</w:t>
      </w:r>
      <w:r w:rsidR="005506D9" w:rsidRPr="00D43D98">
        <w:rPr>
          <w:iCs/>
        </w:rPr>
        <w:t xml:space="preserve"> </w:t>
      </w:r>
      <w:r w:rsidR="00422E25" w:rsidRPr="00D43D98">
        <w:rPr>
          <w:iCs/>
        </w:rPr>
        <w:t>Deputy</w:t>
      </w:r>
      <w:r w:rsidR="005506D9" w:rsidRPr="00D43D98">
        <w:rPr>
          <w:iCs/>
        </w:rPr>
        <w:t xml:space="preserve"> Commissioner.</w:t>
      </w:r>
    </w:p>
    <w:p w14:paraId="35152136" w14:textId="77777777" w:rsidR="00414978" w:rsidRPr="00D43D98" w:rsidRDefault="00414978" w:rsidP="00414978">
      <w:pPr>
        <w:rPr>
          <w:iCs/>
        </w:rPr>
      </w:pPr>
    </w:p>
    <w:p w14:paraId="0F688933" w14:textId="5AA20457" w:rsidR="59A69521" w:rsidRDefault="32CA4D5A" w:rsidP="4A488747">
      <w:r>
        <w:t>K</w:t>
      </w:r>
      <w:r w:rsidR="381D4657">
        <w:t>entucky</w:t>
      </w:r>
      <w:r>
        <w:t xml:space="preserve"> OSH’s statutory authority is established in Kentucky Revised Statutes (KRS) Chapter 338. Under these statutes, KY OSH conducts workplace inspections, issues citations and penalties, and provides administrative and judicial review processes for employers seeking to contest citations and/or penalties. Kentucky law prohibits employers from retaliating against workers, who exercise their rights established by KY OSH’s statutes, and authorizes the investigation and prosecution of complaints of workplace retaliation.</w:t>
      </w:r>
      <w:r w:rsidR="2F944A2B">
        <w:t xml:space="preserve"> Kentucky OSH also investigates private</w:t>
      </w:r>
      <w:r w:rsidR="001A08EF">
        <w:t xml:space="preserve">, </w:t>
      </w:r>
      <w:r w:rsidR="2F944A2B">
        <w:t>state and local government workplace retaliation cases under a provision analogous to Section 11(c)</w:t>
      </w:r>
      <w:r w:rsidR="059F7448">
        <w:t>.</w:t>
      </w:r>
      <w:r w:rsidR="00A51D33">
        <w:t xml:space="preserve">  </w:t>
      </w:r>
      <w:r w:rsidR="59A69521">
        <w:t xml:space="preserve">The primary components of the Kentucky Occupational Safety and Health Program include: </w:t>
      </w:r>
      <w:r w:rsidR="00BB25D0">
        <w:t>t</w:t>
      </w:r>
      <w:r w:rsidR="40A12BAE">
        <w:t xml:space="preserve">he Division of Occupational Safety and Health Compliance; </w:t>
      </w:r>
      <w:r w:rsidR="00BB25D0">
        <w:t>t</w:t>
      </w:r>
      <w:r w:rsidR="40A12BAE">
        <w:t>he Division of Occupational Safety and Health Education and Training</w:t>
      </w:r>
      <w:r w:rsidR="00DB7899" w:rsidRPr="00F02693">
        <w:t>, referred to as KYSAFE</w:t>
      </w:r>
      <w:r w:rsidR="40A12BAE">
        <w:t xml:space="preserve">; </w:t>
      </w:r>
      <w:r w:rsidR="00F1043C">
        <w:t xml:space="preserve">the </w:t>
      </w:r>
      <w:r w:rsidR="40A12BAE">
        <w:t>Federal-State Coordinator</w:t>
      </w:r>
      <w:r w:rsidR="00BE0E36">
        <w:t>’s</w:t>
      </w:r>
      <w:r w:rsidR="00F1043C">
        <w:t xml:space="preserve"> Office</w:t>
      </w:r>
      <w:r w:rsidR="2CAD1DF3">
        <w:t xml:space="preserve">; </w:t>
      </w:r>
      <w:r w:rsidR="00BB25D0">
        <w:t>t</w:t>
      </w:r>
      <w:r w:rsidR="40A12BAE">
        <w:t>he OSH Standards Board and the OSH Review Commission</w:t>
      </w:r>
      <w:r w:rsidR="6075FBA0">
        <w:t xml:space="preserve">. </w:t>
      </w:r>
    </w:p>
    <w:p w14:paraId="7B0BDA30" w14:textId="77777777" w:rsidR="00BD2665" w:rsidRDefault="00BD2665" w:rsidP="00414978">
      <w:pPr>
        <w:rPr>
          <w:iCs/>
        </w:rPr>
      </w:pPr>
    </w:p>
    <w:p w14:paraId="6852A25B" w14:textId="158A7550" w:rsidR="006F74BF" w:rsidRPr="00D43D98" w:rsidRDefault="0081353A" w:rsidP="00414978">
      <w:pPr>
        <w:rPr>
          <w:iCs/>
        </w:rPr>
      </w:pPr>
      <w:r>
        <w:t>K</w:t>
      </w:r>
      <w:r w:rsidR="00F24978">
        <w:rPr>
          <w:iCs/>
        </w:rPr>
        <w:t>Y OSH</w:t>
      </w:r>
      <w:r w:rsidR="00414978" w:rsidRPr="00D43D98">
        <w:rPr>
          <w:iCs/>
        </w:rPr>
        <w:t xml:space="preserve"> program managers and OSH compliance supervisors are KY OSH’s first-line supervisors.  At full staffing, KY OSH has 23 safety compliance officers</w:t>
      </w:r>
      <w:r w:rsidR="00321562" w:rsidRPr="00D43D98">
        <w:rPr>
          <w:iCs/>
        </w:rPr>
        <w:t>,</w:t>
      </w:r>
      <w:r w:rsidR="00414978" w:rsidRPr="00D43D98">
        <w:rPr>
          <w:iCs/>
        </w:rPr>
        <w:t xml:space="preserve"> 14 health compliance officers</w:t>
      </w:r>
      <w:r w:rsidR="00321562" w:rsidRPr="00D43D98">
        <w:rPr>
          <w:iCs/>
        </w:rPr>
        <w:t xml:space="preserve"> and two OSH </w:t>
      </w:r>
      <w:r w:rsidR="00B612A9" w:rsidRPr="00D43D98">
        <w:rPr>
          <w:iCs/>
        </w:rPr>
        <w:t>discrimination investigators</w:t>
      </w:r>
      <w:r w:rsidR="6739FC19">
        <w:t>.</w:t>
      </w:r>
      <w:r w:rsidR="00414978" w:rsidRPr="00D43D98">
        <w:rPr>
          <w:iCs/>
        </w:rPr>
        <w:t xml:space="preserve"> In FY 202</w:t>
      </w:r>
      <w:r w:rsidR="00D43D98" w:rsidRPr="00D43D98">
        <w:rPr>
          <w:iCs/>
        </w:rPr>
        <w:t>4</w:t>
      </w:r>
      <w:r w:rsidR="00414978" w:rsidRPr="00D43D98">
        <w:rPr>
          <w:iCs/>
        </w:rPr>
        <w:t xml:space="preserve">, KY OSH covered approximately </w:t>
      </w:r>
      <w:r w:rsidR="00267251" w:rsidRPr="00D43D98">
        <w:rPr>
          <w:iCs/>
        </w:rPr>
        <w:t xml:space="preserve">1,895,215 </w:t>
      </w:r>
      <w:r w:rsidR="00414978" w:rsidRPr="00D43D98">
        <w:rPr>
          <w:iCs/>
        </w:rPr>
        <w:t xml:space="preserve">workers and </w:t>
      </w:r>
      <w:r w:rsidR="00D43D98" w:rsidRPr="00D43D98">
        <w:rPr>
          <w:iCs/>
        </w:rPr>
        <w:t xml:space="preserve">149,619 </w:t>
      </w:r>
      <w:r w:rsidR="00414978" w:rsidRPr="00D43D98">
        <w:rPr>
          <w:iCs/>
        </w:rPr>
        <w:t>business establishments in the State.</w:t>
      </w:r>
    </w:p>
    <w:p w14:paraId="16AA2A65" w14:textId="77777777" w:rsidR="00B01A31" w:rsidRPr="00D43D98" w:rsidRDefault="00B01A31" w:rsidP="00414978">
      <w:pPr>
        <w:rPr>
          <w:iCs/>
        </w:rPr>
      </w:pPr>
    </w:p>
    <w:p w14:paraId="5834FF6E" w14:textId="125A4384" w:rsidR="00B01A31" w:rsidRPr="00A0135B" w:rsidRDefault="00B01A31" w:rsidP="00F02693">
      <w:pPr>
        <w:rPr>
          <w:iCs/>
          <w:strike/>
        </w:rPr>
      </w:pPr>
      <w:r w:rsidRPr="00D43D98">
        <w:rPr>
          <w:iCs/>
        </w:rPr>
        <w:t xml:space="preserve">The Kentucky State Plan applies to all </w:t>
      </w:r>
      <w:r w:rsidR="00A0135B" w:rsidRPr="00F02693">
        <w:rPr>
          <w:iCs/>
        </w:rPr>
        <w:t>employers, employees, and places of employment throughout the Commonwealth except the following: (a) Employees of the United States government; and (b) Employers, employees and places of employment over which federal agencies other than the Occupational Safety and Health Administration of the United States Department of Labor exercise statutory authority to prescribe or enforce standards or regulations affecting occupational safety and health</w:t>
      </w:r>
      <w:r w:rsidR="00F02693" w:rsidRPr="00F02693">
        <w:rPr>
          <w:iCs/>
        </w:rPr>
        <w:t>.</w:t>
      </w:r>
    </w:p>
    <w:p w14:paraId="300FEB4D" w14:textId="77777777" w:rsidR="00414978" w:rsidRDefault="00414978" w:rsidP="00414978">
      <w:pPr>
        <w:rPr>
          <w:iCs/>
        </w:rPr>
      </w:pPr>
    </w:p>
    <w:p w14:paraId="22887D38" w14:textId="0DC9AE24" w:rsidR="002A7682" w:rsidRPr="00D43D98" w:rsidRDefault="002A7682" w:rsidP="00414978">
      <w:pPr>
        <w:rPr>
          <w:iCs/>
        </w:rPr>
      </w:pPr>
      <w:r w:rsidRPr="009339D6">
        <w:rPr>
          <w:iCs/>
        </w:rPr>
        <w:t>In FY 2024, KY OSH’s initial federal funding was $4,138,900. Due to the fund reduction of all OSHA 23(g) programs, the federal award was decreased by $149,000 in July.  KY OSH received a one-time only award of $44,815 in August, which resulted in the total federal portion to be $4,064,715. KY OSH matched the federal portion and added an additional $7,528,726 in 100% state funds. KY OSH reported final expenditures to be $10,438,517.06 ($4,064,715 federal, $4,064,715 match, and $2,309,087.06 overmatch – 100% state).</w:t>
      </w:r>
    </w:p>
    <w:p w14:paraId="07E4A0DB" w14:textId="77777777" w:rsidR="00783189" w:rsidRPr="00414978" w:rsidRDefault="00783189" w:rsidP="00783189">
      <w:pPr>
        <w:widowControl/>
        <w:autoSpaceDE/>
        <w:autoSpaceDN/>
        <w:adjustRightInd/>
        <w:contextualSpacing/>
        <w:rPr>
          <w:rFonts w:cs="Calibri"/>
          <w:b/>
          <w:color w:val="FF0000"/>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62935632" w14:textId="7ABE5F9E" w:rsidR="00781312" w:rsidRPr="00116A18" w:rsidRDefault="00C76473" w:rsidP="00783189">
      <w:pPr>
        <w:contextualSpacing/>
        <w:rPr>
          <w:rFonts w:cs="Calibri"/>
          <w:iCs/>
        </w:rPr>
      </w:pPr>
      <w:r w:rsidRPr="00116A18">
        <w:rPr>
          <w:rFonts w:cs="Calibri"/>
          <w:iCs/>
        </w:rPr>
        <w:t xml:space="preserve">None. </w:t>
      </w:r>
    </w:p>
    <w:p w14:paraId="4D45CF2E" w14:textId="77777777" w:rsidR="00780E29" w:rsidRDefault="00780E29" w:rsidP="00783189">
      <w:pPr>
        <w:widowControl/>
        <w:autoSpaceDE/>
        <w:autoSpaceDN/>
        <w:adjustRightInd/>
        <w:rPr>
          <w:rFonts w:cs="Calibri"/>
          <w:iCs/>
        </w:rPr>
      </w:pPr>
    </w:p>
    <w:p w14:paraId="54C8F1DE" w14:textId="77777777" w:rsidR="00F02693" w:rsidRDefault="00F02693" w:rsidP="00783189">
      <w:pPr>
        <w:widowControl/>
        <w:autoSpaceDE/>
        <w:autoSpaceDN/>
        <w:adjustRightInd/>
        <w:rPr>
          <w:rFonts w:cs="Calibri"/>
          <w:iCs/>
        </w:rPr>
      </w:pPr>
    </w:p>
    <w:p w14:paraId="6C8DB283" w14:textId="77777777" w:rsidR="00FF08CF" w:rsidRPr="00AB16D9" w:rsidRDefault="00FF08CF" w:rsidP="00783189">
      <w:pPr>
        <w:widowControl/>
        <w:autoSpaceDE/>
        <w:autoSpaceDN/>
        <w:adjustRightInd/>
        <w:rPr>
          <w:rFonts w:cs="Calibri"/>
          <w:iCs/>
        </w:rPr>
      </w:pPr>
    </w:p>
    <w:p w14:paraId="0A29FCDE" w14:textId="40051B71" w:rsidR="00054900" w:rsidRPr="00476C08" w:rsidRDefault="00054900" w:rsidP="00476C08">
      <w:pPr>
        <w:pStyle w:val="Heading2"/>
      </w:pPr>
      <w:bookmarkStart w:id="10" w:name="_Toc118900172"/>
      <w:bookmarkStart w:id="11" w:name="_Toc118905011"/>
      <w:bookmarkStart w:id="12" w:name="_Toc119418665"/>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2FBB490D" w14:textId="7DFBA292" w:rsidR="000A134A" w:rsidRDefault="000A134A" w:rsidP="00386C85">
      <w:pPr>
        <w:pStyle w:val="Heading3"/>
      </w:pPr>
      <w:bookmarkStart w:id="13" w:name="_Toc118900173"/>
      <w:bookmarkStart w:id="14" w:name="_Toc118905012"/>
      <w:bookmarkStart w:id="15" w:name="_Toc119418666"/>
      <w:r w:rsidRPr="00C53328">
        <w:t>Data and Methodology</w:t>
      </w:r>
      <w:bookmarkEnd w:id="13"/>
      <w:bookmarkEnd w:id="14"/>
      <w:bookmarkEnd w:id="15"/>
    </w:p>
    <w:p w14:paraId="319C3F22" w14:textId="77777777" w:rsidR="00386C85" w:rsidRPr="00386C85" w:rsidRDefault="00386C85" w:rsidP="00386C85"/>
    <w:p w14:paraId="3EEE3A69" w14:textId="4393C1CE" w:rsidR="005504BC" w:rsidRPr="001C1E47" w:rsidRDefault="000A134A" w:rsidP="00783189">
      <w:pPr>
        <w:widowControl/>
        <w:autoSpaceDE/>
        <w:autoSpaceDN/>
        <w:adjustRightInd/>
        <w:rPr>
          <w:rFonts w:cs="Calibri"/>
          <w:bCs/>
        </w:rPr>
      </w:pPr>
      <w:r w:rsidRPr="001C1E47">
        <w:rPr>
          <w:rFonts w:cs="Calibri"/>
          <w:bCs/>
        </w:rPr>
        <w:t xml:space="preserve">OSHA has established a two-year cycle for the FAME process.  This is the follow-up </w:t>
      </w:r>
      <w:proofErr w:type="gramStart"/>
      <w:r w:rsidRPr="001C1E47">
        <w:rPr>
          <w:rFonts w:cs="Calibri"/>
          <w:bCs/>
        </w:rPr>
        <w:t>year</w:t>
      </w:r>
      <w:r w:rsidR="005E3EFB" w:rsidRPr="001C1E47">
        <w:rPr>
          <w:rFonts w:cs="Calibri"/>
          <w:bCs/>
        </w:rPr>
        <w:t>,</w:t>
      </w:r>
      <w:proofErr w:type="gramEnd"/>
      <w:r w:rsidRPr="001C1E47">
        <w:rPr>
          <w:rFonts w:cs="Calibri"/>
          <w:bCs/>
        </w:rPr>
        <w:t xml:space="preserve"> </w:t>
      </w:r>
      <w:r w:rsidR="00E72140">
        <w:rPr>
          <w:rFonts w:cs="Calibri"/>
          <w:bCs/>
        </w:rPr>
        <w:t>therefore</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EA0158E" w14:textId="5438F5CA" w:rsidR="001E2FBB" w:rsidRPr="0048798C" w:rsidRDefault="00FF4AE2" w:rsidP="00783189">
      <w:pPr>
        <w:pStyle w:val="ListParagraph"/>
        <w:numPr>
          <w:ilvl w:val="0"/>
          <w:numId w:val="7"/>
        </w:numPr>
        <w:spacing w:after="0" w:line="240" w:lineRule="auto"/>
        <w:rPr>
          <w:bCs/>
        </w:rPr>
      </w:pPr>
      <w:r w:rsidRPr="001C1E47">
        <w:rPr>
          <w:bCs/>
          <w:sz w:val="24"/>
          <w:szCs w:val="24"/>
        </w:rPr>
        <w:t>Quarterly monitoring meetings between OSHA and the State Plan</w:t>
      </w:r>
    </w:p>
    <w:p w14:paraId="5B881EA2" w14:textId="77777777" w:rsidR="0048798C" w:rsidRPr="0048798C" w:rsidRDefault="0048798C" w:rsidP="0048798C">
      <w:pPr>
        <w:pStyle w:val="ListParagraph"/>
        <w:spacing w:after="0" w:line="240" w:lineRule="auto"/>
        <w:rPr>
          <w:bCs/>
        </w:rPr>
      </w:pPr>
    </w:p>
    <w:p w14:paraId="5E67DDEC" w14:textId="77777777" w:rsidR="000A134A" w:rsidRPr="001C1E47" w:rsidRDefault="000A134A" w:rsidP="0061362E">
      <w:pPr>
        <w:pStyle w:val="Heading3"/>
      </w:pPr>
      <w:bookmarkStart w:id="16" w:name="_Toc118900174"/>
      <w:bookmarkStart w:id="17" w:name="_Toc118905013"/>
      <w:bookmarkStart w:id="18" w:name="_Toc119418667"/>
      <w:r w:rsidRPr="001C1E47">
        <w:t>Findings and Observations</w:t>
      </w:r>
      <w:bookmarkEnd w:id="16"/>
      <w:bookmarkEnd w:id="17"/>
      <w:bookmarkEnd w:id="18"/>
    </w:p>
    <w:p w14:paraId="51B991F5" w14:textId="77777777" w:rsidR="000A134A" w:rsidRPr="0007549A" w:rsidRDefault="000A134A" w:rsidP="00783189">
      <w:pPr>
        <w:widowControl/>
        <w:autoSpaceDE/>
        <w:autoSpaceDN/>
        <w:adjustRightInd/>
        <w:rPr>
          <w:rFonts w:cs="Calibri"/>
        </w:rPr>
      </w:pPr>
    </w:p>
    <w:p w14:paraId="0E4B36DA" w14:textId="3BBA3F7C" w:rsidR="000E0812" w:rsidRPr="0007549A" w:rsidRDefault="000E0812" w:rsidP="000E0812">
      <w:pPr>
        <w:widowControl/>
        <w:autoSpaceDE/>
        <w:autoSpaceDN/>
        <w:adjustRightInd/>
        <w:rPr>
          <w:rFonts w:cs="Calibri"/>
          <w:iCs/>
        </w:rPr>
      </w:pPr>
      <w:r w:rsidRPr="0007549A">
        <w:rPr>
          <w:rFonts w:cs="Calibri"/>
          <w:b/>
          <w:bCs/>
          <w:iCs/>
        </w:rPr>
        <w:t>Finding FY 202</w:t>
      </w:r>
      <w:r w:rsidR="00464149" w:rsidRPr="0007549A">
        <w:rPr>
          <w:rFonts w:cs="Calibri"/>
          <w:b/>
          <w:bCs/>
          <w:iCs/>
        </w:rPr>
        <w:t>4</w:t>
      </w:r>
      <w:r w:rsidRPr="0007549A">
        <w:rPr>
          <w:rFonts w:cs="Calibri"/>
          <w:b/>
          <w:bCs/>
          <w:iCs/>
        </w:rPr>
        <w:t>-0</w:t>
      </w:r>
      <w:r w:rsidR="00972DBC">
        <w:rPr>
          <w:rFonts w:cs="Calibri"/>
          <w:b/>
          <w:bCs/>
          <w:iCs/>
        </w:rPr>
        <w:t>1</w:t>
      </w:r>
      <w:r w:rsidRPr="0007549A">
        <w:rPr>
          <w:rFonts w:cs="Calibri"/>
          <w:iCs/>
        </w:rPr>
        <w:t xml:space="preserve"> (</w:t>
      </w:r>
      <w:r w:rsidR="00601C38">
        <w:rPr>
          <w:rFonts w:cs="Calibri"/>
          <w:iCs/>
        </w:rPr>
        <w:t>F</w:t>
      </w:r>
      <w:r w:rsidRPr="0007549A">
        <w:rPr>
          <w:rFonts w:cs="Calibri"/>
          <w:iCs/>
        </w:rPr>
        <w:t xml:space="preserve">ormerly </w:t>
      </w:r>
      <w:r w:rsidR="008E3DF5" w:rsidRPr="00533EA8">
        <w:rPr>
          <w:rFonts w:cs="Calibri"/>
          <w:iCs/>
        </w:rPr>
        <w:t xml:space="preserve">FY 2023-01, </w:t>
      </w:r>
      <w:r w:rsidRPr="00533EA8">
        <w:rPr>
          <w:rFonts w:cs="Calibri"/>
          <w:iCs/>
        </w:rPr>
        <w:t>FY 2021-03</w:t>
      </w:r>
      <w:r w:rsidR="0010468C" w:rsidRPr="00533EA8">
        <w:rPr>
          <w:rFonts w:cs="Calibri"/>
          <w:iCs/>
        </w:rPr>
        <w:t>,</w:t>
      </w:r>
      <w:r w:rsidRPr="00533EA8">
        <w:rPr>
          <w:rFonts w:cs="Calibri"/>
          <w:iCs/>
        </w:rPr>
        <w:t xml:space="preserve"> FY 2020-03 and FY 2019-03</w:t>
      </w:r>
      <w:r w:rsidR="00533EA8">
        <w:rPr>
          <w:rFonts w:cs="Calibri"/>
          <w:iCs/>
        </w:rPr>
        <w:t>)</w:t>
      </w:r>
      <w:r w:rsidR="00F236AE" w:rsidRPr="00533EA8">
        <w:rPr>
          <w:rFonts w:cs="Calibri"/>
          <w:iCs/>
        </w:rPr>
        <w:t>:</w:t>
      </w:r>
      <w:r w:rsidR="00F236AE">
        <w:rPr>
          <w:rFonts w:cs="Calibri"/>
          <w:iCs/>
        </w:rPr>
        <w:t xml:space="preserve"> </w:t>
      </w:r>
      <w:r w:rsidRPr="0007549A">
        <w:rPr>
          <w:rFonts w:cs="Calibri"/>
          <w:iCs/>
        </w:rPr>
        <w:t>In FY 202</w:t>
      </w:r>
      <w:r w:rsidR="008E3DF5" w:rsidRPr="0007549A">
        <w:rPr>
          <w:rFonts w:cs="Calibri"/>
          <w:iCs/>
        </w:rPr>
        <w:t>4</w:t>
      </w:r>
      <w:r w:rsidRPr="0007549A">
        <w:rPr>
          <w:rFonts w:cs="Calibri"/>
          <w:iCs/>
        </w:rPr>
        <w:t>,</w:t>
      </w:r>
      <w:r w:rsidR="003B1D0A" w:rsidRPr="0007549A">
        <w:rPr>
          <w:rFonts w:cs="Calibri"/>
          <w:iCs/>
        </w:rPr>
        <w:t xml:space="preserve"> the average lapse time for safety inspections</w:t>
      </w:r>
      <w:r w:rsidR="005C13E9" w:rsidRPr="0007549A">
        <w:rPr>
          <w:rFonts w:cs="Calibri"/>
          <w:iCs/>
        </w:rPr>
        <w:t xml:space="preserve"> (SAMM 11a)</w:t>
      </w:r>
      <w:r w:rsidR="003B1D0A" w:rsidRPr="0007549A">
        <w:rPr>
          <w:rFonts w:cs="Calibri"/>
          <w:iCs/>
        </w:rPr>
        <w:t xml:space="preserve"> was 76.56 days</w:t>
      </w:r>
      <w:r w:rsidR="0047282E">
        <w:rPr>
          <w:rFonts w:cs="Calibri"/>
          <w:iCs/>
        </w:rPr>
        <w:t>,</w:t>
      </w:r>
      <w:r w:rsidR="003B1D0A" w:rsidRPr="0007549A">
        <w:rPr>
          <w:rFonts w:cs="Calibri"/>
          <w:iCs/>
        </w:rPr>
        <w:t xml:space="preserve"> which was above the FRL of 67.23 days. </w:t>
      </w:r>
      <w:r w:rsidRPr="0007549A">
        <w:rPr>
          <w:rFonts w:cs="Calibri"/>
          <w:iCs/>
        </w:rPr>
        <w:t xml:space="preserve"> </w:t>
      </w:r>
    </w:p>
    <w:p w14:paraId="768401EA" w14:textId="77777777" w:rsidR="000E0812" w:rsidRPr="0007549A" w:rsidRDefault="000E0812" w:rsidP="000E0812">
      <w:pPr>
        <w:widowControl/>
        <w:autoSpaceDE/>
        <w:autoSpaceDN/>
        <w:adjustRightInd/>
        <w:rPr>
          <w:rFonts w:cs="Calibri"/>
          <w:iCs/>
        </w:rPr>
      </w:pPr>
    </w:p>
    <w:p w14:paraId="55D46B37" w14:textId="4C5033E4" w:rsidR="000E0812" w:rsidRPr="0007549A" w:rsidRDefault="000E0812" w:rsidP="000E0812">
      <w:pPr>
        <w:widowControl/>
        <w:autoSpaceDE/>
        <w:autoSpaceDN/>
        <w:adjustRightInd/>
        <w:rPr>
          <w:rFonts w:cs="Calibri"/>
          <w:iCs/>
        </w:rPr>
      </w:pPr>
      <w:r w:rsidRPr="0007549A">
        <w:rPr>
          <w:rFonts w:cs="Calibri"/>
          <w:b/>
          <w:bCs/>
          <w:iCs/>
        </w:rPr>
        <w:t>Recommendation:</w:t>
      </w:r>
      <w:r w:rsidRPr="0007549A">
        <w:rPr>
          <w:rFonts w:cs="Calibri"/>
          <w:iCs/>
        </w:rPr>
        <w:t xml:space="preserve"> </w:t>
      </w:r>
      <w:r w:rsidR="00F02693">
        <w:rPr>
          <w:rFonts w:cs="Calibri"/>
          <w:iCs/>
          <w:color w:val="FF0000"/>
        </w:rPr>
        <w:t xml:space="preserve"> </w:t>
      </w:r>
      <w:r w:rsidR="001A0DC6" w:rsidRPr="0007549A">
        <w:rPr>
          <w:rFonts w:cs="Calibri"/>
          <w:iCs/>
        </w:rPr>
        <w:t xml:space="preserve"> </w:t>
      </w:r>
      <w:r w:rsidR="00F02693">
        <w:rPr>
          <w:rFonts w:cs="Calibri"/>
          <w:iCs/>
        </w:rPr>
        <w:t xml:space="preserve">KY OSH has researched the outliers and implemented an action plan to reduce the average lapse time for safety inspections.  It will take time for this measure to decrease under the new action plan.  OSHA will evaluate how the action plan is working during quarterly meetings with KY OSH and discuss new recommendations as appropriate. </w:t>
      </w:r>
    </w:p>
    <w:p w14:paraId="726599DD" w14:textId="77777777" w:rsidR="00D13E04" w:rsidRDefault="00D13E04" w:rsidP="000E0812">
      <w:pPr>
        <w:widowControl/>
        <w:autoSpaceDE/>
        <w:autoSpaceDN/>
        <w:adjustRightInd/>
        <w:rPr>
          <w:rFonts w:cs="Calibri"/>
          <w:iCs/>
          <w:color w:val="FF0000"/>
        </w:rPr>
      </w:pPr>
    </w:p>
    <w:p w14:paraId="60B31D87" w14:textId="18EEACC1" w:rsidR="000E0812" w:rsidRPr="00EB0FDB" w:rsidRDefault="00F67FB0" w:rsidP="000E0812">
      <w:pPr>
        <w:widowControl/>
        <w:autoSpaceDE/>
        <w:autoSpaceDN/>
        <w:adjustRightInd/>
        <w:rPr>
          <w:rFonts w:cs="Calibri"/>
          <w:iCs/>
          <w:color w:val="FF0000"/>
        </w:rPr>
      </w:pPr>
      <w:r w:rsidRPr="00F67FB0">
        <w:rPr>
          <w:rFonts w:cs="Calibri"/>
          <w:b/>
          <w:bCs/>
          <w:iCs/>
        </w:rPr>
        <w:t xml:space="preserve">Finding FY 2024-02 </w:t>
      </w:r>
      <w:r w:rsidRPr="00F67FB0">
        <w:rPr>
          <w:rFonts w:cs="Calibri"/>
          <w:iCs/>
        </w:rPr>
        <w:t>(Formerly FY 2023-02, FY 2022-02 and FY 2021-04):  The Kentucky State Plan has been unable to implement OSHA’s initial FY 2016 Federal Civil Penalties Inflation Adjustment Act Annual Adjustments, through 2024.  Legislative action is required to amend the statute.</w:t>
      </w:r>
      <w:r w:rsidRPr="00F67FB0">
        <w:rPr>
          <w:rFonts w:cs="Calibri"/>
          <w:b/>
          <w:bCs/>
          <w:iCs/>
        </w:rPr>
        <w:t xml:space="preserve"> </w:t>
      </w:r>
    </w:p>
    <w:p w14:paraId="0FAC7CB7" w14:textId="77777777" w:rsidR="000E0812" w:rsidRPr="00FE780A" w:rsidRDefault="000E0812" w:rsidP="000E0812">
      <w:pPr>
        <w:widowControl/>
        <w:autoSpaceDE/>
        <w:autoSpaceDN/>
        <w:adjustRightInd/>
        <w:rPr>
          <w:rFonts w:cs="Calibri"/>
          <w:iCs/>
          <w:highlight w:val="yellow"/>
        </w:rPr>
      </w:pPr>
    </w:p>
    <w:p w14:paraId="37F97BC4" w14:textId="043F532A" w:rsidR="000E0812" w:rsidRPr="00FE780A" w:rsidRDefault="000E0812" w:rsidP="000E0812">
      <w:pPr>
        <w:widowControl/>
        <w:autoSpaceDE/>
        <w:autoSpaceDN/>
        <w:adjustRightInd/>
        <w:rPr>
          <w:rFonts w:cs="Calibri"/>
          <w:iCs/>
          <w:strike/>
        </w:rPr>
      </w:pPr>
      <w:r w:rsidRPr="006C63B4">
        <w:rPr>
          <w:rFonts w:cs="Calibri"/>
          <w:b/>
          <w:bCs/>
          <w:iCs/>
        </w:rPr>
        <w:t>Recommendation:</w:t>
      </w:r>
      <w:r w:rsidRPr="006C63B4">
        <w:rPr>
          <w:rFonts w:cs="Calibri"/>
          <w:iCs/>
        </w:rPr>
        <w:t xml:space="preserve"> KY OSH should</w:t>
      </w:r>
      <w:r w:rsidR="00F02693" w:rsidRPr="006C63B4">
        <w:rPr>
          <w:rFonts w:cs="Calibri"/>
          <w:iCs/>
        </w:rPr>
        <w:t xml:space="preserve"> continue</w:t>
      </w:r>
      <w:r w:rsidRPr="006C63B4">
        <w:rPr>
          <w:rFonts w:cs="Calibri"/>
          <w:iCs/>
        </w:rPr>
        <w:t xml:space="preserve"> work</w:t>
      </w:r>
      <w:r w:rsidR="00F02693" w:rsidRPr="006C63B4">
        <w:rPr>
          <w:rFonts w:cs="Calibri"/>
          <w:iCs/>
        </w:rPr>
        <w:t>ing</w:t>
      </w:r>
      <w:r w:rsidRPr="006C63B4">
        <w:rPr>
          <w:rFonts w:cs="Calibri"/>
          <w:iCs/>
        </w:rPr>
        <w:t xml:space="preserve"> with their </w:t>
      </w:r>
      <w:proofErr w:type="gramStart"/>
      <w:r w:rsidRPr="006C63B4">
        <w:rPr>
          <w:rFonts w:cs="Calibri"/>
          <w:iCs/>
        </w:rPr>
        <w:t>State</w:t>
      </w:r>
      <w:proofErr w:type="gramEnd"/>
      <w:r w:rsidRPr="006C63B4">
        <w:rPr>
          <w:rFonts w:cs="Calibri"/>
          <w:iCs/>
        </w:rPr>
        <w:t xml:space="preserve"> authorities to complete the legislative changes necessary to adopt the</w:t>
      </w:r>
      <w:r w:rsidR="00F02693" w:rsidRPr="006C63B4">
        <w:rPr>
          <w:rFonts w:cs="Calibri"/>
          <w:iCs/>
        </w:rPr>
        <w:t xml:space="preserve"> annual inflationary</w:t>
      </w:r>
      <w:r w:rsidR="00EB0FDB" w:rsidRPr="006C63B4">
        <w:rPr>
          <w:rFonts w:cs="Calibri"/>
          <w:iCs/>
        </w:rPr>
        <w:t xml:space="preserve"> adjustments. </w:t>
      </w:r>
      <w:r w:rsidRPr="006C63B4">
        <w:rPr>
          <w:rFonts w:cs="Calibri"/>
          <w:iCs/>
        </w:rPr>
        <w:t xml:space="preserve"> </w:t>
      </w:r>
      <w:r w:rsidR="00EB0FDB" w:rsidRPr="00FE780A">
        <w:rPr>
          <w:rFonts w:cs="Calibri"/>
          <w:iCs/>
        </w:rPr>
        <w:t xml:space="preserve"> </w:t>
      </w:r>
    </w:p>
    <w:p w14:paraId="3D9BB249" w14:textId="77777777" w:rsidR="003D229C" w:rsidRPr="0007549A" w:rsidRDefault="003D229C" w:rsidP="000E0812">
      <w:pPr>
        <w:widowControl/>
        <w:autoSpaceDE/>
        <w:autoSpaceDN/>
        <w:adjustRightInd/>
        <w:rPr>
          <w:rFonts w:cs="Calibri"/>
          <w:iCs/>
          <w:strike/>
        </w:rPr>
      </w:pPr>
    </w:p>
    <w:p w14:paraId="1A21A212" w14:textId="6A58E042" w:rsidR="003D229C" w:rsidRPr="0007549A" w:rsidRDefault="003D229C" w:rsidP="000E0812">
      <w:pPr>
        <w:widowControl/>
        <w:autoSpaceDE/>
        <w:autoSpaceDN/>
        <w:adjustRightInd/>
        <w:rPr>
          <w:rFonts w:cs="Calibri"/>
          <w:iCs/>
        </w:rPr>
      </w:pPr>
      <w:r w:rsidRPr="0007549A">
        <w:rPr>
          <w:rFonts w:cs="Calibri"/>
          <w:b/>
          <w:bCs/>
          <w:iCs/>
        </w:rPr>
        <w:t>Finding FY 2024-03</w:t>
      </w:r>
      <w:r w:rsidR="00DD28A0">
        <w:rPr>
          <w:rFonts w:cs="Calibri"/>
          <w:b/>
          <w:bCs/>
          <w:iCs/>
        </w:rPr>
        <w:t xml:space="preserve"> </w:t>
      </w:r>
      <w:r w:rsidR="00DF1D9F" w:rsidRPr="00DD28A0">
        <w:rPr>
          <w:rFonts w:cs="Calibri"/>
          <w:iCs/>
        </w:rPr>
        <w:t>(</w:t>
      </w:r>
      <w:r w:rsidR="00601C38" w:rsidRPr="00DD28A0">
        <w:rPr>
          <w:rFonts w:cs="Calibri"/>
          <w:iCs/>
        </w:rPr>
        <w:t>Formerly o</w:t>
      </w:r>
      <w:r w:rsidR="00DF1D9F" w:rsidRPr="00DD28A0">
        <w:rPr>
          <w:rFonts w:cs="Calibri"/>
          <w:iCs/>
        </w:rPr>
        <w:t xml:space="preserve">bservation </w:t>
      </w:r>
      <w:r w:rsidR="00DD28A0" w:rsidRPr="00DD28A0">
        <w:rPr>
          <w:rFonts w:cs="Calibri"/>
          <w:iCs/>
        </w:rPr>
        <w:t>FY 2023</w:t>
      </w:r>
      <w:r w:rsidR="004404F0">
        <w:rPr>
          <w:rFonts w:cs="Calibri"/>
          <w:iCs/>
        </w:rPr>
        <w:t>-OB</w:t>
      </w:r>
      <w:r w:rsidR="00DD28A0" w:rsidRPr="00DD28A0">
        <w:rPr>
          <w:rFonts w:cs="Calibri"/>
          <w:iCs/>
        </w:rPr>
        <w:t xml:space="preserve">-01, </w:t>
      </w:r>
      <w:r w:rsidR="00DF1D9F" w:rsidRPr="00DD28A0">
        <w:rPr>
          <w:rFonts w:cs="Calibri"/>
          <w:iCs/>
        </w:rPr>
        <w:t>FY 2022-OB-</w:t>
      </w:r>
      <w:r w:rsidR="00423696">
        <w:rPr>
          <w:rFonts w:cs="Calibri"/>
          <w:iCs/>
        </w:rPr>
        <w:t>0</w:t>
      </w:r>
      <w:r w:rsidR="00DF1D9F" w:rsidRPr="00DD28A0">
        <w:rPr>
          <w:rFonts w:cs="Calibri"/>
          <w:iCs/>
        </w:rPr>
        <w:t>2, FY 2021-OB-</w:t>
      </w:r>
      <w:r w:rsidR="00423696">
        <w:rPr>
          <w:rFonts w:cs="Calibri"/>
          <w:iCs/>
        </w:rPr>
        <w:t>0</w:t>
      </w:r>
      <w:r w:rsidR="00DF1D9F" w:rsidRPr="00DD28A0">
        <w:rPr>
          <w:rFonts w:cs="Calibri"/>
          <w:iCs/>
        </w:rPr>
        <w:t>2, FY 2020-OB-</w:t>
      </w:r>
      <w:r w:rsidR="00423696">
        <w:rPr>
          <w:rFonts w:cs="Calibri"/>
          <w:iCs/>
        </w:rPr>
        <w:t>0</w:t>
      </w:r>
      <w:r w:rsidR="00DF1D9F" w:rsidRPr="00DD28A0">
        <w:rPr>
          <w:rFonts w:cs="Calibri"/>
          <w:iCs/>
        </w:rPr>
        <w:t>1, FY 2019-OB-</w:t>
      </w:r>
      <w:r w:rsidR="00423696">
        <w:rPr>
          <w:rFonts w:cs="Calibri"/>
          <w:iCs/>
        </w:rPr>
        <w:t>0</w:t>
      </w:r>
      <w:r w:rsidR="00DF1D9F" w:rsidRPr="00DD28A0">
        <w:rPr>
          <w:rFonts w:cs="Calibri"/>
          <w:iCs/>
        </w:rPr>
        <w:t>2)</w:t>
      </w:r>
      <w:r w:rsidR="00396CBF" w:rsidRPr="00DD28A0">
        <w:rPr>
          <w:rFonts w:cs="Calibri"/>
          <w:iCs/>
        </w:rPr>
        <w:t>:</w:t>
      </w:r>
      <w:r w:rsidR="00396CBF" w:rsidRPr="0007549A">
        <w:rPr>
          <w:rFonts w:cs="Calibri"/>
          <w:iCs/>
        </w:rPr>
        <w:t xml:space="preserve">  In FY 2024, </w:t>
      </w:r>
      <w:r w:rsidR="003C6F2C" w:rsidRPr="0007549A">
        <w:rPr>
          <w:rFonts w:cs="Calibri"/>
          <w:iCs/>
        </w:rPr>
        <w:t>the percent in</w:t>
      </w:r>
      <w:r w:rsidR="0007549A">
        <w:rPr>
          <w:rFonts w:cs="Calibri"/>
          <w:iCs/>
        </w:rPr>
        <w:t>-</w:t>
      </w:r>
      <w:r w:rsidR="003C6F2C" w:rsidRPr="0007549A">
        <w:rPr>
          <w:rFonts w:cs="Calibri"/>
          <w:iCs/>
        </w:rPr>
        <w:t>compliance rate for health inspections</w:t>
      </w:r>
      <w:r w:rsidR="005C13E9" w:rsidRPr="0007549A">
        <w:rPr>
          <w:rFonts w:cs="Calibri"/>
          <w:iCs/>
        </w:rPr>
        <w:t xml:space="preserve"> (SAMM</w:t>
      </w:r>
      <w:r w:rsidR="00114F7D" w:rsidRPr="0007549A">
        <w:rPr>
          <w:rFonts w:cs="Calibri"/>
          <w:iCs/>
        </w:rPr>
        <w:t xml:space="preserve"> 9b)</w:t>
      </w:r>
      <w:r w:rsidR="003C6F2C" w:rsidRPr="0007549A">
        <w:rPr>
          <w:rFonts w:cs="Calibri"/>
          <w:iCs/>
        </w:rPr>
        <w:t xml:space="preserve"> was 68.12%, which </w:t>
      </w:r>
      <w:r w:rsidR="00455A95" w:rsidRPr="0007549A">
        <w:rPr>
          <w:rFonts w:cs="Calibri"/>
          <w:iCs/>
        </w:rPr>
        <w:t xml:space="preserve">was above the FRL of 53.01%. </w:t>
      </w:r>
    </w:p>
    <w:p w14:paraId="2D6062FE" w14:textId="77777777" w:rsidR="00EA534F" w:rsidRPr="0007549A" w:rsidRDefault="00EA534F" w:rsidP="000E0812">
      <w:pPr>
        <w:widowControl/>
        <w:autoSpaceDE/>
        <w:autoSpaceDN/>
        <w:adjustRightInd/>
        <w:rPr>
          <w:rFonts w:cs="Calibri"/>
          <w:iCs/>
        </w:rPr>
      </w:pPr>
    </w:p>
    <w:p w14:paraId="5A952A6F" w14:textId="6A8532F6" w:rsidR="001E2FBB" w:rsidRPr="00052839" w:rsidRDefault="00EA534F" w:rsidP="00052839">
      <w:pPr>
        <w:widowControl/>
        <w:autoSpaceDE/>
        <w:autoSpaceDN/>
        <w:adjustRightInd/>
        <w:rPr>
          <w:rFonts w:cs="Calibri"/>
          <w:iCs/>
        </w:rPr>
      </w:pPr>
      <w:r w:rsidRPr="0007549A">
        <w:rPr>
          <w:rFonts w:cs="Calibri"/>
          <w:b/>
          <w:bCs/>
          <w:iCs/>
        </w:rPr>
        <w:t>Recommendation:</w:t>
      </w:r>
      <w:r w:rsidRPr="0007549A">
        <w:rPr>
          <w:rFonts w:cs="Calibri"/>
          <w:iCs/>
        </w:rPr>
        <w:t xml:space="preserve">  </w:t>
      </w:r>
      <w:r w:rsidR="002444A4">
        <w:rPr>
          <w:rFonts w:cs="Calibri"/>
          <w:iCs/>
        </w:rPr>
        <w:t xml:space="preserve"> KY OSH has researched the outliers and developed an action plan to reduce in-compliance rates for health inspections. </w:t>
      </w:r>
      <w:r w:rsidR="002444A4" w:rsidRPr="002444A4">
        <w:rPr>
          <w:rFonts w:cs="Calibri"/>
          <w:iCs/>
        </w:rPr>
        <w:t>OSHA will evaluate how the action plan is working during quarterly meetings with KY OSH and discuss new recommendations as appropriat</w:t>
      </w:r>
      <w:r w:rsidR="00D55CE3">
        <w:rPr>
          <w:rFonts w:cs="Calibri"/>
          <w:iCs/>
        </w:rPr>
        <w:t xml:space="preserve">e. </w:t>
      </w:r>
    </w:p>
    <w:p w14:paraId="2A415FDF" w14:textId="77777777" w:rsidR="00052839" w:rsidRPr="00CD281F" w:rsidRDefault="00052839" w:rsidP="00052839">
      <w:pPr>
        <w:widowControl/>
        <w:autoSpaceDE/>
        <w:autoSpaceDN/>
        <w:adjustRightInd/>
        <w:rPr>
          <w:rFonts w:cs="Calibri"/>
          <w:iCs/>
        </w:rPr>
      </w:pPr>
    </w:p>
    <w:p w14:paraId="2789CCA0" w14:textId="77777777" w:rsidR="00E71FB7" w:rsidRPr="001C1E47" w:rsidRDefault="00E71FB7" w:rsidP="00605347">
      <w:pPr>
        <w:pStyle w:val="Heading4"/>
        <w:rPr>
          <w:highlight w:val="yellow"/>
        </w:rPr>
      </w:pPr>
      <w:bookmarkStart w:id="19" w:name="_Toc118900175"/>
      <w:bookmarkStart w:id="20" w:name="_Toc118905014"/>
      <w:r w:rsidRPr="001C1E47">
        <w:t>Findings</w:t>
      </w:r>
      <w:r w:rsidR="00443054" w:rsidRPr="001C1E47">
        <w:t xml:space="preserve"> (Status of Previous and New Items)</w:t>
      </w:r>
      <w:bookmarkEnd w:id="19"/>
      <w:bookmarkEnd w:id="20"/>
    </w:p>
    <w:p w14:paraId="6C7BE9F8" w14:textId="77777777" w:rsidR="00E71FB7" w:rsidRPr="001C1E47" w:rsidRDefault="00E71FB7" w:rsidP="00783189">
      <w:pPr>
        <w:widowControl/>
        <w:autoSpaceDE/>
        <w:autoSpaceDN/>
        <w:adjustRightInd/>
        <w:rPr>
          <w:rFonts w:cs="Calibri"/>
          <w:highlight w:val="yellow"/>
          <w:u w:val="single"/>
        </w:rPr>
      </w:pPr>
    </w:p>
    <w:p w14:paraId="68CBB2BF" w14:textId="378DA8EF" w:rsidR="004E505A" w:rsidRPr="00D55CE3" w:rsidRDefault="00456C45" w:rsidP="00783189">
      <w:pPr>
        <w:widowControl/>
        <w:autoSpaceDE/>
        <w:autoSpaceDN/>
        <w:adjustRightInd/>
        <w:rPr>
          <w:rFonts w:cs="Calibri"/>
        </w:rPr>
      </w:pPr>
      <w:r w:rsidRPr="002240A6">
        <w:rPr>
          <w:rFonts w:cs="Calibri"/>
        </w:rPr>
        <w:t>The State Plan</w:t>
      </w:r>
      <w:r w:rsidR="005D5383" w:rsidRPr="002240A6">
        <w:rPr>
          <w:rFonts w:cs="Calibri"/>
        </w:rPr>
        <w:t xml:space="preserve"> made </w:t>
      </w:r>
      <w:r w:rsidR="004E505A" w:rsidRPr="002240A6">
        <w:rPr>
          <w:rFonts w:cs="Calibri"/>
        </w:rPr>
        <w:t>progre</w:t>
      </w:r>
      <w:r w:rsidR="00443054" w:rsidRPr="002240A6">
        <w:rPr>
          <w:rFonts w:cs="Calibri"/>
        </w:rPr>
        <w:t>ss to address</w:t>
      </w:r>
      <w:r w:rsidRPr="002240A6">
        <w:rPr>
          <w:rFonts w:cs="Calibri"/>
        </w:rPr>
        <w:t xml:space="preserve"> the previous </w:t>
      </w:r>
      <w:r w:rsidR="002240A6" w:rsidRPr="002240A6">
        <w:rPr>
          <w:rFonts w:cs="Calibri"/>
        </w:rPr>
        <w:t>two</w:t>
      </w:r>
      <w:r w:rsidR="004E505A" w:rsidRPr="002240A6">
        <w:rPr>
          <w:rFonts w:cs="Calibri"/>
        </w:rPr>
        <w:t xml:space="preserve"> findings and </w:t>
      </w:r>
      <w:r w:rsidR="004946DB">
        <w:rPr>
          <w:rFonts w:cs="Calibri"/>
        </w:rPr>
        <w:t>two</w:t>
      </w:r>
      <w:r w:rsidRPr="002240A6">
        <w:rPr>
          <w:rFonts w:cs="Calibri"/>
        </w:rPr>
        <w:t xml:space="preserve"> observation</w:t>
      </w:r>
      <w:r w:rsidR="004946DB">
        <w:rPr>
          <w:rFonts w:cs="Calibri"/>
        </w:rPr>
        <w:t>s</w:t>
      </w:r>
      <w:r w:rsidRPr="002240A6">
        <w:rPr>
          <w:rFonts w:cs="Calibri"/>
        </w:rPr>
        <w:t xml:space="preserve"> from the FY </w:t>
      </w:r>
      <w:r w:rsidR="00512339" w:rsidRPr="002240A6">
        <w:rPr>
          <w:rFonts w:cs="Calibri"/>
        </w:rPr>
        <w:t>20</w:t>
      </w:r>
      <w:r w:rsidR="00C12976" w:rsidRPr="002240A6">
        <w:rPr>
          <w:rFonts w:cs="Calibri"/>
        </w:rPr>
        <w:t>23</w:t>
      </w:r>
      <w:r w:rsidR="000003C7" w:rsidRPr="002240A6">
        <w:rPr>
          <w:rFonts w:cs="Calibri"/>
        </w:rPr>
        <w:t xml:space="preserve"> </w:t>
      </w:r>
      <w:r w:rsidRPr="002240A6">
        <w:rPr>
          <w:rFonts w:cs="Calibri"/>
        </w:rPr>
        <w:t>Comprehensive FAME R</w:t>
      </w:r>
      <w:r w:rsidR="004E505A" w:rsidRPr="002240A6">
        <w:rPr>
          <w:rFonts w:cs="Calibri"/>
        </w:rPr>
        <w:t xml:space="preserve">eport.  This follow-up FAME report contains </w:t>
      </w:r>
      <w:r w:rsidR="00C12976" w:rsidRPr="002240A6">
        <w:rPr>
          <w:rFonts w:cs="Calibri"/>
        </w:rPr>
        <w:t>three</w:t>
      </w:r>
      <w:r w:rsidR="005D5383" w:rsidRPr="002240A6">
        <w:rPr>
          <w:rFonts w:cs="Calibri"/>
        </w:rPr>
        <w:t xml:space="preserve"> findings (</w:t>
      </w:r>
      <w:r w:rsidR="00C12976" w:rsidRPr="002240A6">
        <w:rPr>
          <w:rFonts w:cs="Calibri"/>
        </w:rPr>
        <w:t>two</w:t>
      </w:r>
      <w:r w:rsidR="005D5383" w:rsidRPr="002240A6">
        <w:rPr>
          <w:rFonts w:cs="Calibri"/>
        </w:rPr>
        <w:t xml:space="preserve"> continued, one </w:t>
      </w:r>
      <w:r w:rsidR="00732C0B">
        <w:rPr>
          <w:rFonts w:cs="Calibri"/>
        </w:rPr>
        <w:t>converted from an observation</w:t>
      </w:r>
      <w:r w:rsidR="005D5383" w:rsidRPr="002240A6">
        <w:rPr>
          <w:rFonts w:cs="Calibri"/>
        </w:rPr>
        <w:t xml:space="preserve">) </w:t>
      </w:r>
      <w:r w:rsidR="004E505A" w:rsidRPr="002240A6">
        <w:rPr>
          <w:rFonts w:cs="Calibri"/>
        </w:rPr>
        <w:t>and</w:t>
      </w:r>
      <w:r w:rsidR="00C12976" w:rsidRPr="002240A6">
        <w:rPr>
          <w:rFonts w:cs="Calibri"/>
        </w:rPr>
        <w:t xml:space="preserve"> </w:t>
      </w:r>
      <w:r w:rsidR="00667252">
        <w:rPr>
          <w:rFonts w:cs="Calibri"/>
        </w:rPr>
        <w:t>zero</w:t>
      </w:r>
      <w:r w:rsidR="0007549A">
        <w:rPr>
          <w:rFonts w:cs="Calibri"/>
        </w:rPr>
        <w:t xml:space="preserve"> </w:t>
      </w:r>
      <w:r w:rsidR="004E505A" w:rsidRPr="00D55CE3">
        <w:rPr>
          <w:rFonts w:cs="Calibri"/>
        </w:rPr>
        <w:t>observation</w:t>
      </w:r>
      <w:r w:rsidR="00667252">
        <w:rPr>
          <w:rFonts w:cs="Calibri"/>
        </w:rPr>
        <w:t>s</w:t>
      </w:r>
      <w:r w:rsidR="005D5383" w:rsidRPr="00D55CE3">
        <w:rPr>
          <w:rFonts w:cs="Calibri"/>
        </w:rPr>
        <w:t xml:space="preserve"> (</w:t>
      </w:r>
      <w:r w:rsidR="0007549A" w:rsidRPr="00D55CE3">
        <w:rPr>
          <w:rFonts w:cs="Calibri"/>
        </w:rPr>
        <w:t>one</w:t>
      </w:r>
      <w:r w:rsidR="005D5383" w:rsidRPr="00D55CE3">
        <w:rPr>
          <w:rFonts w:cs="Calibri"/>
        </w:rPr>
        <w:t xml:space="preserve"> c</w:t>
      </w:r>
      <w:r w:rsidR="00667252">
        <w:rPr>
          <w:rFonts w:cs="Calibri"/>
        </w:rPr>
        <w:t>losed</w:t>
      </w:r>
      <w:r w:rsidR="00865B0B">
        <w:rPr>
          <w:rFonts w:cs="Calibri"/>
        </w:rPr>
        <w:t>, one converted to finding</w:t>
      </w:r>
      <w:r w:rsidR="005D5383" w:rsidRPr="00D55CE3">
        <w:rPr>
          <w:rFonts w:cs="Calibri"/>
        </w:rPr>
        <w:t xml:space="preserve">).  </w:t>
      </w:r>
      <w:r w:rsidR="004E505A" w:rsidRPr="00D55CE3">
        <w:rPr>
          <w:rFonts w:cs="Calibri"/>
        </w:rPr>
        <w:t>Appendix A describes the new and continued findings and recommendations.  Appendix B describes observations subject to continued monitoring</w:t>
      </w:r>
      <w:r w:rsidR="001E4F8A" w:rsidRPr="00D55CE3">
        <w:rPr>
          <w:rFonts w:cs="Calibri"/>
        </w:rPr>
        <w:t xml:space="preserve"> and the related federal monitoring plan</w:t>
      </w:r>
      <w:r w:rsidR="004E505A" w:rsidRPr="00D55CE3">
        <w:rPr>
          <w:rFonts w:cs="Calibri"/>
        </w:rPr>
        <w:t>.  Appendix C describes the status of each FY 20</w:t>
      </w:r>
      <w:r w:rsidR="00B66C2A" w:rsidRPr="00D55CE3">
        <w:rPr>
          <w:rFonts w:cs="Calibri"/>
        </w:rPr>
        <w:t>2</w:t>
      </w:r>
      <w:r w:rsidR="00E35E8A" w:rsidRPr="00D55CE3">
        <w:rPr>
          <w:rFonts w:cs="Calibri"/>
        </w:rPr>
        <w:t>3</w:t>
      </w:r>
      <w:r w:rsidR="004E505A" w:rsidRPr="00D55CE3">
        <w:rPr>
          <w:rFonts w:cs="Calibri"/>
        </w:rPr>
        <w:t xml:space="preserve"> </w:t>
      </w:r>
      <w:r w:rsidR="00B66C2A" w:rsidRPr="00D55CE3">
        <w:rPr>
          <w:rFonts w:cs="Calibri"/>
        </w:rPr>
        <w:t xml:space="preserve">finding and </w:t>
      </w:r>
      <w:r w:rsidR="004E505A" w:rsidRPr="00D55CE3">
        <w:rPr>
          <w:rFonts w:cs="Calibri"/>
        </w:rPr>
        <w:t>recommendation in detail.</w:t>
      </w:r>
    </w:p>
    <w:p w14:paraId="699539B4" w14:textId="77777777" w:rsidR="004E505A" w:rsidRPr="00D55CE3" w:rsidRDefault="004E505A" w:rsidP="00783189">
      <w:pPr>
        <w:widowControl/>
        <w:autoSpaceDE/>
        <w:autoSpaceDN/>
        <w:adjustRightInd/>
        <w:rPr>
          <w:rFonts w:cs="Calibri"/>
          <w:highlight w:val="yellow"/>
        </w:rPr>
      </w:pPr>
    </w:p>
    <w:p w14:paraId="1CD392F2" w14:textId="70911291" w:rsidR="005C1BFC" w:rsidRPr="00D55CE3" w:rsidRDefault="00733D36" w:rsidP="00783189">
      <w:pPr>
        <w:widowControl/>
        <w:autoSpaceDE/>
        <w:autoSpaceDN/>
        <w:adjustRightInd/>
        <w:rPr>
          <w:rFonts w:cs="Calibri"/>
          <w:b/>
          <w:bCs/>
        </w:rPr>
      </w:pPr>
      <w:r w:rsidRPr="00D55CE3">
        <w:rPr>
          <w:rFonts w:cs="Calibri"/>
          <w:b/>
          <w:bCs/>
        </w:rPr>
        <w:t xml:space="preserve">Completed </w:t>
      </w:r>
      <w:r w:rsidR="007C0A36" w:rsidRPr="00D55CE3">
        <w:rPr>
          <w:rFonts w:cs="Calibri"/>
          <w:b/>
          <w:bCs/>
        </w:rPr>
        <w:t>Finding</w:t>
      </w:r>
      <w:r w:rsidR="00026B5D" w:rsidRPr="00D55CE3">
        <w:rPr>
          <w:rFonts w:cs="Calibri"/>
          <w:b/>
          <w:bCs/>
        </w:rPr>
        <w:t>s</w:t>
      </w:r>
    </w:p>
    <w:p w14:paraId="77844DB1" w14:textId="77777777" w:rsidR="00C832D2" w:rsidRPr="00D55CE3" w:rsidRDefault="00C832D2" w:rsidP="00783189">
      <w:pPr>
        <w:widowControl/>
        <w:autoSpaceDE/>
        <w:autoSpaceDN/>
        <w:adjustRightInd/>
        <w:rPr>
          <w:rFonts w:cs="Calibri"/>
          <w:b/>
          <w:bCs/>
        </w:rPr>
      </w:pPr>
    </w:p>
    <w:p w14:paraId="4B4A7E82" w14:textId="5FAFF3EB" w:rsidR="00C832D2" w:rsidRPr="00D55CE3" w:rsidRDefault="00C832D2" w:rsidP="00783189">
      <w:pPr>
        <w:widowControl/>
        <w:autoSpaceDE/>
        <w:autoSpaceDN/>
        <w:adjustRightInd/>
        <w:rPr>
          <w:rFonts w:cs="Calibri"/>
        </w:rPr>
      </w:pPr>
      <w:r w:rsidRPr="00D55CE3">
        <w:rPr>
          <w:rFonts w:cs="Calibri"/>
        </w:rPr>
        <w:t>There were zero completed findings for FY</w:t>
      </w:r>
      <w:r w:rsidR="0007549A" w:rsidRPr="00D55CE3">
        <w:rPr>
          <w:rFonts w:cs="Calibri"/>
        </w:rPr>
        <w:t xml:space="preserve"> </w:t>
      </w:r>
      <w:r w:rsidRPr="00D55CE3">
        <w:rPr>
          <w:rFonts w:cs="Calibri"/>
        </w:rPr>
        <w:t xml:space="preserve">2024. </w:t>
      </w:r>
    </w:p>
    <w:p w14:paraId="6975C73F" w14:textId="77777777" w:rsidR="00733729" w:rsidRPr="001C1E47" w:rsidRDefault="00733729" w:rsidP="00783189">
      <w:pPr>
        <w:widowControl/>
        <w:autoSpaceDE/>
        <w:autoSpaceDN/>
        <w:adjustRightInd/>
        <w:rPr>
          <w:rFonts w:cs="Calibri"/>
          <w:u w:val="single"/>
        </w:rPr>
      </w:pPr>
    </w:p>
    <w:p w14:paraId="66699C18" w14:textId="77777777"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25F7E324" w14:textId="77777777" w:rsidR="000373A6" w:rsidRPr="000373A6" w:rsidRDefault="000373A6" w:rsidP="000373A6">
      <w:pPr>
        <w:widowControl/>
        <w:tabs>
          <w:tab w:val="center" w:pos="270"/>
          <w:tab w:val="left" w:pos="360"/>
        </w:tabs>
        <w:autoSpaceDE/>
        <w:autoSpaceDN/>
        <w:adjustRightInd/>
        <w:rPr>
          <w:rFonts w:eastAsia="Calibri" w:cs="Calibri"/>
          <w:iCs/>
          <w:color w:val="0070C0"/>
        </w:rPr>
      </w:pPr>
    </w:p>
    <w:p w14:paraId="31D1B2FF" w14:textId="5A5D02A1" w:rsidR="000373A6" w:rsidRPr="000373A6" w:rsidRDefault="000373A6" w:rsidP="000373A6">
      <w:pPr>
        <w:widowControl/>
        <w:tabs>
          <w:tab w:val="center" w:pos="270"/>
          <w:tab w:val="left" w:pos="360"/>
        </w:tabs>
        <w:autoSpaceDE/>
        <w:autoSpaceDN/>
        <w:adjustRightInd/>
        <w:rPr>
          <w:rFonts w:eastAsia="Calibri" w:cs="Calibri"/>
          <w:iCs/>
        </w:rPr>
      </w:pPr>
      <w:r w:rsidRPr="000373A6">
        <w:rPr>
          <w:rFonts w:eastAsia="Calibri" w:cs="Calibri"/>
          <w:b/>
          <w:bCs/>
          <w:iCs/>
        </w:rPr>
        <w:t>Finding FY 2024-01</w:t>
      </w:r>
      <w:r w:rsidRPr="000373A6">
        <w:rPr>
          <w:rFonts w:eastAsia="Calibri" w:cs="Calibri"/>
          <w:iCs/>
        </w:rPr>
        <w:t xml:space="preserve"> (</w:t>
      </w:r>
      <w:r w:rsidR="00C16C6D">
        <w:rPr>
          <w:rFonts w:eastAsia="Calibri" w:cs="Calibri"/>
          <w:iCs/>
        </w:rPr>
        <w:t>F</w:t>
      </w:r>
      <w:r w:rsidRPr="000373A6">
        <w:rPr>
          <w:rFonts w:eastAsia="Calibri" w:cs="Calibri"/>
          <w:iCs/>
        </w:rPr>
        <w:t>ormerly FY 2023-01, FY 2021-03</w:t>
      </w:r>
      <w:r w:rsidR="004404F0">
        <w:rPr>
          <w:rFonts w:eastAsia="Calibri" w:cs="Calibri"/>
          <w:iCs/>
        </w:rPr>
        <w:t>,</w:t>
      </w:r>
      <w:r w:rsidRPr="000373A6">
        <w:rPr>
          <w:rFonts w:eastAsia="Calibri" w:cs="Calibri"/>
          <w:iCs/>
        </w:rPr>
        <w:t xml:space="preserve"> FY 2020-03 and FY 2019-03)</w:t>
      </w:r>
      <w:r>
        <w:rPr>
          <w:rFonts w:eastAsia="Calibri" w:cs="Calibri"/>
          <w:iCs/>
        </w:rPr>
        <w:t>:</w:t>
      </w:r>
      <w:r w:rsidRPr="000373A6">
        <w:rPr>
          <w:rFonts w:eastAsia="Calibri" w:cs="Calibri"/>
          <w:iCs/>
        </w:rPr>
        <w:t xml:space="preserve"> In FY 2024, the average lapse time for safety inspections (SAMM 11a) was 76.56 days which was above the FRL of 67.23 days.  </w:t>
      </w:r>
    </w:p>
    <w:p w14:paraId="54CCAF16" w14:textId="77777777" w:rsidR="000373A6" w:rsidRPr="000373A6" w:rsidRDefault="000373A6" w:rsidP="000373A6">
      <w:pPr>
        <w:widowControl/>
        <w:tabs>
          <w:tab w:val="center" w:pos="270"/>
          <w:tab w:val="left" w:pos="360"/>
        </w:tabs>
        <w:autoSpaceDE/>
        <w:autoSpaceDN/>
        <w:adjustRightInd/>
        <w:rPr>
          <w:rFonts w:eastAsia="Calibri" w:cs="Calibri"/>
          <w:iCs/>
        </w:rPr>
      </w:pPr>
    </w:p>
    <w:p w14:paraId="5FDF8D30" w14:textId="264FF665" w:rsidR="00C37B9C" w:rsidRPr="001C69C3" w:rsidRDefault="00C37B9C" w:rsidP="000373A6">
      <w:pPr>
        <w:widowControl/>
        <w:tabs>
          <w:tab w:val="center" w:pos="270"/>
          <w:tab w:val="left" w:pos="360"/>
        </w:tabs>
        <w:autoSpaceDE/>
        <w:autoSpaceDN/>
        <w:adjustRightInd/>
        <w:rPr>
          <w:rFonts w:eastAsia="Calibri" w:cs="Calibri"/>
          <w:iCs/>
        </w:rPr>
      </w:pPr>
      <w:r w:rsidRPr="00BD2665">
        <w:rPr>
          <w:rFonts w:eastAsia="Calibri" w:cs="Calibri"/>
          <w:b/>
          <w:bCs/>
          <w:iCs/>
        </w:rPr>
        <w:t xml:space="preserve">Status: </w:t>
      </w:r>
      <w:r w:rsidR="001C69C3" w:rsidRPr="00BD6BB3">
        <w:rPr>
          <w:rFonts w:eastAsia="Calibri" w:cs="Calibri"/>
          <w:iCs/>
        </w:rPr>
        <w:t>KY</w:t>
      </w:r>
      <w:r w:rsidR="00341712" w:rsidRPr="00BD6BB3">
        <w:rPr>
          <w:rFonts w:eastAsia="Calibri" w:cs="Calibri"/>
          <w:iCs/>
        </w:rPr>
        <w:t xml:space="preserve"> </w:t>
      </w:r>
      <w:r w:rsidR="001C69C3" w:rsidRPr="00BD6BB3">
        <w:rPr>
          <w:rFonts w:eastAsia="Calibri" w:cs="Calibri"/>
          <w:iCs/>
        </w:rPr>
        <w:t>OSH is</w:t>
      </w:r>
      <w:r w:rsidR="00EC27E1" w:rsidRPr="00BD6BB3">
        <w:rPr>
          <w:rFonts w:eastAsia="Calibri" w:cs="Calibri"/>
          <w:iCs/>
        </w:rPr>
        <w:t xml:space="preserve"> continually</w:t>
      </w:r>
      <w:r w:rsidR="006B7D49">
        <w:rPr>
          <w:rFonts w:eastAsia="Calibri" w:cs="Calibri"/>
          <w:iCs/>
        </w:rPr>
        <w:t xml:space="preserve"> making</w:t>
      </w:r>
      <w:r w:rsidR="00EC27E1" w:rsidRPr="00BD6BB3">
        <w:rPr>
          <w:rFonts w:eastAsia="Calibri" w:cs="Calibri"/>
          <w:iCs/>
        </w:rPr>
        <w:t xml:space="preserve"> progress on this Finding.</w:t>
      </w:r>
      <w:r w:rsidR="00341712" w:rsidRPr="00BD6BB3">
        <w:rPr>
          <w:rFonts w:eastAsia="Calibri" w:cs="Calibri"/>
          <w:iCs/>
        </w:rPr>
        <w:t xml:space="preserve"> </w:t>
      </w:r>
      <w:r w:rsidR="0026620F" w:rsidRPr="00BD6BB3">
        <w:rPr>
          <w:rFonts w:eastAsia="Calibri" w:cs="Calibri"/>
          <w:iCs/>
        </w:rPr>
        <w:t xml:space="preserve">In FY 2024, </w:t>
      </w:r>
      <w:r w:rsidR="00341712" w:rsidRPr="00BD6BB3">
        <w:rPr>
          <w:rFonts w:eastAsia="Calibri" w:cs="Calibri"/>
          <w:iCs/>
        </w:rPr>
        <w:t>KY OSH reduced the lapse time for health inspections</w:t>
      </w:r>
      <w:r w:rsidR="00A97B91" w:rsidRPr="00BD6BB3">
        <w:rPr>
          <w:rFonts w:eastAsia="Calibri" w:cs="Calibri"/>
          <w:iCs/>
        </w:rPr>
        <w:t xml:space="preserve"> to within the FRL</w:t>
      </w:r>
      <w:r w:rsidR="00341712" w:rsidRPr="00BD6BB3">
        <w:rPr>
          <w:rFonts w:eastAsia="Calibri" w:cs="Calibri"/>
          <w:iCs/>
        </w:rPr>
        <w:t xml:space="preserve">, thus health lapse time was removed from this finding. </w:t>
      </w:r>
      <w:r w:rsidR="00EC27E1" w:rsidRPr="00BD6BB3">
        <w:rPr>
          <w:rFonts w:eastAsia="Calibri" w:cs="Calibri"/>
          <w:iCs/>
        </w:rPr>
        <w:t xml:space="preserve"> </w:t>
      </w:r>
      <w:r w:rsidR="002444A4">
        <w:rPr>
          <w:rFonts w:eastAsia="Calibri" w:cs="Calibri"/>
          <w:iCs/>
        </w:rPr>
        <w:t xml:space="preserve"> </w:t>
      </w:r>
      <w:r w:rsidR="002444A4" w:rsidRPr="002444A4">
        <w:t xml:space="preserve"> </w:t>
      </w:r>
      <w:r w:rsidR="002444A4" w:rsidRPr="002444A4">
        <w:rPr>
          <w:rFonts w:eastAsia="Calibri" w:cs="Calibri"/>
          <w:iCs/>
        </w:rPr>
        <w:t xml:space="preserve">KY OSH has researched the outliers and implemented an action plan to reduce the average lapse time for safety inspections.  It will take some time for this measure to decrease under the new action plan.  </w:t>
      </w:r>
    </w:p>
    <w:p w14:paraId="19762949" w14:textId="14EE9F2F" w:rsidR="000373A6" w:rsidRPr="000373A6" w:rsidRDefault="0069005A" w:rsidP="000373A6">
      <w:pPr>
        <w:widowControl/>
        <w:tabs>
          <w:tab w:val="center" w:pos="270"/>
          <w:tab w:val="left" w:pos="360"/>
        </w:tabs>
        <w:autoSpaceDE/>
        <w:autoSpaceDN/>
        <w:adjustRightInd/>
        <w:rPr>
          <w:rFonts w:eastAsia="Calibri" w:cs="Calibri"/>
          <w:iCs/>
        </w:rPr>
      </w:pPr>
      <w:r>
        <w:rPr>
          <w:rFonts w:eastAsia="Calibri" w:cs="Calibri"/>
          <w:iCs/>
        </w:rPr>
        <w:t xml:space="preserve"> </w:t>
      </w:r>
    </w:p>
    <w:p w14:paraId="651A9129" w14:textId="1F5E2763" w:rsidR="000373A6" w:rsidRDefault="00F67FB0" w:rsidP="000373A6">
      <w:pPr>
        <w:widowControl/>
        <w:tabs>
          <w:tab w:val="center" w:pos="270"/>
          <w:tab w:val="left" w:pos="360"/>
        </w:tabs>
        <w:autoSpaceDE/>
        <w:autoSpaceDN/>
        <w:adjustRightInd/>
        <w:rPr>
          <w:rFonts w:eastAsia="Calibri" w:cs="Calibri"/>
          <w:iCs/>
        </w:rPr>
      </w:pPr>
      <w:r w:rsidRPr="00F67FB0">
        <w:rPr>
          <w:rFonts w:eastAsia="Calibri" w:cs="Calibri"/>
          <w:b/>
          <w:bCs/>
          <w:iCs/>
        </w:rPr>
        <w:t>Finding FY 2024-02</w:t>
      </w:r>
      <w:r w:rsidRPr="00F67FB0">
        <w:rPr>
          <w:rFonts w:eastAsia="Calibri" w:cs="Calibri"/>
          <w:iCs/>
        </w:rPr>
        <w:t xml:space="preserve"> (Formerly FY 2023-02, FY 2022-02 and FY 2021-04):  The Kentucky State Plan has been unable to implement OSHA’s initial FY 2016 Federal Civil Penalties Inflation Adjustment Act Annual Adjustments, through 2024.  Legislative action is required to amend the statute.</w:t>
      </w:r>
    </w:p>
    <w:p w14:paraId="4EB8792E" w14:textId="77777777" w:rsidR="00715F44" w:rsidRDefault="00715F44" w:rsidP="000373A6">
      <w:pPr>
        <w:widowControl/>
        <w:tabs>
          <w:tab w:val="center" w:pos="270"/>
          <w:tab w:val="left" w:pos="360"/>
        </w:tabs>
        <w:autoSpaceDE/>
        <w:autoSpaceDN/>
        <w:adjustRightInd/>
        <w:rPr>
          <w:rFonts w:eastAsia="Calibri" w:cs="Calibri"/>
          <w:iCs/>
        </w:rPr>
      </w:pPr>
    </w:p>
    <w:p w14:paraId="2799AF4B" w14:textId="0C42C4A3" w:rsidR="00715F44" w:rsidRPr="003F479F" w:rsidRDefault="00715F44" w:rsidP="003F479F">
      <w:pPr>
        <w:widowControl/>
        <w:tabs>
          <w:tab w:val="center" w:pos="270"/>
          <w:tab w:val="left" w:pos="360"/>
        </w:tabs>
        <w:autoSpaceDE/>
        <w:autoSpaceDN/>
        <w:adjustRightInd/>
        <w:rPr>
          <w:rFonts w:eastAsia="Calibri" w:cs="Calibri"/>
          <w:iCs/>
        </w:rPr>
      </w:pPr>
      <w:bookmarkStart w:id="21" w:name="_Hlk193375132"/>
      <w:r w:rsidRPr="00715F44">
        <w:rPr>
          <w:rFonts w:eastAsia="Calibri" w:cs="Calibri"/>
          <w:b/>
          <w:bCs/>
          <w:iCs/>
        </w:rPr>
        <w:t>Status:</w:t>
      </w:r>
      <w:r w:rsidR="003F4511">
        <w:rPr>
          <w:rFonts w:eastAsia="Calibri" w:cs="Calibri"/>
          <w:b/>
          <w:bCs/>
          <w:iCs/>
        </w:rPr>
        <w:t xml:space="preserve">  </w:t>
      </w:r>
      <w:r w:rsidR="003F479F" w:rsidRPr="00BD6BB3">
        <w:rPr>
          <w:rFonts w:eastAsia="Calibri" w:cs="Calibri"/>
          <w:iCs/>
        </w:rPr>
        <w:t xml:space="preserve"> </w:t>
      </w:r>
      <w:r w:rsidR="007F5646" w:rsidRPr="00BD6BB3">
        <w:rPr>
          <w:rFonts w:eastAsia="Calibri" w:cs="Calibri"/>
          <w:iCs/>
        </w:rPr>
        <w:t xml:space="preserve">In </w:t>
      </w:r>
      <w:r w:rsidR="007F5646" w:rsidRPr="00555D96">
        <w:rPr>
          <w:rFonts w:eastAsia="Calibri" w:cs="Calibri"/>
          <w:iCs/>
        </w:rPr>
        <w:t>FY2</w:t>
      </w:r>
      <w:r w:rsidR="0065187B" w:rsidRPr="00555D96">
        <w:rPr>
          <w:rFonts w:eastAsia="Calibri" w:cs="Calibri"/>
          <w:iCs/>
        </w:rPr>
        <w:t>4</w:t>
      </w:r>
      <w:r w:rsidR="007F5646" w:rsidRPr="00BD6BB3">
        <w:rPr>
          <w:rFonts w:eastAsia="Calibri" w:cs="Calibri"/>
          <w:iCs/>
        </w:rPr>
        <w:t xml:space="preserve">, </w:t>
      </w:r>
      <w:r w:rsidR="00D763CA" w:rsidRPr="00BD6BB3">
        <w:rPr>
          <w:rFonts w:eastAsia="Calibri" w:cs="Calibri"/>
          <w:iCs/>
        </w:rPr>
        <w:t xml:space="preserve">KY OSH </w:t>
      </w:r>
      <w:r w:rsidR="003F479F" w:rsidRPr="00BD6BB3">
        <w:rPr>
          <w:rFonts w:eastAsia="Calibri" w:cs="Calibri"/>
          <w:iCs/>
        </w:rPr>
        <w:t xml:space="preserve">worked with state authorities and legislation was proposed in the legislative General Session to annually adjust Kentucky’s occupational safety and health civil penalties.  The legislation did not pass. </w:t>
      </w:r>
      <w:r w:rsidR="00D7388E" w:rsidRPr="00D7388E">
        <w:rPr>
          <w:rFonts w:eastAsia="Calibri" w:cs="Calibri"/>
          <w:iCs/>
        </w:rPr>
        <w:t xml:space="preserve">Kentucky will continue to work with state authorities to amend Kentucky’s occupational safety and health civil penalties. </w:t>
      </w:r>
      <w:r w:rsidR="006A135D">
        <w:rPr>
          <w:rFonts w:eastAsia="Calibri" w:cs="Calibri"/>
          <w:iCs/>
        </w:rPr>
        <w:t xml:space="preserve">  Kentucky has a </w:t>
      </w:r>
      <w:r w:rsidR="00D03902">
        <w:rPr>
          <w:rFonts w:eastAsia="Calibri" w:cs="Calibri"/>
          <w:iCs/>
        </w:rPr>
        <w:t>House Bill 778 currently in committee which</w:t>
      </w:r>
      <w:r w:rsidR="00B305CF">
        <w:rPr>
          <w:rFonts w:eastAsia="Calibri" w:cs="Calibri"/>
          <w:iCs/>
        </w:rPr>
        <w:t xml:space="preserve"> </w:t>
      </w:r>
      <w:r w:rsidR="009C0E22">
        <w:rPr>
          <w:rFonts w:eastAsia="Calibri" w:cs="Calibri"/>
          <w:iCs/>
        </w:rPr>
        <w:t>will</w:t>
      </w:r>
      <w:r w:rsidR="00BD71BB">
        <w:rPr>
          <w:rFonts w:eastAsia="Calibri" w:cs="Calibri"/>
          <w:iCs/>
        </w:rPr>
        <w:t xml:space="preserve"> </w:t>
      </w:r>
      <w:r w:rsidR="008E5CAA" w:rsidRPr="008E5CAA">
        <w:rPr>
          <w:rFonts w:eastAsia="Calibri" w:cs="Calibri"/>
          <w:iCs/>
        </w:rPr>
        <w:t>annually adjust the maximum civil penalties beginning in 2025 by the percentage increase, if any, in the United State Average Consumer Price Index for all Urban Customers (CPI-U)</w:t>
      </w:r>
      <w:r w:rsidR="009C0E22">
        <w:rPr>
          <w:rFonts w:eastAsia="Calibri" w:cs="Calibri"/>
          <w:iCs/>
        </w:rPr>
        <w:t>.  If passed, it will d</w:t>
      </w:r>
      <w:r w:rsidR="008E5CAA" w:rsidRPr="008E5CAA">
        <w:rPr>
          <w:rFonts w:eastAsia="Calibri" w:cs="Calibri"/>
          <w:iCs/>
        </w:rPr>
        <w:t xml:space="preserve">irect the </w:t>
      </w:r>
      <w:r w:rsidR="009C0E22">
        <w:rPr>
          <w:rFonts w:eastAsia="Calibri" w:cs="Calibri"/>
          <w:iCs/>
        </w:rPr>
        <w:t>S</w:t>
      </w:r>
      <w:r w:rsidR="008E5CAA" w:rsidRPr="008E5CAA">
        <w:rPr>
          <w:rFonts w:eastAsia="Calibri" w:cs="Calibri"/>
          <w:iCs/>
        </w:rPr>
        <w:t xml:space="preserve">ecretary to begin a </w:t>
      </w:r>
      <w:r w:rsidR="00FF62A1" w:rsidRPr="008E5CAA">
        <w:rPr>
          <w:rFonts w:eastAsia="Calibri" w:cs="Calibri"/>
          <w:iCs/>
        </w:rPr>
        <w:t>three-year</w:t>
      </w:r>
      <w:r w:rsidR="008E5CAA" w:rsidRPr="008E5CAA">
        <w:rPr>
          <w:rFonts w:eastAsia="Calibri" w:cs="Calibri"/>
          <w:iCs/>
        </w:rPr>
        <w:t xml:space="preserve"> phase-in for penalty adjustments beginning August 1, 2025.</w:t>
      </w:r>
    </w:p>
    <w:bookmarkEnd w:id="21"/>
    <w:p w14:paraId="5203498B" w14:textId="77777777" w:rsidR="00783189" w:rsidRPr="001C1E47" w:rsidRDefault="00783189" w:rsidP="00783189">
      <w:pPr>
        <w:widowControl/>
        <w:autoSpaceDE/>
        <w:autoSpaceDN/>
        <w:adjustRightInd/>
        <w:rPr>
          <w:rFonts w:cs="Calibri"/>
          <w:u w:val="single"/>
        </w:rPr>
      </w:pPr>
    </w:p>
    <w:p w14:paraId="63292A44" w14:textId="494F1069" w:rsidR="00443054" w:rsidRPr="0061362E" w:rsidRDefault="00443054" w:rsidP="00E44D46">
      <w:pPr>
        <w:rPr>
          <w:b/>
          <w:bCs/>
        </w:rPr>
      </w:pPr>
      <w:r w:rsidRPr="0061362E">
        <w:rPr>
          <w:b/>
          <w:bCs/>
        </w:rPr>
        <w:t xml:space="preserve">New FY </w:t>
      </w:r>
      <w:r w:rsidR="007C0A36" w:rsidRPr="0061362E">
        <w:rPr>
          <w:b/>
          <w:bCs/>
        </w:rPr>
        <w:t>20</w:t>
      </w:r>
      <w:r w:rsidR="00605347">
        <w:rPr>
          <w:b/>
          <w:bCs/>
        </w:rPr>
        <w:t>24</w:t>
      </w:r>
      <w:r w:rsidR="007C0A36" w:rsidRPr="0061362E">
        <w:rPr>
          <w:b/>
          <w:bCs/>
        </w:rPr>
        <w:t xml:space="preserve"> </w:t>
      </w:r>
      <w:r w:rsidRPr="0061362E">
        <w:rPr>
          <w:b/>
          <w:bCs/>
        </w:rPr>
        <w:t>Finding</w:t>
      </w:r>
    </w:p>
    <w:p w14:paraId="3D476B90" w14:textId="77777777" w:rsidR="00443054" w:rsidRPr="001C1E47" w:rsidRDefault="00443054" w:rsidP="00783189">
      <w:pPr>
        <w:widowControl/>
        <w:autoSpaceDE/>
        <w:autoSpaceDN/>
        <w:adjustRightInd/>
        <w:rPr>
          <w:rFonts w:cs="Calibri"/>
          <w:u w:val="single"/>
        </w:rPr>
      </w:pPr>
    </w:p>
    <w:p w14:paraId="0688DA5D" w14:textId="6B10613F" w:rsidR="00605347" w:rsidRPr="00605347" w:rsidRDefault="00605347" w:rsidP="00605347">
      <w:pPr>
        <w:widowControl/>
        <w:autoSpaceDE/>
        <w:autoSpaceDN/>
        <w:adjustRightInd/>
        <w:rPr>
          <w:rFonts w:cs="Calibri"/>
          <w:bCs/>
        </w:rPr>
      </w:pPr>
      <w:r w:rsidRPr="00605347">
        <w:rPr>
          <w:rFonts w:cs="Calibri"/>
          <w:b/>
        </w:rPr>
        <w:t>Finding FY 2024-03</w:t>
      </w:r>
      <w:r w:rsidR="00CA218F">
        <w:rPr>
          <w:rFonts w:cs="Calibri"/>
          <w:b/>
        </w:rPr>
        <w:t xml:space="preserve"> </w:t>
      </w:r>
      <w:r w:rsidR="000F0B27">
        <w:rPr>
          <w:rFonts w:cs="Calibri"/>
          <w:bCs/>
        </w:rPr>
        <w:t>(</w:t>
      </w:r>
      <w:r w:rsidR="00C16C6D">
        <w:rPr>
          <w:rFonts w:cs="Calibri"/>
          <w:bCs/>
        </w:rPr>
        <w:t>Formerly o</w:t>
      </w:r>
      <w:r w:rsidR="000F0B27">
        <w:rPr>
          <w:rFonts w:cs="Calibri"/>
          <w:bCs/>
        </w:rPr>
        <w:t>bservation</w:t>
      </w:r>
      <w:r w:rsidR="00453796">
        <w:rPr>
          <w:rFonts w:cs="Calibri"/>
          <w:bCs/>
        </w:rPr>
        <w:t xml:space="preserve"> FY 2023</w:t>
      </w:r>
      <w:r w:rsidR="004404F0">
        <w:rPr>
          <w:rFonts w:cs="Calibri"/>
          <w:bCs/>
        </w:rPr>
        <w:t>-OB-01,</w:t>
      </w:r>
      <w:r w:rsidR="000F0B27">
        <w:rPr>
          <w:rFonts w:cs="Calibri"/>
          <w:bCs/>
        </w:rPr>
        <w:t xml:space="preserve"> FY 2022-OB-</w:t>
      </w:r>
      <w:r w:rsidR="00423696">
        <w:rPr>
          <w:rFonts w:cs="Calibri"/>
          <w:bCs/>
        </w:rPr>
        <w:t>0</w:t>
      </w:r>
      <w:r w:rsidR="000F0B27">
        <w:rPr>
          <w:rFonts w:cs="Calibri"/>
          <w:bCs/>
        </w:rPr>
        <w:t>2, FY 2021</w:t>
      </w:r>
      <w:r w:rsidR="00142FC3">
        <w:rPr>
          <w:rFonts w:cs="Calibri"/>
          <w:bCs/>
        </w:rPr>
        <w:t>-OB-</w:t>
      </w:r>
      <w:r w:rsidR="00423696">
        <w:rPr>
          <w:rFonts w:cs="Calibri"/>
          <w:bCs/>
        </w:rPr>
        <w:t>0</w:t>
      </w:r>
      <w:r w:rsidR="00142FC3">
        <w:rPr>
          <w:rFonts w:cs="Calibri"/>
          <w:bCs/>
        </w:rPr>
        <w:t>2, FY 2020-OB-</w:t>
      </w:r>
      <w:r w:rsidR="00423696">
        <w:rPr>
          <w:rFonts w:cs="Calibri"/>
          <w:bCs/>
        </w:rPr>
        <w:t>0</w:t>
      </w:r>
      <w:r w:rsidR="00142FC3">
        <w:rPr>
          <w:rFonts w:cs="Calibri"/>
          <w:bCs/>
        </w:rPr>
        <w:t>1, FY 2019-OB-</w:t>
      </w:r>
      <w:r w:rsidR="00423696">
        <w:rPr>
          <w:rFonts w:cs="Calibri"/>
          <w:bCs/>
        </w:rPr>
        <w:t>0</w:t>
      </w:r>
      <w:r w:rsidR="00142FC3">
        <w:rPr>
          <w:rFonts w:cs="Calibri"/>
          <w:bCs/>
        </w:rPr>
        <w:t>2</w:t>
      </w:r>
      <w:r w:rsidR="00635F2E">
        <w:rPr>
          <w:rFonts w:cs="Calibri"/>
          <w:bCs/>
        </w:rPr>
        <w:t>)</w:t>
      </w:r>
      <w:r w:rsidRPr="00605347">
        <w:rPr>
          <w:rFonts w:cs="Calibri"/>
          <w:b/>
        </w:rPr>
        <w:t>:</w:t>
      </w:r>
      <w:r w:rsidRPr="00605347">
        <w:rPr>
          <w:rFonts w:cs="Calibri"/>
          <w:bCs/>
        </w:rPr>
        <w:t xml:space="preserve">  In FY 2024, the percent in-compliance rate for health inspections (SAMM 9b) was 68.12%, which was above the FRL of 53.01%. </w:t>
      </w:r>
      <w:r w:rsidR="00977CB8">
        <w:rPr>
          <w:rFonts w:cs="Calibri"/>
          <w:bCs/>
        </w:rPr>
        <w:t>This was an observation for</w:t>
      </w:r>
      <w:r w:rsidR="00CF0A4A">
        <w:rPr>
          <w:rFonts w:cs="Calibri"/>
          <w:bCs/>
        </w:rPr>
        <w:t xml:space="preserve"> the past</w:t>
      </w:r>
      <w:r w:rsidR="00977CB8">
        <w:rPr>
          <w:rFonts w:cs="Calibri"/>
          <w:bCs/>
        </w:rPr>
        <w:t xml:space="preserve"> </w:t>
      </w:r>
      <w:r w:rsidR="00635F2E">
        <w:rPr>
          <w:rFonts w:cs="Calibri"/>
          <w:bCs/>
        </w:rPr>
        <w:t>f</w:t>
      </w:r>
      <w:r w:rsidR="004404F0">
        <w:rPr>
          <w:rFonts w:cs="Calibri"/>
          <w:bCs/>
        </w:rPr>
        <w:t>ive</w:t>
      </w:r>
      <w:r w:rsidR="00977CB8">
        <w:rPr>
          <w:rFonts w:cs="Calibri"/>
          <w:bCs/>
        </w:rPr>
        <w:t xml:space="preserve"> years and was converted into a finding for FY 2024. </w:t>
      </w:r>
    </w:p>
    <w:p w14:paraId="48BF8151" w14:textId="77777777" w:rsidR="000F0B27" w:rsidRPr="00605347" w:rsidRDefault="000F0B27" w:rsidP="00605347">
      <w:pPr>
        <w:widowControl/>
        <w:autoSpaceDE/>
        <w:autoSpaceDN/>
        <w:adjustRightInd/>
        <w:rPr>
          <w:rFonts w:cs="Calibri"/>
          <w:b/>
        </w:rPr>
      </w:pPr>
    </w:p>
    <w:p w14:paraId="49B17603" w14:textId="6F341366" w:rsidR="00605347" w:rsidRPr="00605347" w:rsidRDefault="00605347" w:rsidP="00605347">
      <w:pPr>
        <w:widowControl/>
        <w:autoSpaceDE/>
        <w:autoSpaceDN/>
        <w:adjustRightInd/>
        <w:rPr>
          <w:rFonts w:cs="Calibri"/>
          <w:bCs/>
        </w:rPr>
      </w:pPr>
      <w:r w:rsidRPr="00605347">
        <w:rPr>
          <w:rFonts w:cs="Calibri"/>
          <w:b/>
        </w:rPr>
        <w:t>Recommendation:</w:t>
      </w:r>
      <w:r w:rsidRPr="00605347">
        <w:rPr>
          <w:rFonts w:cs="Calibri"/>
          <w:bCs/>
        </w:rPr>
        <w:t xml:space="preserve">  </w:t>
      </w:r>
      <w:r w:rsidR="00EB0FDB">
        <w:rPr>
          <w:rFonts w:cs="Calibri"/>
          <w:bCs/>
        </w:rPr>
        <w:t xml:space="preserve"> </w:t>
      </w:r>
      <w:r w:rsidR="002A603B">
        <w:rPr>
          <w:rFonts w:cs="Calibri"/>
          <w:bCs/>
        </w:rPr>
        <w:t xml:space="preserve"> </w:t>
      </w:r>
      <w:r w:rsidR="00EB0FDB" w:rsidRPr="00EB0FDB">
        <w:rPr>
          <w:rFonts w:cs="Calibri"/>
          <w:bCs/>
        </w:rPr>
        <w:t>KY OSH has researched the outliers and developed an action plan to reduce in-compliance rates for health inspections. OSHA will evaluate how the action plan is working during quarterly meetings with KY OSH and discuss new recommendations as appropriate.</w:t>
      </w:r>
    </w:p>
    <w:p w14:paraId="6E54E3D0" w14:textId="77777777" w:rsidR="00443054" w:rsidRPr="001C1E47" w:rsidRDefault="00443054" w:rsidP="00783189">
      <w:pPr>
        <w:widowControl/>
        <w:autoSpaceDE/>
        <w:autoSpaceDN/>
        <w:adjustRightInd/>
        <w:rPr>
          <w:rFonts w:cs="Calibri"/>
          <w:bCs/>
          <w:highlight w:val="yellow"/>
          <w:u w:val="single"/>
        </w:rPr>
      </w:pPr>
    </w:p>
    <w:p w14:paraId="49B482D8" w14:textId="77777777" w:rsidR="00443054" w:rsidRPr="00605347" w:rsidRDefault="00443054" w:rsidP="00605347">
      <w:pPr>
        <w:pStyle w:val="Heading4"/>
      </w:pPr>
      <w:bookmarkStart w:id="22" w:name="_Toc118900176"/>
      <w:bookmarkStart w:id="23" w:name="_Toc118905015"/>
      <w:r w:rsidRPr="00605347">
        <w:t>Observations</w:t>
      </w:r>
      <w:bookmarkEnd w:id="22"/>
      <w:bookmarkEnd w:id="23"/>
    </w:p>
    <w:p w14:paraId="2D0C820B" w14:textId="77777777" w:rsidR="005C1BFC" w:rsidRPr="001C1E47" w:rsidRDefault="005C1BFC" w:rsidP="00783189">
      <w:pPr>
        <w:widowControl/>
        <w:autoSpaceDE/>
        <w:autoSpaceDN/>
        <w:adjustRightInd/>
        <w:rPr>
          <w:rFonts w:cs="Calibri"/>
          <w:bCs/>
          <w:highlight w:val="yellow"/>
          <w:u w:val="single"/>
        </w:rPr>
      </w:pPr>
    </w:p>
    <w:p w14:paraId="53E5B736" w14:textId="06940A47" w:rsidR="00D97421" w:rsidRDefault="00D97421" w:rsidP="00783189">
      <w:pPr>
        <w:widowControl/>
        <w:autoSpaceDE/>
        <w:autoSpaceDN/>
        <w:adjustRightInd/>
        <w:rPr>
          <w:rFonts w:cs="Calibri"/>
          <w:b/>
          <w:bCs/>
        </w:rPr>
      </w:pPr>
      <w:r w:rsidRPr="0061362E">
        <w:rPr>
          <w:rFonts w:cs="Calibri"/>
          <w:b/>
          <w:bCs/>
        </w:rPr>
        <w:t xml:space="preserve">Closed </w:t>
      </w:r>
      <w:r w:rsidR="0061362E" w:rsidRPr="0061362E">
        <w:rPr>
          <w:rFonts w:cs="Calibri"/>
          <w:b/>
          <w:bCs/>
        </w:rPr>
        <w:t>FY 202</w:t>
      </w:r>
      <w:r w:rsidR="00605347">
        <w:rPr>
          <w:rFonts w:cs="Calibri"/>
          <w:b/>
          <w:bCs/>
        </w:rPr>
        <w:t>4</w:t>
      </w:r>
      <w:r w:rsidR="0061362E" w:rsidRPr="0061362E">
        <w:rPr>
          <w:rFonts w:cs="Calibri"/>
          <w:b/>
          <w:bCs/>
        </w:rPr>
        <w:t xml:space="preserve"> </w:t>
      </w:r>
      <w:r w:rsidRPr="0061362E">
        <w:rPr>
          <w:rFonts w:cs="Calibri"/>
          <w:b/>
          <w:bCs/>
        </w:rPr>
        <w:t>Observation</w:t>
      </w:r>
      <w:r w:rsidR="00605347">
        <w:rPr>
          <w:rFonts w:cs="Calibri"/>
          <w:b/>
          <w:bCs/>
        </w:rPr>
        <w:t>s</w:t>
      </w:r>
    </w:p>
    <w:p w14:paraId="7DFC597E" w14:textId="4452585A" w:rsidR="00605347" w:rsidRDefault="00605347" w:rsidP="00783189">
      <w:pPr>
        <w:widowControl/>
        <w:autoSpaceDE/>
        <w:autoSpaceDN/>
        <w:adjustRightInd/>
        <w:rPr>
          <w:rFonts w:cs="Calibri"/>
          <w:b/>
          <w:bCs/>
        </w:rPr>
      </w:pPr>
    </w:p>
    <w:p w14:paraId="6EDE6439" w14:textId="4848EB98" w:rsidR="00334FF5" w:rsidRPr="00334FF5" w:rsidRDefault="00334FF5" w:rsidP="00334FF5">
      <w:pPr>
        <w:widowControl/>
        <w:autoSpaceDE/>
        <w:autoSpaceDN/>
        <w:adjustRightInd/>
        <w:rPr>
          <w:rFonts w:cs="Calibri"/>
        </w:rPr>
      </w:pPr>
      <w:r w:rsidRPr="00334FF5">
        <w:rPr>
          <w:rFonts w:cs="Calibri"/>
          <w:b/>
          <w:bCs/>
        </w:rPr>
        <w:t>Observation FY 2023-OB-02:</w:t>
      </w:r>
      <w:r w:rsidRPr="00334FF5">
        <w:rPr>
          <w:rFonts w:cs="Calibri"/>
        </w:rPr>
        <w:t xml:space="preserve">  In FY 2023, 18 out of 33 consultation files reviewed did not have copies of the OSHA 300 logs.</w:t>
      </w:r>
    </w:p>
    <w:p w14:paraId="64B7D71D" w14:textId="77777777" w:rsidR="00334FF5" w:rsidRPr="00334FF5" w:rsidRDefault="00334FF5" w:rsidP="00334FF5">
      <w:pPr>
        <w:widowControl/>
        <w:autoSpaceDE/>
        <w:autoSpaceDN/>
        <w:adjustRightInd/>
        <w:rPr>
          <w:rFonts w:cs="Calibri"/>
        </w:rPr>
      </w:pPr>
    </w:p>
    <w:p w14:paraId="722FE54B" w14:textId="1E47F2F4" w:rsidR="00605347" w:rsidRPr="00605347" w:rsidRDefault="00334FF5" w:rsidP="00334FF5">
      <w:pPr>
        <w:widowControl/>
        <w:autoSpaceDE/>
        <w:autoSpaceDN/>
        <w:adjustRightInd/>
        <w:rPr>
          <w:rFonts w:cs="Calibri"/>
        </w:rPr>
      </w:pPr>
      <w:r>
        <w:rPr>
          <w:rFonts w:cs="Calibri"/>
        </w:rPr>
        <w:t xml:space="preserve">This observation was closed because the Consultation Policies and Procedures Manual states that OSHA 300 logs or injury and illness data must be collected.  It was verified that the injury and illness data was collected. </w:t>
      </w:r>
    </w:p>
    <w:p w14:paraId="0DC0C330" w14:textId="77777777" w:rsidR="00EA4B05" w:rsidRPr="001C1E47" w:rsidRDefault="00EA4B05" w:rsidP="00783189">
      <w:pPr>
        <w:widowControl/>
        <w:autoSpaceDE/>
        <w:autoSpaceDN/>
        <w:adjustRightInd/>
        <w:rPr>
          <w:rFonts w:cs="Calibri"/>
          <w:bCs/>
        </w:rPr>
      </w:pPr>
    </w:p>
    <w:p w14:paraId="07705832" w14:textId="24ACBE06" w:rsidR="00121A08" w:rsidRDefault="004E505A" w:rsidP="00121A08">
      <w:pPr>
        <w:widowControl/>
        <w:autoSpaceDE/>
        <w:autoSpaceDN/>
        <w:adjustRightInd/>
        <w:rPr>
          <w:rFonts w:cs="Calibri"/>
          <w:b/>
        </w:rPr>
      </w:pPr>
      <w:r w:rsidRPr="00160196">
        <w:rPr>
          <w:rFonts w:cs="Calibri"/>
          <w:b/>
        </w:rPr>
        <w:t xml:space="preserve">Continued </w:t>
      </w:r>
      <w:r w:rsidR="00054416" w:rsidRPr="00160196">
        <w:rPr>
          <w:rFonts w:cs="Calibri"/>
          <w:b/>
        </w:rPr>
        <w:t xml:space="preserve">FY </w:t>
      </w:r>
      <w:r w:rsidR="007C0A36" w:rsidRPr="00160196">
        <w:rPr>
          <w:rFonts w:cs="Calibri"/>
          <w:b/>
        </w:rPr>
        <w:t>20</w:t>
      </w:r>
      <w:r w:rsidR="002116F2" w:rsidRPr="00160196">
        <w:rPr>
          <w:rFonts w:cs="Calibri"/>
          <w:b/>
        </w:rPr>
        <w:t>24</w:t>
      </w:r>
      <w:r w:rsidR="007C0A36" w:rsidRPr="00160196">
        <w:rPr>
          <w:rFonts w:cs="Calibri"/>
          <w:b/>
        </w:rPr>
        <w:t xml:space="preserve"> </w:t>
      </w:r>
      <w:r w:rsidR="00443054" w:rsidRPr="00160196">
        <w:rPr>
          <w:rFonts w:cs="Calibri"/>
          <w:b/>
        </w:rPr>
        <w:t>Observation</w:t>
      </w:r>
    </w:p>
    <w:p w14:paraId="0E08E7F0" w14:textId="77777777" w:rsidR="00D42C15" w:rsidRDefault="00D42C15" w:rsidP="00121A08">
      <w:pPr>
        <w:widowControl/>
        <w:autoSpaceDE/>
        <w:autoSpaceDN/>
        <w:adjustRightInd/>
        <w:rPr>
          <w:rFonts w:cs="Calibri"/>
          <w:b/>
        </w:rPr>
      </w:pPr>
    </w:p>
    <w:p w14:paraId="2927A36F" w14:textId="6D8B8DE1" w:rsidR="00D42C15" w:rsidRPr="00D42C15" w:rsidRDefault="00D42C15" w:rsidP="00121A08">
      <w:pPr>
        <w:widowControl/>
        <w:autoSpaceDE/>
        <w:autoSpaceDN/>
        <w:adjustRightInd/>
        <w:rPr>
          <w:rFonts w:cs="Calibri"/>
          <w:bCs/>
        </w:rPr>
      </w:pPr>
      <w:r w:rsidRPr="00D42C15">
        <w:rPr>
          <w:rFonts w:cs="Calibri"/>
          <w:bCs/>
        </w:rPr>
        <w:t xml:space="preserve">There were no continued observations for FY 2024. </w:t>
      </w:r>
    </w:p>
    <w:p w14:paraId="3FB12F49" w14:textId="77777777" w:rsidR="00121B46" w:rsidRDefault="00121B46" w:rsidP="00783189">
      <w:pPr>
        <w:widowControl/>
        <w:autoSpaceDE/>
        <w:autoSpaceDN/>
        <w:adjustRightInd/>
        <w:rPr>
          <w:rFonts w:cs="Calibri"/>
          <w:bCs/>
          <w:iCs/>
          <w:color w:val="0070C0"/>
        </w:rPr>
      </w:pPr>
    </w:p>
    <w:p w14:paraId="60205B8E" w14:textId="791BD12D" w:rsidR="006672E3" w:rsidRPr="00160196" w:rsidRDefault="00443054" w:rsidP="00783189">
      <w:pPr>
        <w:widowControl/>
        <w:autoSpaceDE/>
        <w:autoSpaceDN/>
        <w:adjustRightInd/>
        <w:rPr>
          <w:rFonts w:cs="Calibri"/>
          <w:b/>
          <w:bCs/>
        </w:rPr>
      </w:pPr>
      <w:r w:rsidRPr="00160196">
        <w:rPr>
          <w:rFonts w:cs="Calibri"/>
          <w:b/>
          <w:bCs/>
        </w:rPr>
        <w:t>New FY 20</w:t>
      </w:r>
      <w:r w:rsidR="00121B46" w:rsidRPr="00160196">
        <w:rPr>
          <w:rFonts w:cs="Calibri"/>
          <w:b/>
          <w:bCs/>
        </w:rPr>
        <w:t>24</w:t>
      </w:r>
      <w:r w:rsidRPr="00160196">
        <w:rPr>
          <w:rFonts w:cs="Calibri"/>
          <w:b/>
          <w:bCs/>
        </w:rPr>
        <w:t xml:space="preserve"> </w:t>
      </w:r>
      <w:r w:rsidR="006672E3" w:rsidRPr="00160196">
        <w:rPr>
          <w:rFonts w:cs="Calibri"/>
          <w:b/>
          <w:bCs/>
        </w:rPr>
        <w:t>Observation</w:t>
      </w:r>
      <w:r w:rsidR="00121B46" w:rsidRPr="00160196">
        <w:rPr>
          <w:rFonts w:cs="Calibri"/>
          <w:b/>
          <w:bCs/>
        </w:rPr>
        <w:t>s</w:t>
      </w:r>
    </w:p>
    <w:p w14:paraId="6ED6EFB2" w14:textId="77777777" w:rsidR="00121B46" w:rsidRDefault="00121B46" w:rsidP="00783189">
      <w:pPr>
        <w:widowControl/>
        <w:autoSpaceDE/>
        <w:autoSpaceDN/>
        <w:adjustRightInd/>
        <w:rPr>
          <w:rFonts w:cs="Calibri"/>
          <w:b/>
          <w:bCs/>
        </w:rPr>
      </w:pPr>
    </w:p>
    <w:p w14:paraId="7C2F3EA1" w14:textId="6B3CE389" w:rsidR="005E038B" w:rsidRDefault="00121B46" w:rsidP="00783189">
      <w:pPr>
        <w:widowControl/>
        <w:autoSpaceDE/>
        <w:autoSpaceDN/>
        <w:adjustRightInd/>
        <w:rPr>
          <w:rFonts w:cs="Calibri"/>
        </w:rPr>
      </w:pPr>
      <w:r w:rsidRPr="00121B46">
        <w:rPr>
          <w:rFonts w:cs="Calibri"/>
        </w:rPr>
        <w:t xml:space="preserve">There were no new observations for FY 2024. </w:t>
      </w:r>
    </w:p>
    <w:p w14:paraId="6E96C46A" w14:textId="77777777" w:rsidR="002F62FD" w:rsidRPr="002F62FD" w:rsidRDefault="002F62FD" w:rsidP="00783189">
      <w:pPr>
        <w:widowControl/>
        <w:autoSpaceDE/>
        <w:autoSpaceDN/>
        <w:adjustRightInd/>
        <w:rPr>
          <w:rFonts w:cs="Calibri"/>
        </w:rPr>
      </w:pPr>
    </w:p>
    <w:p w14:paraId="6AD12CC3" w14:textId="1030F757" w:rsidR="00C14885" w:rsidRDefault="00F132A8" w:rsidP="00E33882">
      <w:pPr>
        <w:pStyle w:val="Heading3"/>
      </w:pPr>
      <w:bookmarkStart w:id="24" w:name="_Toc118900177"/>
      <w:bookmarkStart w:id="25" w:name="_Toc118905016"/>
      <w:bookmarkStart w:id="26" w:name="_Toc119418668"/>
      <w:r w:rsidRPr="0061362E">
        <w:t>State Activity Mandated Measures (SAMM)</w:t>
      </w:r>
      <w:r w:rsidR="00A243D6" w:rsidRPr="0061362E">
        <w:t xml:space="preserve"> Highlights</w:t>
      </w:r>
      <w:bookmarkEnd w:id="24"/>
      <w:bookmarkEnd w:id="25"/>
      <w:bookmarkEnd w:id="26"/>
    </w:p>
    <w:p w14:paraId="69AC61AA" w14:textId="77777777" w:rsidR="00E33882" w:rsidRPr="00E33882" w:rsidRDefault="00E33882" w:rsidP="00E33882"/>
    <w:p w14:paraId="502774D6" w14:textId="76354E0C" w:rsidR="002966F6" w:rsidRDefault="00EC7600" w:rsidP="002966F6">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E33882">
        <w:rPr>
          <w:rFonts w:cs="Calibri"/>
        </w:rPr>
        <w:t>24</w:t>
      </w:r>
      <w:r w:rsidR="005D1F76" w:rsidRPr="001C1E47">
        <w:rPr>
          <w:rFonts w:cs="Calibri"/>
        </w:rPr>
        <w:t xml:space="preserve"> State Activity Mandated Measures (SAMM) Report and includes the FRLs for each measure. </w:t>
      </w:r>
    </w:p>
    <w:p w14:paraId="44A3AB01" w14:textId="77777777" w:rsidR="002966F6" w:rsidRDefault="002966F6" w:rsidP="00783189">
      <w:pPr>
        <w:widowControl/>
        <w:autoSpaceDE/>
        <w:adjustRightInd/>
        <w:rPr>
          <w:rFonts w:cs="Calibri"/>
        </w:rPr>
      </w:pPr>
    </w:p>
    <w:p w14:paraId="75AF2501" w14:textId="36FA8A98" w:rsidR="00EC7600" w:rsidRDefault="00EC7600" w:rsidP="00783189">
      <w:pPr>
        <w:widowControl/>
        <w:autoSpaceDE/>
        <w:adjustRightInd/>
        <w:rPr>
          <w:rFonts w:cs="Calibri"/>
        </w:rPr>
      </w:pPr>
      <w:r w:rsidRPr="001C1E47">
        <w:rPr>
          <w:rFonts w:cs="Calibri"/>
        </w:rPr>
        <w:t>The State Plan was outside the FRL on the following SAMMs:</w:t>
      </w:r>
    </w:p>
    <w:p w14:paraId="2FD505D4" w14:textId="77777777" w:rsidR="00637C8E" w:rsidRDefault="00637C8E" w:rsidP="00783189">
      <w:pPr>
        <w:widowControl/>
        <w:autoSpaceDE/>
        <w:adjustRightInd/>
        <w:rPr>
          <w:rFonts w:cs="Calibri"/>
        </w:rPr>
      </w:pPr>
    </w:p>
    <w:p w14:paraId="659F343F" w14:textId="175B72DD" w:rsidR="00AD5D64" w:rsidRDefault="002C0DBB" w:rsidP="00AD5D64">
      <w:pPr>
        <w:widowControl/>
        <w:autoSpaceDE/>
        <w:adjustRightInd/>
        <w:rPr>
          <w:rFonts w:cs="Calibri"/>
        </w:rPr>
      </w:pPr>
      <w:r w:rsidRPr="00D71A14">
        <w:rPr>
          <w:rFonts w:cs="Calibri"/>
          <w:b/>
          <w:bCs/>
        </w:rPr>
        <w:t xml:space="preserve">SAMM </w:t>
      </w:r>
      <w:r w:rsidR="00637C8E" w:rsidRPr="00D71A14">
        <w:rPr>
          <w:rFonts w:cs="Calibri"/>
          <w:b/>
          <w:bCs/>
        </w:rPr>
        <w:t>6</w:t>
      </w:r>
      <w:r w:rsidRPr="00D71A14">
        <w:rPr>
          <w:rFonts w:cs="Calibri"/>
          <w:b/>
          <w:bCs/>
        </w:rPr>
        <w:t>-</w:t>
      </w:r>
      <w:r>
        <w:rPr>
          <w:rFonts w:cs="Calibri"/>
        </w:rPr>
        <w:t xml:space="preserve"> </w:t>
      </w:r>
      <w:r w:rsidR="00637C8E" w:rsidRPr="00637C8E">
        <w:rPr>
          <w:rFonts w:cs="Calibri"/>
        </w:rPr>
        <w:t>Percent of total inspections in state and local government workplaces</w:t>
      </w:r>
      <w:r w:rsidR="00637C8E" w:rsidRPr="00637C8E">
        <w:rPr>
          <w:rFonts w:cs="Calibri"/>
        </w:rPr>
        <w:tab/>
      </w:r>
    </w:p>
    <w:p w14:paraId="4C34D134" w14:textId="77777777" w:rsidR="00A107C5" w:rsidRDefault="00A107C5" w:rsidP="00637C8E">
      <w:pPr>
        <w:widowControl/>
        <w:autoSpaceDE/>
        <w:adjustRightInd/>
        <w:rPr>
          <w:rFonts w:cs="Calibri"/>
        </w:rPr>
      </w:pPr>
    </w:p>
    <w:p w14:paraId="40FE6091" w14:textId="101A6D29" w:rsidR="005D4027" w:rsidRDefault="005D4027" w:rsidP="00046A18">
      <w:pPr>
        <w:widowControl/>
        <w:autoSpaceDE/>
        <w:adjustRightInd/>
        <w:rPr>
          <w:rFonts w:cs="Calibri"/>
        </w:rPr>
      </w:pPr>
      <w:r w:rsidRPr="00DE0D01">
        <w:rPr>
          <w:rFonts w:cs="Calibri"/>
          <w:b/>
          <w:bCs/>
        </w:rPr>
        <w:t>Discussion of State Plan Data and FRL:</w:t>
      </w:r>
      <w:r w:rsidRPr="005D4027">
        <w:rPr>
          <w:rFonts w:cs="Calibri"/>
        </w:rPr>
        <w:t xml:space="preserve"> </w:t>
      </w:r>
      <w:r w:rsidR="004B7A44" w:rsidRPr="004B7A44">
        <w:rPr>
          <w:rFonts w:cs="Calibri"/>
        </w:rPr>
        <w:t xml:space="preserve">The further review level is based on a number negotiated by OSHA and the State Plan through the grant application.  </w:t>
      </w:r>
      <w:r w:rsidRPr="005D4027">
        <w:rPr>
          <w:rFonts w:cs="Calibri"/>
        </w:rPr>
        <w:t xml:space="preserve">The FRL for </w:t>
      </w:r>
      <w:r w:rsidR="00046A18">
        <w:rPr>
          <w:rFonts w:cs="Calibri"/>
        </w:rPr>
        <w:t>p</w:t>
      </w:r>
      <w:r w:rsidR="00046A18" w:rsidRPr="00046A18">
        <w:rPr>
          <w:rFonts w:cs="Calibri"/>
        </w:rPr>
        <w:t>ercent of total inspections in state and local government workplaces</w:t>
      </w:r>
      <w:r w:rsidR="00046A18">
        <w:rPr>
          <w:rFonts w:cs="Calibri"/>
        </w:rPr>
        <w:t xml:space="preserve"> </w:t>
      </w:r>
      <w:r w:rsidR="00AD2C98">
        <w:rPr>
          <w:rFonts w:cs="Calibri"/>
        </w:rPr>
        <w:t>i</w:t>
      </w:r>
      <w:r w:rsidR="00046A18">
        <w:rPr>
          <w:rFonts w:cs="Calibri"/>
        </w:rPr>
        <w:t xml:space="preserve">s </w:t>
      </w:r>
      <w:r w:rsidR="00046A18" w:rsidRPr="00046A18">
        <w:rPr>
          <w:rFonts w:cs="Calibri"/>
        </w:rPr>
        <w:t>+/- 5% of</w:t>
      </w:r>
      <w:r w:rsidR="00046A18">
        <w:rPr>
          <w:rFonts w:cs="Calibri"/>
        </w:rPr>
        <w:t xml:space="preserve"> the g</w:t>
      </w:r>
      <w:r w:rsidR="00046A18" w:rsidRPr="00046A18">
        <w:rPr>
          <w:rFonts w:cs="Calibri"/>
        </w:rPr>
        <w:t>rant</w:t>
      </w:r>
      <w:r w:rsidR="00046A18">
        <w:rPr>
          <w:rFonts w:cs="Calibri"/>
        </w:rPr>
        <w:t xml:space="preserve"> goal of</w:t>
      </w:r>
      <w:r w:rsidR="00046A18" w:rsidRPr="00046A18">
        <w:rPr>
          <w:rFonts w:cs="Calibri"/>
        </w:rPr>
        <w:t xml:space="preserve"> 9.93%</w:t>
      </w:r>
      <w:r w:rsidR="00046A18">
        <w:rPr>
          <w:rFonts w:cs="Calibri"/>
        </w:rPr>
        <w:t xml:space="preserve">. </w:t>
      </w:r>
      <w:r w:rsidR="00046A18" w:rsidRPr="00046A18">
        <w:rPr>
          <w:rFonts w:cs="Calibri"/>
        </w:rPr>
        <w:t xml:space="preserve">The range of acceptable data not requiring further review </w:t>
      </w:r>
      <w:r w:rsidR="00AD2C98">
        <w:rPr>
          <w:rFonts w:cs="Calibri"/>
        </w:rPr>
        <w:t>i</w:t>
      </w:r>
      <w:r w:rsidR="00046A18" w:rsidRPr="00046A18">
        <w:rPr>
          <w:rFonts w:cs="Calibri"/>
        </w:rPr>
        <w:t>s from 9.44% to 10.43%.</w:t>
      </w:r>
      <w:r w:rsidR="00DE0D01">
        <w:rPr>
          <w:rFonts w:cs="Calibri"/>
        </w:rPr>
        <w:t xml:space="preserve"> Kentucky was at 5.40%, which is below the FRL. </w:t>
      </w:r>
      <w:r w:rsidR="00AF7FC6">
        <w:rPr>
          <w:rFonts w:cs="Calibri"/>
        </w:rPr>
        <w:t>This</w:t>
      </w:r>
      <w:r w:rsidR="00D71A14">
        <w:rPr>
          <w:rFonts w:cs="Calibri"/>
        </w:rPr>
        <w:t xml:space="preserve"> </w:t>
      </w:r>
      <w:r w:rsidR="00AF7FC6">
        <w:rPr>
          <w:rFonts w:cs="Calibri"/>
        </w:rPr>
        <w:t>is not a concern as KY OSH perform</w:t>
      </w:r>
      <w:r w:rsidR="001C19B4">
        <w:rPr>
          <w:rFonts w:cs="Calibri"/>
        </w:rPr>
        <w:t xml:space="preserve">ed </w:t>
      </w:r>
      <w:proofErr w:type="gramStart"/>
      <w:r w:rsidR="00516007">
        <w:rPr>
          <w:rFonts w:cs="Calibri"/>
        </w:rPr>
        <w:t xml:space="preserve">a </w:t>
      </w:r>
      <w:r w:rsidR="0047282E">
        <w:rPr>
          <w:rFonts w:cs="Calibri"/>
        </w:rPr>
        <w:t>sufficient</w:t>
      </w:r>
      <w:r w:rsidR="00AF7FC6">
        <w:rPr>
          <w:rFonts w:cs="Calibri"/>
        </w:rPr>
        <w:t xml:space="preserve"> </w:t>
      </w:r>
      <w:r w:rsidR="00516007">
        <w:rPr>
          <w:rFonts w:cs="Calibri"/>
        </w:rPr>
        <w:t>number of</w:t>
      </w:r>
      <w:proofErr w:type="gramEnd"/>
      <w:r w:rsidR="00516007">
        <w:rPr>
          <w:rFonts w:cs="Calibri"/>
        </w:rPr>
        <w:t xml:space="preserve"> </w:t>
      </w:r>
      <w:r w:rsidR="00D71A14">
        <w:rPr>
          <w:rFonts w:cs="Calibri"/>
        </w:rPr>
        <w:t xml:space="preserve">state and local government inspections in FY 2024. </w:t>
      </w:r>
      <w:r w:rsidR="00DE0D01">
        <w:rPr>
          <w:rFonts w:cs="Calibri"/>
        </w:rPr>
        <w:t xml:space="preserve"> </w:t>
      </w:r>
      <w:r w:rsidRPr="005D4027">
        <w:rPr>
          <w:rFonts w:cs="Calibri"/>
        </w:rPr>
        <w:t xml:space="preserve"> </w:t>
      </w:r>
    </w:p>
    <w:p w14:paraId="69A4D88A" w14:textId="43A3BB7A" w:rsidR="00637C8E" w:rsidRDefault="00637C8E" w:rsidP="00637C8E">
      <w:pPr>
        <w:widowControl/>
        <w:autoSpaceDE/>
        <w:adjustRightInd/>
        <w:rPr>
          <w:rFonts w:cs="Calibri"/>
        </w:rPr>
      </w:pPr>
    </w:p>
    <w:p w14:paraId="43578B31" w14:textId="65D1EAA9" w:rsidR="00637C8E" w:rsidRPr="00F00250" w:rsidRDefault="00297BCD" w:rsidP="003656E1">
      <w:pPr>
        <w:widowControl/>
        <w:autoSpaceDE/>
        <w:adjustRightInd/>
        <w:rPr>
          <w:rFonts w:cs="Calibri"/>
        </w:rPr>
      </w:pPr>
      <w:r w:rsidRPr="00F00250">
        <w:rPr>
          <w:rFonts w:cs="Calibri"/>
          <w:b/>
          <w:bCs/>
        </w:rPr>
        <w:t xml:space="preserve">SAMM </w:t>
      </w:r>
      <w:r w:rsidR="00637C8E" w:rsidRPr="00F00250">
        <w:rPr>
          <w:rFonts w:cs="Calibri"/>
          <w:b/>
          <w:bCs/>
        </w:rPr>
        <w:t>8d</w:t>
      </w:r>
      <w:r w:rsidRPr="00F00250">
        <w:rPr>
          <w:rFonts w:cs="Calibri"/>
          <w:b/>
          <w:bCs/>
        </w:rPr>
        <w:t>-</w:t>
      </w:r>
      <w:r w:rsidRPr="00F00250">
        <w:rPr>
          <w:rFonts w:cs="Calibri"/>
        </w:rPr>
        <w:t xml:space="preserve"> </w:t>
      </w:r>
      <w:r w:rsidR="00637C8E" w:rsidRPr="00F00250">
        <w:rPr>
          <w:rFonts w:cs="Calibri"/>
        </w:rPr>
        <w:t>Average current serious penalty in private sector</w:t>
      </w:r>
      <w:r w:rsidR="003656E1" w:rsidRPr="00F00250">
        <w:rPr>
          <w:rFonts w:cs="Calibri"/>
        </w:rPr>
        <w:t xml:space="preserve"> </w:t>
      </w:r>
      <w:r w:rsidR="00637C8E" w:rsidRPr="00F00250">
        <w:rPr>
          <w:rFonts w:cs="Calibri"/>
        </w:rPr>
        <w:t>(greater than 250 workers)</w:t>
      </w:r>
      <w:r w:rsidR="00637C8E" w:rsidRPr="00F00250">
        <w:rPr>
          <w:rFonts w:cs="Calibri"/>
        </w:rPr>
        <w:tab/>
      </w:r>
      <w:r w:rsidR="003656E1" w:rsidRPr="00F00250">
        <w:rPr>
          <w:rFonts w:cs="Calibri"/>
        </w:rPr>
        <w:t xml:space="preserve"> </w:t>
      </w:r>
    </w:p>
    <w:p w14:paraId="2C04E5EC" w14:textId="77777777" w:rsidR="00606C0B" w:rsidRPr="00F00250" w:rsidRDefault="00606C0B" w:rsidP="00637C8E">
      <w:pPr>
        <w:widowControl/>
        <w:autoSpaceDE/>
        <w:adjustRightInd/>
        <w:rPr>
          <w:rFonts w:cs="Calibri"/>
        </w:rPr>
      </w:pPr>
    </w:p>
    <w:p w14:paraId="2B4F45DC" w14:textId="041B5DC4" w:rsidR="00606C0B" w:rsidRPr="00F00250" w:rsidRDefault="00047F41" w:rsidP="00637C8E">
      <w:pPr>
        <w:widowControl/>
        <w:autoSpaceDE/>
        <w:adjustRightInd/>
        <w:rPr>
          <w:rFonts w:cs="Calibri"/>
        </w:rPr>
      </w:pPr>
      <w:r w:rsidRPr="00F00250">
        <w:rPr>
          <w:rFonts w:cs="Calibri"/>
          <w:b/>
          <w:bCs/>
        </w:rPr>
        <w:t>Discussion of State Plan Data and FRL:</w:t>
      </w:r>
      <w:r w:rsidRPr="00F00250">
        <w:rPr>
          <w:rFonts w:cs="Calibri"/>
        </w:rPr>
        <w:t xml:space="preserve">  </w:t>
      </w:r>
      <w:r w:rsidR="00551718" w:rsidRPr="00F00250">
        <w:rPr>
          <w:rFonts w:cs="Calibri"/>
        </w:rPr>
        <w:t>The State Plan’s average serious penalty was $</w:t>
      </w:r>
      <w:r w:rsidR="00780AE4" w:rsidRPr="00F00250">
        <w:rPr>
          <w:rFonts w:cs="Calibri"/>
        </w:rPr>
        <w:t>5,183.26</w:t>
      </w:r>
      <w:r w:rsidR="00551718" w:rsidRPr="00F00250">
        <w:rPr>
          <w:rFonts w:cs="Calibri"/>
        </w:rPr>
        <w:t xml:space="preserve"> in FY 2024.  The further review level is based on a three-year national average, which </w:t>
      </w:r>
      <w:r w:rsidR="000E6CEA" w:rsidRPr="00F00250">
        <w:rPr>
          <w:rFonts w:cs="Calibri"/>
        </w:rPr>
        <w:t>i</w:t>
      </w:r>
      <w:r w:rsidR="00551718" w:rsidRPr="00F00250">
        <w:rPr>
          <w:rFonts w:cs="Calibri"/>
        </w:rPr>
        <w:t xml:space="preserve">s +/- 25% of $7,533.58.  The range of acceptable data not requiring further review </w:t>
      </w:r>
      <w:r w:rsidR="000E6CEA" w:rsidRPr="00F00250">
        <w:rPr>
          <w:rFonts w:cs="Calibri"/>
        </w:rPr>
        <w:t>i</w:t>
      </w:r>
      <w:r w:rsidR="00551718" w:rsidRPr="00F00250">
        <w:rPr>
          <w:rFonts w:cs="Calibri"/>
        </w:rPr>
        <w:t xml:space="preserve">s from $5,650.19 to $9,416.98.  </w:t>
      </w:r>
      <w:r w:rsidR="003C2392" w:rsidRPr="00F00250">
        <w:rPr>
          <w:rFonts w:cs="Calibri"/>
        </w:rPr>
        <w:t>KY OSH’s penalties were within the FRL</w:t>
      </w:r>
      <w:r w:rsidR="00153E2A" w:rsidRPr="00F00250">
        <w:rPr>
          <w:rFonts w:cs="Calibri"/>
        </w:rPr>
        <w:t>s</w:t>
      </w:r>
      <w:r w:rsidR="003C2392" w:rsidRPr="00F00250">
        <w:rPr>
          <w:rFonts w:cs="Calibri"/>
        </w:rPr>
        <w:t xml:space="preserve"> except for this instance.  Th</w:t>
      </w:r>
      <w:r w:rsidR="00A14818" w:rsidRPr="00F00250">
        <w:rPr>
          <w:rFonts w:cs="Calibri"/>
        </w:rPr>
        <w:t>is penalty amount</w:t>
      </w:r>
      <w:r w:rsidR="003C2392" w:rsidRPr="00F00250">
        <w:rPr>
          <w:rFonts w:cs="Calibri"/>
        </w:rPr>
        <w:t xml:space="preserve"> was close to the FRL</w:t>
      </w:r>
      <w:r w:rsidR="00A14818" w:rsidRPr="00F00250">
        <w:rPr>
          <w:rFonts w:cs="Calibri"/>
        </w:rPr>
        <w:t xml:space="preserve">, so there are no concerns with this measure. </w:t>
      </w:r>
    </w:p>
    <w:p w14:paraId="35A0000D" w14:textId="77777777" w:rsidR="0044270B" w:rsidRDefault="0044270B" w:rsidP="00E23C9E">
      <w:pPr>
        <w:widowControl/>
        <w:autoSpaceDE/>
        <w:adjustRightInd/>
        <w:rPr>
          <w:rFonts w:cs="Calibri"/>
        </w:rPr>
      </w:pPr>
    </w:p>
    <w:p w14:paraId="43707F6A" w14:textId="581C4330" w:rsidR="00F86D4B" w:rsidRPr="007324F0" w:rsidRDefault="00EB0FDB" w:rsidP="00BB25D0">
      <w:pPr>
        <w:widowControl/>
        <w:autoSpaceDE/>
        <w:adjustRightInd/>
        <w:rPr>
          <w:rFonts w:cs="Calibri"/>
          <w:i/>
          <w:color w:val="0070C0"/>
        </w:rPr>
      </w:pPr>
      <w:r>
        <w:rPr>
          <w:rFonts w:cs="Calibri"/>
          <w:b/>
          <w:bCs/>
        </w:rPr>
        <w:t xml:space="preserve"> </w:t>
      </w:r>
    </w:p>
    <w:p w14:paraId="4DD4CBB7" w14:textId="77777777" w:rsidR="000A134A" w:rsidRPr="001C1E47" w:rsidRDefault="000A134A" w:rsidP="007A71AC">
      <w:pPr>
        <w:widowControl/>
        <w:autoSpaceDE/>
        <w:autoSpaceDN/>
        <w:adjustRightInd/>
        <w:rPr>
          <w:rFonts w:cs="Calibri"/>
        </w:rPr>
        <w:sectPr w:rsidR="000A134A" w:rsidRPr="001C1E47" w:rsidSect="00783189">
          <w:headerReference w:type="even" r:id="rId12"/>
          <w:headerReference w:type="default" r:id="rId13"/>
          <w:footerReference w:type="even" r:id="rId14"/>
          <w:footerReference w:type="default" r:id="rId15"/>
          <w:headerReference w:type="first" r:id="rId16"/>
          <w:footerReference w:type="first" r:id="rId17"/>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27" w:name="_Toc118905017"/>
      <w:bookmarkStart w:id="28" w:name="_Toc119418669"/>
      <w:r w:rsidRPr="0002572C">
        <w:t>Appendix A – New and Continued Findings and Recommendations</w:t>
      </w:r>
      <w:bookmarkEnd w:id="27"/>
      <w:bookmarkEnd w:id="28"/>
    </w:p>
    <w:p w14:paraId="670F195C" w14:textId="23C5C5E8" w:rsidR="00B6741C" w:rsidRDefault="00B6741C" w:rsidP="00B6741C">
      <w:r>
        <w:t xml:space="preserve">FY </w:t>
      </w:r>
      <w:r w:rsidRPr="009071BC">
        <w:t>20</w:t>
      </w:r>
      <w:r w:rsidR="00386C85" w:rsidRPr="009071BC">
        <w:t xml:space="preserve">24 KYOSH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6E1B22DF"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386C85">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77777777"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 xml:space="preserve">XX-# or </w:t>
            </w:r>
          </w:p>
          <w:p w14:paraId="3C61CFBF" w14:textId="77777777"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XX-OB-#</w:t>
            </w:r>
          </w:p>
        </w:tc>
      </w:tr>
      <w:tr w:rsidR="000A134A" w:rsidRPr="001C1E47" w14:paraId="5368CE16" w14:textId="77777777" w:rsidTr="00185C7D">
        <w:tc>
          <w:tcPr>
            <w:tcW w:w="1440" w:type="dxa"/>
          </w:tcPr>
          <w:p w14:paraId="31EBB109" w14:textId="12A5B13B" w:rsidR="000A134A" w:rsidRPr="001C1E47" w:rsidRDefault="00021A2A" w:rsidP="007A71AC">
            <w:pPr>
              <w:widowControl/>
              <w:autoSpaceDE/>
              <w:autoSpaceDN/>
              <w:adjustRightInd/>
              <w:rPr>
                <w:rFonts w:cs="Calibri"/>
              </w:rPr>
            </w:pPr>
            <w:r>
              <w:rPr>
                <w:rFonts w:cs="Calibri"/>
              </w:rPr>
              <w:t xml:space="preserve">FY </w:t>
            </w:r>
            <w:r w:rsidR="00525CA8" w:rsidRPr="00525CA8">
              <w:rPr>
                <w:rFonts w:cs="Calibri"/>
              </w:rPr>
              <w:t>2024-01</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6905E689" w:rsidR="000A134A" w:rsidRPr="001C1E47" w:rsidRDefault="00533EA8" w:rsidP="007A71AC">
            <w:pPr>
              <w:widowControl/>
              <w:autoSpaceDE/>
              <w:autoSpaceDN/>
              <w:adjustRightInd/>
              <w:rPr>
                <w:rFonts w:cs="Calibri"/>
              </w:rPr>
            </w:pPr>
            <w:r w:rsidRPr="00533EA8">
              <w:rPr>
                <w:rFonts w:cs="Calibri"/>
              </w:rPr>
              <w:t xml:space="preserve">In FY 2024, the average lapse time for safety inspections (SAMM 11a) was 76.56 days which was above the FRL of 67.23 days.  </w:t>
            </w:r>
          </w:p>
        </w:tc>
        <w:tc>
          <w:tcPr>
            <w:tcW w:w="4819" w:type="dxa"/>
          </w:tcPr>
          <w:p w14:paraId="5C606D29" w14:textId="0646DF3A" w:rsidR="000A134A" w:rsidRPr="001C1E47" w:rsidRDefault="00233404" w:rsidP="007A71AC">
            <w:pPr>
              <w:widowControl/>
              <w:autoSpaceDE/>
              <w:autoSpaceDN/>
              <w:adjustRightInd/>
              <w:rPr>
                <w:rFonts w:cs="Calibri"/>
              </w:rPr>
            </w:pPr>
            <w:r w:rsidRPr="00233404">
              <w:rPr>
                <w:rFonts w:cs="Calibri"/>
              </w:rPr>
              <w:t>KY OSH has researched the outliers and implemented an action plan to reduce the average lapse time for safety inspections.  It will take time for this measure to decrease under the new action plan.  OSHA will evaluate how the action plan is working during quarterly meetings with KY OSH and discuss new recommendations as appropriate.</w:t>
            </w:r>
          </w:p>
          <w:p w14:paraId="7A48B2C8" w14:textId="77777777" w:rsidR="000A134A" w:rsidRPr="001C1E47" w:rsidRDefault="000A134A" w:rsidP="007A71AC">
            <w:pPr>
              <w:widowControl/>
              <w:autoSpaceDE/>
              <w:autoSpaceDN/>
              <w:adjustRightInd/>
              <w:rPr>
                <w:rFonts w:cs="Calibri"/>
              </w:rPr>
            </w:pPr>
          </w:p>
        </w:tc>
        <w:tc>
          <w:tcPr>
            <w:tcW w:w="1890" w:type="dxa"/>
          </w:tcPr>
          <w:p w14:paraId="02C2F7F2" w14:textId="77777777" w:rsidR="00C01EEF" w:rsidRDefault="00525CA8" w:rsidP="007A71AC">
            <w:pPr>
              <w:widowControl/>
              <w:autoSpaceDE/>
              <w:autoSpaceDN/>
              <w:adjustRightInd/>
              <w:rPr>
                <w:rFonts w:cs="Calibri"/>
              </w:rPr>
            </w:pPr>
            <w:r w:rsidRPr="00525CA8">
              <w:rPr>
                <w:rFonts w:cs="Calibri"/>
              </w:rPr>
              <w:t xml:space="preserve">FY 2023-01, </w:t>
            </w:r>
          </w:p>
          <w:p w14:paraId="27853AE8" w14:textId="77777777" w:rsidR="00C01EEF" w:rsidRDefault="00525CA8" w:rsidP="007A71AC">
            <w:pPr>
              <w:widowControl/>
              <w:autoSpaceDE/>
              <w:autoSpaceDN/>
              <w:adjustRightInd/>
              <w:rPr>
                <w:rFonts w:cs="Calibri"/>
              </w:rPr>
            </w:pPr>
            <w:r w:rsidRPr="00525CA8">
              <w:rPr>
                <w:rFonts w:cs="Calibri"/>
              </w:rPr>
              <w:t xml:space="preserve">FY 2021-03, </w:t>
            </w:r>
          </w:p>
          <w:p w14:paraId="48285E3E" w14:textId="77777777" w:rsidR="00C01EEF" w:rsidRDefault="00525CA8" w:rsidP="007A71AC">
            <w:pPr>
              <w:widowControl/>
              <w:autoSpaceDE/>
              <w:autoSpaceDN/>
              <w:adjustRightInd/>
              <w:rPr>
                <w:rFonts w:cs="Calibri"/>
              </w:rPr>
            </w:pPr>
            <w:r w:rsidRPr="00525CA8">
              <w:rPr>
                <w:rFonts w:cs="Calibri"/>
              </w:rPr>
              <w:t xml:space="preserve">FY 2020-03 </w:t>
            </w:r>
          </w:p>
          <w:p w14:paraId="51FF8A48" w14:textId="7E9F8117" w:rsidR="000A134A" w:rsidRPr="001C1E47" w:rsidRDefault="00525CA8" w:rsidP="007A71AC">
            <w:pPr>
              <w:widowControl/>
              <w:autoSpaceDE/>
              <w:autoSpaceDN/>
              <w:adjustRightInd/>
              <w:rPr>
                <w:rFonts w:cs="Calibri"/>
              </w:rPr>
            </w:pPr>
            <w:r w:rsidRPr="00525CA8">
              <w:rPr>
                <w:rFonts w:cs="Calibri"/>
              </w:rPr>
              <w:t>FY 2019-03</w:t>
            </w:r>
          </w:p>
        </w:tc>
      </w:tr>
      <w:tr w:rsidR="000A134A" w:rsidRPr="001C1E47" w14:paraId="103CA6F2" w14:textId="77777777" w:rsidTr="00185C7D">
        <w:tc>
          <w:tcPr>
            <w:tcW w:w="1440" w:type="dxa"/>
          </w:tcPr>
          <w:p w14:paraId="76B70B57" w14:textId="59E3696A" w:rsidR="000A134A" w:rsidRPr="001C1E47" w:rsidRDefault="000A134A" w:rsidP="007A71AC">
            <w:pPr>
              <w:widowControl/>
              <w:autoSpaceDE/>
              <w:autoSpaceDN/>
              <w:adjustRightInd/>
              <w:rPr>
                <w:rFonts w:cs="Calibri"/>
              </w:rPr>
            </w:pPr>
            <w:r w:rsidRPr="001C1E47">
              <w:rPr>
                <w:rFonts w:cs="Calibri"/>
              </w:rPr>
              <w:t xml:space="preserve"> </w:t>
            </w:r>
            <w:r w:rsidR="00021A2A" w:rsidRPr="00021A2A">
              <w:rPr>
                <w:rFonts w:cs="Calibri"/>
              </w:rPr>
              <w:t>FY 2024-02</w:t>
            </w:r>
          </w:p>
          <w:p w14:paraId="673AF147" w14:textId="77777777" w:rsidR="000A134A" w:rsidRPr="001C1E47" w:rsidRDefault="000A134A" w:rsidP="007A71AC">
            <w:pPr>
              <w:widowControl/>
              <w:autoSpaceDE/>
              <w:autoSpaceDN/>
              <w:adjustRightInd/>
              <w:rPr>
                <w:rFonts w:cs="Calibri"/>
              </w:rPr>
            </w:pPr>
          </w:p>
        </w:tc>
        <w:tc>
          <w:tcPr>
            <w:tcW w:w="4721" w:type="dxa"/>
          </w:tcPr>
          <w:p w14:paraId="5B47278E" w14:textId="069801DF" w:rsidR="000A134A" w:rsidRPr="001C1E47" w:rsidRDefault="00F67FB0" w:rsidP="007A71AC">
            <w:pPr>
              <w:widowControl/>
              <w:autoSpaceDE/>
              <w:autoSpaceDN/>
              <w:adjustRightInd/>
              <w:rPr>
                <w:rFonts w:cs="Calibri"/>
              </w:rPr>
            </w:pPr>
            <w:r w:rsidRPr="00F67FB0">
              <w:rPr>
                <w:rFonts w:cs="Calibri"/>
              </w:rPr>
              <w:t>The Kentucky State Plan has been unable to implement OSHA’s initial FY 2016 Federal Civil Penalties Inflation Adjustment Act Annual Adjustments, through 2024.  Legislative action is required to amend the statute.</w:t>
            </w:r>
          </w:p>
          <w:p w14:paraId="53C5489A" w14:textId="77777777" w:rsidR="000A134A" w:rsidRPr="001C1E47" w:rsidRDefault="000A134A" w:rsidP="007A71AC">
            <w:pPr>
              <w:widowControl/>
              <w:autoSpaceDE/>
              <w:autoSpaceDN/>
              <w:adjustRightInd/>
              <w:rPr>
                <w:rFonts w:cs="Calibri"/>
              </w:rPr>
            </w:pPr>
          </w:p>
        </w:tc>
        <w:tc>
          <w:tcPr>
            <w:tcW w:w="4819" w:type="dxa"/>
          </w:tcPr>
          <w:p w14:paraId="527F29DD" w14:textId="36BE651C" w:rsidR="000A134A" w:rsidRPr="001C1E47" w:rsidRDefault="00695721" w:rsidP="007A71AC">
            <w:pPr>
              <w:widowControl/>
              <w:autoSpaceDE/>
              <w:autoSpaceDN/>
              <w:adjustRightInd/>
              <w:rPr>
                <w:rFonts w:cs="Calibri"/>
              </w:rPr>
            </w:pPr>
            <w:r w:rsidRPr="00695721">
              <w:rPr>
                <w:rFonts w:cs="Calibri"/>
              </w:rPr>
              <w:t xml:space="preserve">KY OSH should continue working with their </w:t>
            </w:r>
            <w:proofErr w:type="gramStart"/>
            <w:r w:rsidRPr="00695721">
              <w:rPr>
                <w:rFonts w:cs="Calibri"/>
              </w:rPr>
              <w:t>State</w:t>
            </w:r>
            <w:proofErr w:type="gramEnd"/>
            <w:r w:rsidRPr="00695721">
              <w:rPr>
                <w:rFonts w:cs="Calibri"/>
              </w:rPr>
              <w:t xml:space="preserve"> authorities to complete the legislative changes necessary to adopt the annual inflationary adjustments.   </w:t>
            </w:r>
          </w:p>
          <w:p w14:paraId="7375EF07" w14:textId="77777777" w:rsidR="000A134A" w:rsidRPr="001C1E47" w:rsidRDefault="000A134A" w:rsidP="007A71AC">
            <w:pPr>
              <w:widowControl/>
              <w:autoSpaceDE/>
              <w:autoSpaceDN/>
              <w:adjustRightInd/>
              <w:rPr>
                <w:rFonts w:cs="Calibri"/>
              </w:rPr>
            </w:pPr>
          </w:p>
        </w:tc>
        <w:tc>
          <w:tcPr>
            <w:tcW w:w="1890" w:type="dxa"/>
          </w:tcPr>
          <w:p w14:paraId="776C02F0" w14:textId="05B99D17" w:rsidR="00C01EEF" w:rsidRDefault="00021A2A" w:rsidP="007A71AC">
            <w:pPr>
              <w:widowControl/>
              <w:autoSpaceDE/>
              <w:autoSpaceDN/>
              <w:adjustRightInd/>
              <w:rPr>
                <w:rFonts w:cs="Calibri"/>
              </w:rPr>
            </w:pPr>
            <w:r w:rsidRPr="00021A2A">
              <w:rPr>
                <w:rFonts w:cs="Calibri"/>
              </w:rPr>
              <w:t xml:space="preserve">FY 2023-02, </w:t>
            </w:r>
          </w:p>
          <w:p w14:paraId="175C7AEB" w14:textId="77777777" w:rsidR="00C01EEF" w:rsidRDefault="00021A2A" w:rsidP="007A71AC">
            <w:pPr>
              <w:widowControl/>
              <w:autoSpaceDE/>
              <w:autoSpaceDN/>
              <w:adjustRightInd/>
              <w:rPr>
                <w:rFonts w:cs="Calibri"/>
              </w:rPr>
            </w:pPr>
            <w:r w:rsidRPr="00021A2A">
              <w:rPr>
                <w:rFonts w:cs="Calibri"/>
              </w:rPr>
              <w:t xml:space="preserve">FY 2022-02 </w:t>
            </w:r>
          </w:p>
          <w:p w14:paraId="0E5FE764" w14:textId="5A44AAE2" w:rsidR="000A134A" w:rsidRPr="001C1E47" w:rsidRDefault="00021A2A" w:rsidP="007A71AC">
            <w:pPr>
              <w:widowControl/>
              <w:autoSpaceDE/>
              <w:autoSpaceDN/>
              <w:adjustRightInd/>
              <w:rPr>
                <w:rFonts w:cs="Calibri"/>
              </w:rPr>
            </w:pPr>
            <w:r w:rsidRPr="00021A2A">
              <w:rPr>
                <w:rFonts w:cs="Calibri"/>
              </w:rPr>
              <w:t>FY 2021-04</w:t>
            </w:r>
          </w:p>
        </w:tc>
      </w:tr>
      <w:tr w:rsidR="000A134A" w:rsidRPr="001C1E47" w14:paraId="361E1BD2" w14:textId="77777777" w:rsidTr="00185C7D">
        <w:tc>
          <w:tcPr>
            <w:tcW w:w="1440" w:type="dxa"/>
          </w:tcPr>
          <w:p w14:paraId="01DD4D90" w14:textId="5CCA6199" w:rsidR="000A134A" w:rsidRPr="001C1E47" w:rsidRDefault="000A134A" w:rsidP="007A71AC">
            <w:pPr>
              <w:widowControl/>
              <w:autoSpaceDE/>
              <w:autoSpaceDN/>
              <w:adjustRightInd/>
              <w:rPr>
                <w:rFonts w:cs="Calibri"/>
              </w:rPr>
            </w:pPr>
            <w:r w:rsidRPr="001C1E47">
              <w:rPr>
                <w:rFonts w:cs="Calibri"/>
              </w:rPr>
              <w:t xml:space="preserve"> </w:t>
            </w:r>
            <w:r w:rsidR="00030802" w:rsidRPr="00030802">
              <w:rPr>
                <w:rFonts w:cs="Calibri"/>
              </w:rPr>
              <w:t>FY 2024-03</w:t>
            </w:r>
          </w:p>
        </w:tc>
        <w:tc>
          <w:tcPr>
            <w:tcW w:w="4721" w:type="dxa"/>
          </w:tcPr>
          <w:p w14:paraId="21F530E8" w14:textId="5FA2353B" w:rsidR="000A134A" w:rsidRPr="001C1E47" w:rsidRDefault="00030802" w:rsidP="007A71AC">
            <w:pPr>
              <w:widowControl/>
              <w:autoSpaceDE/>
              <w:autoSpaceDN/>
              <w:adjustRightInd/>
              <w:rPr>
                <w:rFonts w:cs="Calibri"/>
              </w:rPr>
            </w:pPr>
            <w:r w:rsidRPr="00030802">
              <w:rPr>
                <w:rFonts w:cs="Calibri"/>
              </w:rPr>
              <w:t>In FY 2024, the percent in-compliance rate for health inspections (SAMM 9b) was 68.12%, which was above the FRL of 53.01%.</w:t>
            </w:r>
          </w:p>
        </w:tc>
        <w:tc>
          <w:tcPr>
            <w:tcW w:w="4819" w:type="dxa"/>
          </w:tcPr>
          <w:p w14:paraId="5661F279" w14:textId="0BF62E7D" w:rsidR="000A134A" w:rsidRPr="001C1E47" w:rsidRDefault="00B14546" w:rsidP="007A71AC">
            <w:pPr>
              <w:widowControl/>
              <w:autoSpaceDE/>
              <w:autoSpaceDN/>
              <w:adjustRightInd/>
              <w:rPr>
                <w:rFonts w:cs="Calibri"/>
              </w:rPr>
            </w:pPr>
            <w:r w:rsidRPr="00B14546">
              <w:rPr>
                <w:rFonts w:cs="Calibri"/>
              </w:rPr>
              <w:t>KY OSH has researched the outliers and developed an action plan to reduce in-compliance rates for health inspections. OSHA will evaluate how the action plan is working during quarterly meetings with KY OSH and discuss new recommendations as appropriate.</w:t>
            </w:r>
          </w:p>
          <w:p w14:paraId="069FF3A9" w14:textId="77777777" w:rsidR="000A134A" w:rsidRPr="001C1E47" w:rsidRDefault="000A134A" w:rsidP="007A71AC">
            <w:pPr>
              <w:widowControl/>
              <w:autoSpaceDE/>
              <w:autoSpaceDN/>
              <w:adjustRightInd/>
              <w:rPr>
                <w:rFonts w:cs="Calibri"/>
              </w:rPr>
            </w:pPr>
          </w:p>
        </w:tc>
        <w:tc>
          <w:tcPr>
            <w:tcW w:w="1890" w:type="dxa"/>
          </w:tcPr>
          <w:p w14:paraId="1023C93C" w14:textId="024D135F" w:rsidR="004404F0" w:rsidRDefault="004404F0" w:rsidP="00635F2E">
            <w:pPr>
              <w:widowControl/>
              <w:autoSpaceDE/>
              <w:autoSpaceDN/>
              <w:adjustRightInd/>
              <w:rPr>
                <w:rFonts w:cs="Calibri"/>
              </w:rPr>
            </w:pPr>
            <w:r>
              <w:rPr>
                <w:rFonts w:cs="Calibri"/>
              </w:rPr>
              <w:t>FY 2023-OB-</w:t>
            </w:r>
            <w:r w:rsidR="00423696">
              <w:rPr>
                <w:rFonts w:cs="Calibri"/>
              </w:rPr>
              <w:t>01</w:t>
            </w:r>
          </w:p>
          <w:p w14:paraId="44507B6F" w14:textId="61ECD8EF" w:rsidR="00635F2E" w:rsidRDefault="00635F2E" w:rsidP="00635F2E">
            <w:pPr>
              <w:widowControl/>
              <w:autoSpaceDE/>
              <w:autoSpaceDN/>
              <w:adjustRightInd/>
              <w:rPr>
                <w:rFonts w:cs="Calibri"/>
              </w:rPr>
            </w:pPr>
            <w:r w:rsidRPr="00635F2E">
              <w:rPr>
                <w:rFonts w:cs="Calibri"/>
              </w:rPr>
              <w:t>FY 2022-OB-</w:t>
            </w:r>
            <w:r w:rsidR="00423696">
              <w:rPr>
                <w:rFonts w:cs="Calibri"/>
              </w:rPr>
              <w:t>0</w:t>
            </w:r>
            <w:r w:rsidRPr="00635F2E">
              <w:rPr>
                <w:rFonts w:cs="Calibri"/>
              </w:rPr>
              <w:t xml:space="preserve">2, </w:t>
            </w:r>
          </w:p>
          <w:p w14:paraId="6FD1E2C8" w14:textId="564B3639" w:rsidR="00635F2E" w:rsidRPr="00635F2E" w:rsidRDefault="00635F2E" w:rsidP="00635F2E">
            <w:pPr>
              <w:widowControl/>
              <w:autoSpaceDE/>
              <w:autoSpaceDN/>
              <w:adjustRightInd/>
              <w:rPr>
                <w:rFonts w:cs="Calibri"/>
              </w:rPr>
            </w:pPr>
            <w:r w:rsidRPr="00635F2E">
              <w:rPr>
                <w:rFonts w:cs="Calibri"/>
              </w:rPr>
              <w:t>FY 2021-OB-02, FY 2020-OB-</w:t>
            </w:r>
            <w:r w:rsidR="00423696">
              <w:rPr>
                <w:rFonts w:cs="Calibri"/>
              </w:rPr>
              <w:t>0</w:t>
            </w:r>
            <w:r w:rsidRPr="00635F2E">
              <w:rPr>
                <w:rFonts w:cs="Calibri"/>
              </w:rPr>
              <w:t>1</w:t>
            </w:r>
            <w:r>
              <w:rPr>
                <w:rFonts w:cs="Calibri"/>
              </w:rPr>
              <w:t>,</w:t>
            </w:r>
          </w:p>
          <w:p w14:paraId="41535CDB" w14:textId="1E6BFAAE" w:rsidR="000A134A" w:rsidRPr="001C1E47" w:rsidRDefault="00635F2E" w:rsidP="00635F2E">
            <w:pPr>
              <w:widowControl/>
              <w:autoSpaceDE/>
              <w:autoSpaceDN/>
              <w:adjustRightInd/>
              <w:rPr>
                <w:rFonts w:cs="Calibri"/>
              </w:rPr>
            </w:pPr>
            <w:r w:rsidRPr="00635F2E">
              <w:rPr>
                <w:rFonts w:cs="Calibri"/>
              </w:rPr>
              <w:t>FY 2019-OB-</w:t>
            </w:r>
            <w:r w:rsidR="00423696">
              <w:rPr>
                <w:rFonts w:cs="Calibri"/>
              </w:rPr>
              <w:t>0</w:t>
            </w:r>
            <w:r w:rsidRPr="00635F2E">
              <w:rPr>
                <w:rFonts w:cs="Calibri"/>
              </w:rPr>
              <w:t>2</w:t>
            </w:r>
          </w:p>
        </w:tc>
      </w:tr>
    </w:tbl>
    <w:p w14:paraId="0D4BF1EB" w14:textId="487D2B3E" w:rsidR="000A134A" w:rsidRPr="00476C08" w:rsidRDefault="000A134A" w:rsidP="007A71AC">
      <w:pPr>
        <w:widowControl/>
        <w:autoSpaceDE/>
        <w:autoSpaceDN/>
        <w:adjustRightInd/>
        <w:rPr>
          <w:rFonts w:cs="Calibri"/>
          <w:iCs/>
          <w:color w:val="0070C0"/>
        </w:rPr>
      </w:pPr>
    </w:p>
    <w:p w14:paraId="7696391B" w14:textId="51E8AD50" w:rsidR="000A134A" w:rsidRPr="00476C08" w:rsidRDefault="00A26D5E" w:rsidP="007A71AC">
      <w:pPr>
        <w:widowControl/>
        <w:autoSpaceDE/>
        <w:autoSpaceDN/>
        <w:adjustRightInd/>
        <w:rPr>
          <w:rFonts w:cs="Calibri"/>
          <w:iCs/>
          <w:color w:val="0070C0"/>
        </w:rPr>
      </w:pPr>
      <w:r>
        <w:rPr>
          <w:rFonts w:cs="Calibri"/>
          <w:b/>
          <w:iCs/>
          <w:color w:val="0070C0"/>
        </w:rPr>
        <w:t xml:space="preserve"> </w:t>
      </w:r>
    </w:p>
    <w:p w14:paraId="7C19C4AE"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29" w:name="_Toc118905018"/>
      <w:bookmarkStart w:id="30" w:name="_Toc119418670"/>
      <w:r w:rsidRPr="0002572C">
        <w:t>Appendix B – Observations Subject to Continued Monitoring</w:t>
      </w:r>
      <w:bookmarkEnd w:id="29"/>
      <w:bookmarkEnd w:id="30"/>
    </w:p>
    <w:p w14:paraId="73014EBD" w14:textId="3030BDE0" w:rsidR="00B6741C" w:rsidRPr="00F0678A" w:rsidRDefault="00B6741C" w:rsidP="0002572C">
      <w:r>
        <w:t xml:space="preserve">FY </w:t>
      </w:r>
      <w:r w:rsidRPr="00A26D5E">
        <w:t>20</w:t>
      </w:r>
      <w:r w:rsidR="00386C85" w:rsidRPr="00A26D5E">
        <w:t>24</w:t>
      </w:r>
      <w:r w:rsidRPr="00A26D5E">
        <w:t xml:space="preserve"> </w:t>
      </w:r>
      <w:r w:rsidR="00386C85" w:rsidRPr="00A26D5E">
        <w:t xml:space="preserve">KYOSH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007302" w:rsidRDefault="00D86879" w:rsidP="007A71AC">
      <w:pPr>
        <w:widowControl/>
        <w:autoSpaceDE/>
        <w:autoSpaceDN/>
        <w:adjustRightInd/>
        <w:rPr>
          <w:rFonts w:cs="Calibri"/>
          <w:b/>
          <w:i/>
        </w:rPr>
      </w:pPr>
    </w:p>
    <w:p w14:paraId="61F273E4" w14:textId="4BA1F7A9" w:rsidR="00492379" w:rsidRPr="00007302" w:rsidRDefault="00492379" w:rsidP="007A71AC">
      <w:pPr>
        <w:widowControl/>
        <w:autoSpaceDE/>
        <w:autoSpaceDN/>
        <w:adjustRightInd/>
        <w:rPr>
          <w:rFonts w:cs="Calibri"/>
          <w:b/>
          <w:i/>
        </w:rPr>
        <w:sectPr w:rsidR="00492379" w:rsidRPr="00007302" w:rsidSect="00DD7206">
          <w:headerReference w:type="even" r:id="rId18"/>
          <w:headerReference w:type="default" r:id="rId19"/>
          <w:footerReference w:type="default" r:id="rId20"/>
          <w:headerReference w:type="first" r:id="rId21"/>
          <w:footerReference w:type="first" r:id="rId22"/>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007302" w14:paraId="266E8016" w14:textId="4E26EFF8" w:rsidTr="00B6741C">
        <w:trPr>
          <w:cantSplit/>
          <w:tblHeader/>
        </w:trPr>
        <w:tc>
          <w:tcPr>
            <w:tcW w:w="2657" w:type="dxa"/>
          </w:tcPr>
          <w:p w14:paraId="5950BEA4" w14:textId="77777777" w:rsidR="00B6741C" w:rsidRPr="00007302" w:rsidRDefault="00B6741C" w:rsidP="00B6741C">
            <w:pPr>
              <w:widowControl/>
              <w:autoSpaceDE/>
              <w:autoSpaceDN/>
              <w:adjustRightInd/>
              <w:rPr>
                <w:rFonts w:cs="Calibri"/>
                <w:b/>
              </w:rPr>
            </w:pPr>
            <w:r w:rsidRPr="00007302">
              <w:rPr>
                <w:rFonts w:cs="Calibri"/>
                <w:b/>
              </w:rPr>
              <w:t>Observation #</w:t>
            </w:r>
          </w:p>
          <w:p w14:paraId="09AE72D2" w14:textId="79A0C219" w:rsidR="00B6741C" w:rsidRPr="00007302" w:rsidRDefault="00B6741C" w:rsidP="00B6741C">
            <w:pPr>
              <w:widowControl/>
              <w:autoSpaceDE/>
              <w:autoSpaceDN/>
              <w:adjustRightInd/>
              <w:rPr>
                <w:rFonts w:cs="Calibri"/>
                <w:b/>
              </w:rPr>
            </w:pPr>
            <w:r w:rsidRPr="00007302">
              <w:rPr>
                <w:rFonts w:cs="Calibri"/>
                <w:b/>
              </w:rPr>
              <w:t>FY 20</w:t>
            </w:r>
            <w:r w:rsidR="00386C85" w:rsidRPr="00007302">
              <w:rPr>
                <w:rFonts w:cs="Calibri"/>
                <w:b/>
              </w:rPr>
              <w:t>24</w:t>
            </w:r>
            <w:r w:rsidRPr="00007302">
              <w:rPr>
                <w:rFonts w:cs="Calibri"/>
                <w:b/>
              </w:rPr>
              <w:t>-OB-#</w:t>
            </w:r>
          </w:p>
          <w:p w14:paraId="07702D17" w14:textId="77777777" w:rsidR="00B6741C" w:rsidRPr="00007302" w:rsidRDefault="00B6741C" w:rsidP="00B6741C">
            <w:pPr>
              <w:widowControl/>
              <w:autoSpaceDE/>
              <w:autoSpaceDN/>
              <w:adjustRightInd/>
              <w:rPr>
                <w:rFonts w:cs="Calibri"/>
                <w:b/>
                <w:i/>
              </w:rPr>
            </w:pPr>
          </w:p>
        </w:tc>
        <w:tc>
          <w:tcPr>
            <w:tcW w:w="2690" w:type="dxa"/>
          </w:tcPr>
          <w:p w14:paraId="5B8F9311" w14:textId="77777777" w:rsidR="00B6741C" w:rsidRPr="00007302" w:rsidRDefault="00B6741C" w:rsidP="00B6741C">
            <w:pPr>
              <w:widowControl/>
              <w:autoSpaceDE/>
              <w:autoSpaceDN/>
              <w:adjustRightInd/>
              <w:rPr>
                <w:rFonts w:cs="Calibri"/>
                <w:b/>
              </w:rPr>
            </w:pPr>
            <w:r w:rsidRPr="00007302">
              <w:rPr>
                <w:rFonts w:cs="Calibri"/>
                <w:b/>
              </w:rPr>
              <w:t>Observation#</w:t>
            </w:r>
          </w:p>
          <w:p w14:paraId="757E85A6" w14:textId="2E09DB1A" w:rsidR="00B6741C" w:rsidRPr="00007302" w:rsidRDefault="00B6741C" w:rsidP="00B6741C">
            <w:pPr>
              <w:widowControl/>
              <w:autoSpaceDE/>
              <w:autoSpaceDN/>
              <w:adjustRightInd/>
              <w:rPr>
                <w:rFonts w:cs="Calibri"/>
                <w:b/>
                <w:i/>
              </w:rPr>
            </w:pPr>
            <w:r w:rsidRPr="00007302">
              <w:rPr>
                <w:rFonts w:cs="Calibri"/>
                <w:b/>
              </w:rPr>
              <w:t xml:space="preserve">FY 20XX-OB-# </w:t>
            </w:r>
            <w:r w:rsidRPr="00007302">
              <w:rPr>
                <w:rFonts w:cs="Calibri"/>
                <w:b/>
                <w:i/>
              </w:rPr>
              <w:t>or</w:t>
            </w:r>
            <w:r w:rsidRPr="00007302">
              <w:rPr>
                <w:rFonts w:cs="Calibri"/>
                <w:b/>
              </w:rPr>
              <w:t xml:space="preserve"> FY 20XX-#</w:t>
            </w:r>
          </w:p>
        </w:tc>
        <w:tc>
          <w:tcPr>
            <w:tcW w:w="2657" w:type="dxa"/>
          </w:tcPr>
          <w:p w14:paraId="11DA1749" w14:textId="7AE042CC" w:rsidR="00B6741C" w:rsidRPr="00007302" w:rsidRDefault="00B6741C" w:rsidP="00B6741C">
            <w:pPr>
              <w:widowControl/>
              <w:autoSpaceDE/>
              <w:autoSpaceDN/>
              <w:adjustRightInd/>
              <w:rPr>
                <w:rFonts w:cs="Calibri"/>
                <w:b/>
                <w:i/>
              </w:rPr>
            </w:pPr>
            <w:r w:rsidRPr="00007302">
              <w:rPr>
                <w:rFonts w:cs="Calibri"/>
                <w:b/>
              </w:rPr>
              <w:t>Observation</w:t>
            </w:r>
          </w:p>
        </w:tc>
        <w:tc>
          <w:tcPr>
            <w:tcW w:w="2630" w:type="dxa"/>
          </w:tcPr>
          <w:p w14:paraId="76BC073C" w14:textId="70BBC1B0" w:rsidR="00B6741C" w:rsidRPr="00007302" w:rsidRDefault="00B6741C" w:rsidP="00B6741C">
            <w:pPr>
              <w:widowControl/>
              <w:autoSpaceDE/>
              <w:autoSpaceDN/>
              <w:adjustRightInd/>
              <w:rPr>
                <w:rFonts w:cs="Calibri"/>
                <w:b/>
                <w:i/>
              </w:rPr>
            </w:pPr>
            <w:r w:rsidRPr="00007302">
              <w:rPr>
                <w:rFonts w:cs="Calibri"/>
                <w:b/>
              </w:rPr>
              <w:t>Federal Monitoring Plan</w:t>
            </w:r>
          </w:p>
        </w:tc>
        <w:tc>
          <w:tcPr>
            <w:tcW w:w="2316" w:type="dxa"/>
          </w:tcPr>
          <w:p w14:paraId="46D0EE63" w14:textId="4A2BA825" w:rsidR="00B6741C" w:rsidRPr="00007302" w:rsidRDefault="00B6741C" w:rsidP="00B6741C">
            <w:pPr>
              <w:widowControl/>
              <w:autoSpaceDE/>
              <w:autoSpaceDN/>
              <w:adjustRightInd/>
              <w:rPr>
                <w:rFonts w:cs="Calibri"/>
                <w:b/>
              </w:rPr>
            </w:pPr>
            <w:r w:rsidRPr="00007302">
              <w:rPr>
                <w:rFonts w:cs="Calibri"/>
                <w:b/>
              </w:rPr>
              <w:t>Current Status</w:t>
            </w:r>
          </w:p>
        </w:tc>
      </w:tr>
      <w:tr w:rsidR="00B6741C" w:rsidRPr="00E35E8A" w14:paraId="715083EB" w14:textId="58561804" w:rsidTr="00B6741C">
        <w:trPr>
          <w:cantSplit/>
        </w:trPr>
        <w:tc>
          <w:tcPr>
            <w:tcW w:w="2657" w:type="dxa"/>
          </w:tcPr>
          <w:p w14:paraId="514C1621" w14:textId="6876CDAD" w:rsidR="00B6741C" w:rsidRPr="00D55CE3" w:rsidRDefault="00334FF5" w:rsidP="00B6741C">
            <w:pPr>
              <w:widowControl/>
              <w:autoSpaceDE/>
              <w:autoSpaceDN/>
              <w:adjustRightInd/>
              <w:rPr>
                <w:rFonts w:cs="Calibri"/>
                <w:bCs/>
                <w:iCs/>
              </w:rPr>
            </w:pPr>
            <w:r>
              <w:rPr>
                <w:rFonts w:cs="Calibri"/>
                <w:bCs/>
                <w:iCs/>
              </w:rPr>
              <w:t>None</w:t>
            </w:r>
          </w:p>
          <w:p w14:paraId="7834860F" w14:textId="77777777" w:rsidR="00B6741C" w:rsidRPr="00D55CE3" w:rsidRDefault="00B6741C" w:rsidP="00B6741C">
            <w:pPr>
              <w:widowControl/>
              <w:autoSpaceDE/>
              <w:autoSpaceDN/>
              <w:adjustRightInd/>
              <w:rPr>
                <w:rFonts w:cs="Calibri"/>
                <w:bCs/>
                <w:iCs/>
              </w:rPr>
            </w:pPr>
          </w:p>
        </w:tc>
        <w:tc>
          <w:tcPr>
            <w:tcW w:w="2690" w:type="dxa"/>
          </w:tcPr>
          <w:p w14:paraId="0E657848" w14:textId="6C90B770" w:rsidR="00B6741C" w:rsidRPr="00D55CE3" w:rsidRDefault="00334FF5" w:rsidP="00B6741C">
            <w:pPr>
              <w:widowControl/>
              <w:autoSpaceDE/>
              <w:autoSpaceDN/>
              <w:adjustRightInd/>
              <w:rPr>
                <w:rFonts w:cs="Calibri"/>
                <w:bCs/>
                <w:iCs/>
              </w:rPr>
            </w:pPr>
            <w:r>
              <w:rPr>
                <w:rFonts w:cs="Calibri"/>
                <w:bCs/>
                <w:iCs/>
              </w:rPr>
              <w:t xml:space="preserve"> </w:t>
            </w:r>
          </w:p>
          <w:p w14:paraId="1207E4E3" w14:textId="77777777" w:rsidR="00B6741C" w:rsidRPr="00D55CE3" w:rsidRDefault="00B6741C" w:rsidP="00B6741C">
            <w:pPr>
              <w:widowControl/>
              <w:autoSpaceDE/>
              <w:autoSpaceDN/>
              <w:adjustRightInd/>
              <w:rPr>
                <w:rFonts w:cs="Calibri"/>
                <w:bCs/>
                <w:iCs/>
              </w:rPr>
            </w:pPr>
          </w:p>
        </w:tc>
        <w:tc>
          <w:tcPr>
            <w:tcW w:w="2657" w:type="dxa"/>
          </w:tcPr>
          <w:p w14:paraId="7D3FDFC0" w14:textId="79B12A18" w:rsidR="00A26D5E" w:rsidRPr="00D55CE3" w:rsidRDefault="00334FF5" w:rsidP="00A26D5E">
            <w:pPr>
              <w:widowControl/>
              <w:autoSpaceDE/>
              <w:autoSpaceDN/>
              <w:adjustRightInd/>
              <w:rPr>
                <w:rFonts w:cs="Calibri"/>
                <w:bCs/>
                <w:iCs/>
              </w:rPr>
            </w:pPr>
            <w:r>
              <w:rPr>
                <w:rFonts w:cs="Calibri"/>
                <w:bCs/>
                <w:iCs/>
              </w:rPr>
              <w:t xml:space="preserve"> </w:t>
            </w:r>
          </w:p>
          <w:p w14:paraId="1677C8F5" w14:textId="77777777" w:rsidR="00A26D5E" w:rsidRPr="00D55CE3" w:rsidRDefault="00A26D5E" w:rsidP="00A26D5E">
            <w:pPr>
              <w:widowControl/>
              <w:autoSpaceDE/>
              <w:autoSpaceDN/>
              <w:adjustRightInd/>
              <w:rPr>
                <w:rFonts w:cs="Calibri"/>
                <w:bCs/>
                <w:iCs/>
              </w:rPr>
            </w:pPr>
          </w:p>
          <w:p w14:paraId="53E4A09F" w14:textId="78AD3C9B" w:rsidR="00B6741C" w:rsidRPr="00D55CE3" w:rsidRDefault="00FE49B0" w:rsidP="00A26D5E">
            <w:pPr>
              <w:widowControl/>
              <w:autoSpaceDE/>
              <w:autoSpaceDN/>
              <w:adjustRightInd/>
              <w:rPr>
                <w:rFonts w:cs="Calibri"/>
                <w:bCs/>
                <w:iCs/>
              </w:rPr>
            </w:pPr>
            <w:r w:rsidRPr="00D55CE3">
              <w:rPr>
                <w:rFonts w:cs="Calibri"/>
                <w:bCs/>
                <w:iCs/>
              </w:rPr>
              <w:t xml:space="preserve"> </w:t>
            </w:r>
            <w:r w:rsidR="00A26D5E" w:rsidRPr="00D55CE3">
              <w:rPr>
                <w:rFonts w:cs="Calibri"/>
                <w:bCs/>
                <w:iCs/>
              </w:rPr>
              <w:t xml:space="preserve">  </w:t>
            </w:r>
          </w:p>
        </w:tc>
        <w:tc>
          <w:tcPr>
            <w:tcW w:w="2630" w:type="dxa"/>
          </w:tcPr>
          <w:p w14:paraId="31E38E8D" w14:textId="12739D9F" w:rsidR="00B6741C" w:rsidRPr="00D55CE3" w:rsidRDefault="00334FF5" w:rsidP="00B6741C">
            <w:pPr>
              <w:widowControl/>
              <w:autoSpaceDE/>
              <w:autoSpaceDN/>
              <w:adjustRightInd/>
              <w:rPr>
                <w:rFonts w:cs="Calibri"/>
                <w:bCs/>
                <w:iCs/>
              </w:rPr>
            </w:pPr>
            <w:r>
              <w:rPr>
                <w:rFonts w:cs="Calibri"/>
                <w:bCs/>
                <w:iCs/>
              </w:rPr>
              <w:t xml:space="preserve"> </w:t>
            </w:r>
          </w:p>
          <w:p w14:paraId="04F2CA88" w14:textId="77777777" w:rsidR="00B6741C" w:rsidRPr="00D55CE3" w:rsidRDefault="00B6741C" w:rsidP="00B6741C">
            <w:pPr>
              <w:widowControl/>
              <w:autoSpaceDE/>
              <w:autoSpaceDN/>
              <w:adjustRightInd/>
              <w:rPr>
                <w:rFonts w:cs="Calibri"/>
                <w:bCs/>
                <w:iCs/>
              </w:rPr>
            </w:pPr>
          </w:p>
        </w:tc>
        <w:tc>
          <w:tcPr>
            <w:tcW w:w="2316" w:type="dxa"/>
          </w:tcPr>
          <w:p w14:paraId="79E4394D" w14:textId="61E2B9FD" w:rsidR="00B6741C" w:rsidRPr="00D55CE3" w:rsidRDefault="00334FF5" w:rsidP="00B6741C">
            <w:pPr>
              <w:widowControl/>
              <w:autoSpaceDE/>
              <w:autoSpaceDN/>
              <w:adjustRightInd/>
              <w:rPr>
                <w:rFonts w:cs="Calibri"/>
                <w:bCs/>
                <w:iCs/>
                <w:color w:val="FF0000"/>
              </w:rPr>
            </w:pPr>
            <w:r>
              <w:rPr>
                <w:rFonts w:cs="Calibri"/>
                <w:bCs/>
                <w:iCs/>
              </w:rPr>
              <w:t xml:space="preserve"> </w:t>
            </w:r>
          </w:p>
        </w:tc>
      </w:tr>
    </w:tbl>
    <w:p w14:paraId="2352A70A" w14:textId="7478DFBA" w:rsidR="00E759AB" w:rsidRPr="001C1E47" w:rsidRDefault="00E759AB" w:rsidP="007A71AC">
      <w:pPr>
        <w:widowControl/>
        <w:autoSpaceDE/>
        <w:autoSpaceDN/>
        <w:adjustRightInd/>
        <w:rPr>
          <w:rFonts w:cs="Calibri"/>
          <w:i/>
          <w:sz w:val="22"/>
          <w:szCs w:val="22"/>
        </w:rPr>
      </w:pPr>
    </w:p>
    <w:p w14:paraId="6812AD3A" w14:textId="19D13D9D" w:rsidR="000A134A" w:rsidRPr="00476C08" w:rsidRDefault="00D63078" w:rsidP="007A71AC">
      <w:pPr>
        <w:widowControl/>
        <w:autoSpaceDE/>
        <w:autoSpaceDN/>
        <w:adjustRightInd/>
        <w:rPr>
          <w:rFonts w:cs="Calibri"/>
          <w:iCs/>
          <w:color w:val="0070C0"/>
        </w:rPr>
      </w:pPr>
      <w:r>
        <w:rPr>
          <w:rFonts w:cs="Calibri"/>
          <w:iCs/>
          <w:color w:val="0070C0"/>
        </w:rPr>
        <w:t xml:space="preserve"> </w:t>
      </w:r>
    </w:p>
    <w:p w14:paraId="033D154E" w14:textId="28C368EF" w:rsidR="000A134A" w:rsidRPr="00476C08" w:rsidRDefault="000A134A" w:rsidP="00D63078">
      <w:pPr>
        <w:widowControl/>
        <w:autoSpaceDE/>
        <w:autoSpaceDN/>
        <w:adjustRightInd/>
        <w:rPr>
          <w:rFonts w:cs="Calibri"/>
          <w:iCs/>
          <w:color w:val="0070C0"/>
        </w:rPr>
      </w:pPr>
    </w:p>
    <w:p w14:paraId="3912394D" w14:textId="77777777" w:rsidR="000A134A" w:rsidRDefault="000A134A" w:rsidP="007A71AC">
      <w:pPr>
        <w:widowControl/>
        <w:autoSpaceDE/>
        <w:autoSpaceDN/>
        <w:adjustRightInd/>
        <w:rPr>
          <w:rFonts w:cs="Calibri"/>
          <w:i/>
          <w:sz w:val="22"/>
          <w:szCs w:val="22"/>
        </w:rPr>
      </w:pPr>
    </w:p>
    <w:p w14:paraId="183EDE01" w14:textId="1675A6FA" w:rsidR="00892D3A" w:rsidRDefault="00892D3A" w:rsidP="00996CB7">
      <w:pPr>
        <w:tabs>
          <w:tab w:val="left" w:pos="6980"/>
        </w:tabs>
        <w:rPr>
          <w:rFonts w:cs="Calibri"/>
          <w:i/>
          <w:sz w:val="22"/>
          <w:szCs w:val="22"/>
        </w:rPr>
      </w:pPr>
      <w:r>
        <w:rPr>
          <w:rFonts w:cs="Calibri"/>
          <w:i/>
          <w:sz w:val="22"/>
          <w:szCs w:val="22"/>
        </w:rPr>
        <w:tab/>
      </w:r>
    </w:p>
    <w:p w14:paraId="5966FA9F" w14:textId="448AA8AC" w:rsidR="0065591D" w:rsidRPr="00996CB7" w:rsidRDefault="00892D3A" w:rsidP="00996CB7">
      <w:pPr>
        <w:tabs>
          <w:tab w:val="left" w:pos="6980"/>
        </w:tabs>
        <w:rPr>
          <w:rFonts w:cs="Calibri"/>
          <w:sz w:val="22"/>
          <w:szCs w:val="22"/>
        </w:rPr>
        <w:sectPr w:rsidR="0065591D" w:rsidRPr="00996CB7" w:rsidSect="00476C08">
          <w:headerReference w:type="even" r:id="rId23"/>
          <w:headerReference w:type="default" r:id="rId24"/>
          <w:headerReference w:type="first" r:id="rId25"/>
          <w:footerReference w:type="first" r:id="rId26"/>
          <w:type w:val="continuous"/>
          <w:pgSz w:w="15840" w:h="12240" w:orient="landscape"/>
          <w:pgMar w:top="1440" w:right="1440" w:bottom="1440" w:left="1440" w:header="720" w:footer="720" w:gutter="0"/>
          <w:cols w:space="720"/>
          <w:titlePg/>
          <w:docGrid w:linePitch="360"/>
        </w:sectPr>
      </w:pPr>
      <w:r>
        <w:rPr>
          <w:rFonts w:cs="Calibri"/>
          <w:sz w:val="22"/>
          <w:szCs w:val="22"/>
        </w:rPr>
        <w:tab/>
      </w:r>
    </w:p>
    <w:p w14:paraId="01176981" w14:textId="45D3CF38" w:rsidR="00747710" w:rsidRDefault="00747710" w:rsidP="000F63C1">
      <w:pPr>
        <w:pStyle w:val="Heading3"/>
        <w:numPr>
          <w:ilvl w:val="0"/>
          <w:numId w:val="0"/>
        </w:numPr>
      </w:pPr>
      <w:bookmarkStart w:id="31" w:name="_Toc118905019"/>
      <w:bookmarkStart w:id="32" w:name="_Toc119418671"/>
      <w:r w:rsidRPr="00747710">
        <w:t>Appendix C - Status of FY 20</w:t>
      </w:r>
      <w:r w:rsidR="00386C85">
        <w:t>23</w:t>
      </w:r>
      <w:r w:rsidRPr="00747710">
        <w:t xml:space="preserve"> Findings and Recommendations</w:t>
      </w:r>
      <w:bookmarkEnd w:id="31"/>
      <w:bookmarkEnd w:id="32"/>
    </w:p>
    <w:p w14:paraId="3D850E81" w14:textId="3AA78633" w:rsidR="00747710" w:rsidRPr="000A542E" w:rsidRDefault="00747710" w:rsidP="005367D5">
      <w:r w:rsidRPr="00747710">
        <w:t xml:space="preserve">FY </w:t>
      </w:r>
      <w:r w:rsidRPr="000A542E">
        <w:t>20</w:t>
      </w:r>
      <w:r w:rsidR="00386C85" w:rsidRPr="000A542E">
        <w:t xml:space="preserve">24 KYOSH </w:t>
      </w:r>
      <w:r w:rsidRPr="000A542E">
        <w:t>Follow-up FAME Report</w:t>
      </w:r>
    </w:p>
    <w:p w14:paraId="45E6B5CB" w14:textId="3ED906A9" w:rsidR="005367D5" w:rsidRPr="000A542E" w:rsidRDefault="005367D5"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0A542E" w:rsidRPr="000A542E" w14:paraId="04152CB8" w14:textId="77777777" w:rsidTr="00D93CB3">
        <w:trPr>
          <w:trHeight w:val="412"/>
        </w:trPr>
        <w:tc>
          <w:tcPr>
            <w:tcW w:w="1435" w:type="dxa"/>
          </w:tcPr>
          <w:p w14:paraId="0FAB4AA2" w14:textId="4BA051DD" w:rsidR="005367D5" w:rsidRPr="000A542E" w:rsidRDefault="005367D5" w:rsidP="00D93CB3">
            <w:pPr>
              <w:rPr>
                <w:rFonts w:cs="Calibri"/>
                <w:b/>
              </w:rPr>
            </w:pPr>
            <w:r w:rsidRPr="000A542E">
              <w:rPr>
                <w:rFonts w:cs="Calibri"/>
                <w:b/>
              </w:rPr>
              <w:t>FY 20</w:t>
            </w:r>
            <w:r w:rsidR="00386C85" w:rsidRPr="000A542E">
              <w:rPr>
                <w:rFonts w:cs="Calibri"/>
                <w:b/>
              </w:rPr>
              <w:t>23</w:t>
            </w:r>
            <w:r w:rsidRPr="000A542E">
              <w:rPr>
                <w:rFonts w:cs="Calibri"/>
                <w:b/>
              </w:rPr>
              <w:t>-#</w:t>
            </w:r>
          </w:p>
        </w:tc>
        <w:tc>
          <w:tcPr>
            <w:tcW w:w="2098" w:type="dxa"/>
          </w:tcPr>
          <w:p w14:paraId="395AE41F" w14:textId="77777777" w:rsidR="005367D5" w:rsidRPr="000A542E" w:rsidRDefault="005367D5" w:rsidP="00D93CB3">
            <w:pPr>
              <w:rPr>
                <w:rFonts w:cs="Calibri"/>
                <w:b/>
              </w:rPr>
            </w:pPr>
            <w:r w:rsidRPr="000A542E">
              <w:rPr>
                <w:rFonts w:cs="Calibri"/>
                <w:b/>
              </w:rPr>
              <w:t>Finding</w:t>
            </w:r>
          </w:p>
        </w:tc>
        <w:tc>
          <w:tcPr>
            <w:tcW w:w="2250" w:type="dxa"/>
          </w:tcPr>
          <w:p w14:paraId="6EEE46BC" w14:textId="77777777" w:rsidR="005367D5" w:rsidRPr="000A542E" w:rsidRDefault="005367D5" w:rsidP="00D93CB3">
            <w:pPr>
              <w:rPr>
                <w:rFonts w:cs="Calibri"/>
                <w:b/>
              </w:rPr>
            </w:pPr>
            <w:r w:rsidRPr="000A542E">
              <w:rPr>
                <w:rFonts w:cs="Calibri"/>
                <w:b/>
              </w:rPr>
              <w:t>Recommendation</w:t>
            </w:r>
          </w:p>
        </w:tc>
        <w:tc>
          <w:tcPr>
            <w:tcW w:w="3960" w:type="dxa"/>
          </w:tcPr>
          <w:p w14:paraId="461C9375" w14:textId="77777777" w:rsidR="005367D5" w:rsidRPr="000A542E" w:rsidRDefault="005367D5" w:rsidP="00D93CB3">
            <w:pPr>
              <w:rPr>
                <w:rFonts w:cs="Calibri"/>
                <w:b/>
              </w:rPr>
            </w:pPr>
            <w:r w:rsidRPr="000A542E">
              <w:rPr>
                <w:rFonts w:cs="Calibri"/>
                <w:b/>
              </w:rPr>
              <w:t>State Plan Corrective Action</w:t>
            </w:r>
          </w:p>
        </w:tc>
        <w:tc>
          <w:tcPr>
            <w:tcW w:w="1592" w:type="dxa"/>
          </w:tcPr>
          <w:p w14:paraId="5151BE67" w14:textId="77777777" w:rsidR="005367D5" w:rsidRPr="000A542E" w:rsidRDefault="005367D5" w:rsidP="00D93CB3">
            <w:pPr>
              <w:rPr>
                <w:rFonts w:cs="Calibri"/>
                <w:b/>
              </w:rPr>
            </w:pPr>
            <w:r w:rsidRPr="000A542E">
              <w:rPr>
                <w:rFonts w:cs="Calibri"/>
                <w:b/>
              </w:rPr>
              <w:t>Completion Date</w:t>
            </w:r>
          </w:p>
        </w:tc>
        <w:tc>
          <w:tcPr>
            <w:tcW w:w="2250" w:type="dxa"/>
          </w:tcPr>
          <w:p w14:paraId="48025986" w14:textId="77777777" w:rsidR="005367D5" w:rsidRPr="000A542E" w:rsidRDefault="005367D5" w:rsidP="00D93CB3">
            <w:pPr>
              <w:rPr>
                <w:rFonts w:cs="Calibri"/>
                <w:b/>
              </w:rPr>
            </w:pPr>
            <w:r w:rsidRPr="000A542E">
              <w:rPr>
                <w:rFonts w:cs="Calibri"/>
                <w:b/>
              </w:rPr>
              <w:t xml:space="preserve">Current Status </w:t>
            </w:r>
          </w:p>
          <w:p w14:paraId="1D3136EF" w14:textId="77777777" w:rsidR="005367D5" w:rsidRPr="000A542E" w:rsidRDefault="005367D5" w:rsidP="00D93CB3">
            <w:pPr>
              <w:rPr>
                <w:rFonts w:cs="Calibri"/>
                <w:b/>
              </w:rPr>
            </w:pPr>
            <w:r w:rsidRPr="000A542E">
              <w:rPr>
                <w:rFonts w:cs="Calibri"/>
                <w:b/>
              </w:rPr>
              <w:t>and Date</w:t>
            </w:r>
          </w:p>
        </w:tc>
      </w:tr>
      <w:tr w:rsidR="005367D5" w:rsidRPr="001C1E47" w14:paraId="7244A508" w14:textId="77777777" w:rsidTr="00D93CB3">
        <w:trPr>
          <w:trHeight w:val="412"/>
        </w:trPr>
        <w:tc>
          <w:tcPr>
            <w:tcW w:w="1435" w:type="dxa"/>
          </w:tcPr>
          <w:p w14:paraId="3B6143AB" w14:textId="42AD3C82" w:rsidR="005367D5" w:rsidRPr="00287239" w:rsidRDefault="00AF77D1" w:rsidP="002872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287239">
              <w:rPr>
                <w:rFonts w:eastAsia="PMingLiU" w:cs="Calibri"/>
              </w:rPr>
              <w:t>FY 2023-01</w:t>
            </w:r>
            <w:r w:rsidR="005367D5" w:rsidRPr="00287239">
              <w:rPr>
                <w:rFonts w:eastAsia="PMingLiU" w:cs="Calibri"/>
              </w:rPr>
              <w:t> </w:t>
            </w:r>
          </w:p>
        </w:tc>
        <w:tc>
          <w:tcPr>
            <w:tcW w:w="2098" w:type="dxa"/>
          </w:tcPr>
          <w:p w14:paraId="1D6DD323" w14:textId="16C3812B" w:rsidR="005367D5" w:rsidRPr="00287239" w:rsidRDefault="00B92120" w:rsidP="002872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287239">
              <w:rPr>
                <w:rFonts w:eastAsia="PMingLiU" w:cs="Calibri"/>
              </w:rPr>
              <w:t>In FY 2023, KY OSH had a significantly high average citation issuance lapse time for safety and health inspections, which were outside the FRLs.</w:t>
            </w:r>
          </w:p>
        </w:tc>
        <w:tc>
          <w:tcPr>
            <w:tcW w:w="2250" w:type="dxa"/>
          </w:tcPr>
          <w:p w14:paraId="19499B4B" w14:textId="6DA0D7DE" w:rsidR="005367D5" w:rsidRPr="00287239" w:rsidRDefault="0036239B" w:rsidP="002872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287239">
              <w:rPr>
                <w:rFonts w:eastAsia="PMingLiU" w:cs="Calibri"/>
              </w:rPr>
              <w:t>KY OSH should develop and implement a process to reduce the average lapse time for safety and health inspections to within the FRL range.</w:t>
            </w:r>
            <w:r w:rsidR="005367D5" w:rsidRPr="00287239">
              <w:rPr>
                <w:rFonts w:eastAsia="PMingLiU" w:cs="Calibri"/>
              </w:rPr>
              <w:t> </w:t>
            </w:r>
          </w:p>
        </w:tc>
        <w:tc>
          <w:tcPr>
            <w:tcW w:w="3960" w:type="dxa"/>
          </w:tcPr>
          <w:p w14:paraId="37D73ADA" w14:textId="2D19A8E4" w:rsidR="005367D5" w:rsidRPr="00454E29" w:rsidRDefault="001027CF" w:rsidP="002872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454E29">
              <w:rPr>
                <w:rFonts w:eastAsia="PMingLiU" w:cs="Calibri"/>
              </w:rPr>
              <w:t>Kentucky has developed and implemented a process to reduce average lapse time for safety and health inspections.  However, a reduced lapse time not been achieved due to an extreme increase in complaints received, as well as staffing concerns.  However, improved lapse time remains one of Kentucky’s top goals.</w:t>
            </w:r>
            <w:r w:rsidR="005367D5" w:rsidRPr="00454E29">
              <w:rPr>
                <w:rFonts w:eastAsia="PMingLiU" w:cs="Calibri"/>
              </w:rPr>
              <w:t> </w:t>
            </w:r>
          </w:p>
        </w:tc>
        <w:tc>
          <w:tcPr>
            <w:tcW w:w="1592" w:type="dxa"/>
          </w:tcPr>
          <w:p w14:paraId="56F99649" w14:textId="15F68CEB" w:rsidR="005367D5" w:rsidRPr="00454E29" w:rsidRDefault="007B2AC8" w:rsidP="002872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454E29">
              <w:rPr>
                <w:rFonts w:eastAsia="PMingLiU" w:cs="Calibri"/>
              </w:rPr>
              <w:t>Not Completed</w:t>
            </w:r>
            <w:r w:rsidR="005367D5" w:rsidRPr="00454E29">
              <w:rPr>
                <w:rFonts w:eastAsia="PMingLiU" w:cs="Calibri"/>
              </w:rPr>
              <w:t> </w:t>
            </w:r>
          </w:p>
        </w:tc>
        <w:tc>
          <w:tcPr>
            <w:tcW w:w="2250" w:type="dxa"/>
          </w:tcPr>
          <w:p w14:paraId="4007473C" w14:textId="22A88258" w:rsidR="005367D5" w:rsidRPr="00287239" w:rsidRDefault="00287239" w:rsidP="002872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287239">
              <w:rPr>
                <w:rFonts w:eastAsia="PMingLiU" w:cs="Calibri"/>
                <w:bCs/>
              </w:rPr>
              <w:t>Open</w:t>
            </w:r>
            <w:r w:rsidR="005367D5" w:rsidRPr="00287239">
              <w:rPr>
                <w:rFonts w:eastAsia="PMingLiU" w:cs="Calibri"/>
                <w:bCs/>
              </w:rPr>
              <w:t> </w:t>
            </w:r>
          </w:p>
        </w:tc>
      </w:tr>
      <w:tr w:rsidR="005367D5" w:rsidRPr="001C1E47" w14:paraId="4703F521" w14:textId="77777777" w:rsidTr="00D93CB3">
        <w:trPr>
          <w:trHeight w:val="385"/>
        </w:trPr>
        <w:tc>
          <w:tcPr>
            <w:tcW w:w="1435" w:type="dxa"/>
          </w:tcPr>
          <w:p w14:paraId="4E7C14BF" w14:textId="70D023A2" w:rsidR="005367D5" w:rsidRPr="000A542E" w:rsidRDefault="004C63DD" w:rsidP="000A542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0A542E">
              <w:rPr>
                <w:rFonts w:eastAsia="PMingLiU" w:cs="Calibri"/>
              </w:rPr>
              <w:t>FY 2023-02</w:t>
            </w:r>
            <w:r w:rsidR="005367D5" w:rsidRPr="000A542E">
              <w:rPr>
                <w:rFonts w:eastAsia="PMingLiU" w:cs="Calibri"/>
              </w:rPr>
              <w:t> </w:t>
            </w:r>
          </w:p>
        </w:tc>
        <w:tc>
          <w:tcPr>
            <w:tcW w:w="2098" w:type="dxa"/>
          </w:tcPr>
          <w:p w14:paraId="0934D282" w14:textId="61741B01" w:rsidR="005367D5" w:rsidRPr="00454E29" w:rsidRDefault="00BD61E5" w:rsidP="000A542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454E29">
              <w:rPr>
                <w:rFonts w:eastAsia="PMingLiU" w:cs="Calibri"/>
              </w:rPr>
              <w:t>The Kentucky State Plan has failed to adopt OSHA’s initial FY 2016 maximum and minimum penalty increase and subsequent annual penalty amount increases.</w:t>
            </w:r>
            <w:r w:rsidR="005367D5" w:rsidRPr="00454E29">
              <w:rPr>
                <w:rFonts w:eastAsia="PMingLiU" w:cs="Calibri"/>
              </w:rPr>
              <w:t> </w:t>
            </w:r>
          </w:p>
        </w:tc>
        <w:tc>
          <w:tcPr>
            <w:tcW w:w="2250" w:type="dxa"/>
          </w:tcPr>
          <w:p w14:paraId="4A7C8703" w14:textId="22FC7B6E" w:rsidR="005367D5" w:rsidRPr="00454E29" w:rsidRDefault="00A15893" w:rsidP="000A542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454E29">
              <w:rPr>
                <w:rFonts w:eastAsia="PMingLiU" w:cs="Calibri"/>
              </w:rPr>
              <w:t xml:space="preserve">KY OSH should work with their </w:t>
            </w:r>
            <w:proofErr w:type="gramStart"/>
            <w:r w:rsidRPr="00454E29">
              <w:rPr>
                <w:rFonts w:eastAsia="PMingLiU" w:cs="Calibri"/>
              </w:rPr>
              <w:t>State</w:t>
            </w:r>
            <w:proofErr w:type="gramEnd"/>
            <w:r w:rsidRPr="00454E29">
              <w:rPr>
                <w:rFonts w:eastAsia="PMingLiU" w:cs="Calibri"/>
              </w:rPr>
              <w:t xml:space="preserve"> authorities to complete the legislative changes necessary to adopt the maximum and minimum penalty increase and subsequent annual increases to be at least as effective as OSHA’s penalty levels.</w:t>
            </w:r>
          </w:p>
        </w:tc>
        <w:tc>
          <w:tcPr>
            <w:tcW w:w="3960" w:type="dxa"/>
          </w:tcPr>
          <w:p w14:paraId="26546A5D" w14:textId="636F1BB6" w:rsidR="005367D5" w:rsidRPr="00454E29" w:rsidRDefault="008954B8" w:rsidP="000A542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454E29">
              <w:rPr>
                <w:rFonts w:eastAsia="PMingLiU" w:cs="Calibri"/>
              </w:rPr>
              <w:t xml:space="preserve">The Kentucky State Plan has no authority to increase any penalty or implement an annual penalty adjustment.  Kentucky penalties are established by statute, specifically Kentucky Revised Statute 338.991.  Adjustment to Kentucky penalties and/or annual adjustments requires legislative action. Kentucky will continue to work with state authorities to amend Kentucky’s occupational safety and health civil penalties.  </w:t>
            </w:r>
            <w:r w:rsidR="005367D5" w:rsidRPr="00454E29">
              <w:rPr>
                <w:rFonts w:eastAsia="PMingLiU" w:cs="Calibri"/>
              </w:rPr>
              <w:t> </w:t>
            </w:r>
          </w:p>
        </w:tc>
        <w:tc>
          <w:tcPr>
            <w:tcW w:w="1592" w:type="dxa"/>
          </w:tcPr>
          <w:p w14:paraId="0F813752" w14:textId="2693726A" w:rsidR="005367D5" w:rsidRPr="000A542E" w:rsidRDefault="002D2DE3" w:rsidP="000A542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003B8A">
              <w:rPr>
                <w:rFonts w:eastAsia="PMingLiU" w:cs="Calibri"/>
              </w:rPr>
              <w:t>Not Completed</w:t>
            </w:r>
            <w:r w:rsidR="005367D5" w:rsidRPr="00003B8A">
              <w:rPr>
                <w:rFonts w:eastAsia="PMingLiU" w:cs="Calibri"/>
              </w:rPr>
              <w:t> </w:t>
            </w:r>
          </w:p>
        </w:tc>
        <w:tc>
          <w:tcPr>
            <w:tcW w:w="2250" w:type="dxa"/>
          </w:tcPr>
          <w:p w14:paraId="6B340DD8" w14:textId="18DAC3C0" w:rsidR="005367D5" w:rsidRPr="000A542E" w:rsidRDefault="000A542E" w:rsidP="000A542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0A542E">
              <w:rPr>
                <w:rFonts w:eastAsia="PMingLiU" w:cs="Calibri"/>
              </w:rPr>
              <w:t>Open</w:t>
            </w:r>
            <w:r w:rsidR="005367D5" w:rsidRPr="000A542E">
              <w:rPr>
                <w:rFonts w:eastAsia="PMingLiU" w:cs="Calibri"/>
              </w:rPr>
              <w:t> </w:t>
            </w:r>
          </w:p>
        </w:tc>
      </w:tr>
    </w:tbl>
    <w:p w14:paraId="5A163C8E" w14:textId="43FFADAF" w:rsidR="000A134A" w:rsidRPr="008164E8" w:rsidRDefault="000A542E" w:rsidP="000A542E">
      <w:pPr>
        <w:widowControl/>
        <w:autoSpaceDE/>
        <w:autoSpaceDN/>
        <w:adjustRightInd/>
        <w:rPr>
          <w:rFonts w:cs="Calibri"/>
          <w:iCs/>
          <w:color w:val="0070C0"/>
        </w:rPr>
        <w:sectPr w:rsidR="000A134A" w:rsidRPr="008164E8" w:rsidSect="00476C08">
          <w:headerReference w:type="even" r:id="rId27"/>
          <w:headerReference w:type="default" r:id="rId28"/>
          <w:headerReference w:type="first" r:id="rId29"/>
          <w:footerReference w:type="first" r:id="rId30"/>
          <w:pgSz w:w="15840" w:h="12240" w:orient="landscape"/>
          <w:pgMar w:top="1440" w:right="1440" w:bottom="1440" w:left="1440" w:header="630" w:footer="720" w:gutter="0"/>
          <w:cols w:space="720"/>
          <w:titlePg/>
          <w:docGrid w:linePitch="360"/>
        </w:sectPr>
      </w:pPr>
      <w:r>
        <w:rPr>
          <w:rFonts w:cs="Calibri"/>
          <w:iCs/>
          <w:color w:val="0070C0"/>
        </w:rPr>
        <w:t xml:space="preserve">  </w:t>
      </w:r>
    </w:p>
    <w:p w14:paraId="173973B0" w14:textId="77777777" w:rsidR="005D711C" w:rsidRPr="00C14902" w:rsidRDefault="005D711C" w:rsidP="005D711C">
      <w:pPr>
        <w:keepNext/>
        <w:keepLines/>
        <w:spacing w:before="120"/>
        <w:outlineLvl w:val="2"/>
        <w:rPr>
          <w:rFonts w:cs="Calibri"/>
          <w:b/>
          <w:bCs/>
          <w:sz w:val="28"/>
          <w:szCs w:val="28"/>
        </w:rPr>
      </w:pPr>
      <w:bookmarkStart w:id="33" w:name="_Toc119418672"/>
      <w:r w:rsidRPr="00C14902">
        <w:rPr>
          <w:rFonts w:cs="Calibri"/>
          <w:b/>
          <w:bCs/>
          <w:sz w:val="28"/>
          <w:szCs w:val="28"/>
        </w:rPr>
        <w:t>Appendix D – FY 2024 State Activity Mandated Measures (SAMM) Report</w:t>
      </w:r>
    </w:p>
    <w:p w14:paraId="1217D552" w14:textId="0A10624A" w:rsidR="005D711C" w:rsidRPr="00C14902" w:rsidRDefault="005D711C" w:rsidP="005D711C">
      <w:pPr>
        <w:tabs>
          <w:tab w:val="center" w:pos="4680"/>
          <w:tab w:val="right" w:pos="9360"/>
        </w:tabs>
      </w:pPr>
      <w:r w:rsidRPr="00C14902">
        <w:t xml:space="preserve">FY 2024 KYOSH </w:t>
      </w:r>
      <w:r>
        <w:t>Follow-Up</w:t>
      </w:r>
      <w:r w:rsidRPr="00C14902">
        <w:t xml:space="preserve"> FAME Report</w:t>
      </w:r>
    </w:p>
    <w:p w14:paraId="375F6EFA" w14:textId="77777777" w:rsidR="005D711C" w:rsidRPr="00C14902" w:rsidRDefault="005D711C" w:rsidP="005D711C">
      <w:pPr>
        <w:rPr>
          <w:rFonts w:cs="Calibri"/>
          <w:b/>
          <w:sz w:val="28"/>
          <w:szCs w:val="28"/>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5D711C" w:rsidRPr="00C14902" w14:paraId="5F684938" w14:textId="77777777" w:rsidTr="00062B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63312B8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auto"/>
              </w:rPr>
            </w:pPr>
            <w:r w:rsidRPr="00C14902">
              <w:rPr>
                <w:rFonts w:eastAsia="PMingLiU" w:cs="Calibri"/>
                <w:color w:val="auto"/>
              </w:rPr>
              <w:t>SAMM Number</w:t>
            </w:r>
          </w:p>
        </w:tc>
        <w:tc>
          <w:tcPr>
            <w:tcW w:w="2206" w:type="dxa"/>
            <w:tcBorders>
              <w:left w:val="single" w:sz="4" w:space="0" w:color="000000"/>
              <w:right w:val="single" w:sz="4" w:space="0" w:color="000000"/>
            </w:tcBorders>
            <w:shd w:val="clear" w:color="auto" w:fill="auto"/>
          </w:tcPr>
          <w:p w14:paraId="706001E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C14902">
              <w:rPr>
                <w:rFonts w:eastAsia="PMingLiU" w:cs="Calibri"/>
                <w:color w:val="auto"/>
              </w:rPr>
              <w:t>SAMM Name</w:t>
            </w:r>
          </w:p>
        </w:tc>
        <w:tc>
          <w:tcPr>
            <w:tcW w:w="1289" w:type="dxa"/>
            <w:tcBorders>
              <w:left w:val="single" w:sz="4" w:space="0" w:color="000000"/>
              <w:right w:val="single" w:sz="4" w:space="0" w:color="000000"/>
            </w:tcBorders>
            <w:shd w:val="clear" w:color="auto" w:fill="auto"/>
          </w:tcPr>
          <w:p w14:paraId="2E35102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C14902">
              <w:rPr>
                <w:rFonts w:eastAsia="PMingLiU" w:cs="Calibri"/>
                <w:color w:val="auto"/>
              </w:rPr>
              <w:t>State Plan Data</w:t>
            </w:r>
          </w:p>
        </w:tc>
        <w:tc>
          <w:tcPr>
            <w:tcW w:w="1411" w:type="dxa"/>
            <w:tcBorders>
              <w:left w:val="single" w:sz="4" w:space="0" w:color="000000"/>
              <w:right w:val="single" w:sz="4" w:space="0" w:color="000000"/>
            </w:tcBorders>
            <w:shd w:val="clear" w:color="auto" w:fill="auto"/>
          </w:tcPr>
          <w:p w14:paraId="44B93B9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C14902">
              <w:rPr>
                <w:rFonts w:eastAsia="PMingLiU" w:cs="Calibri"/>
                <w:color w:val="auto"/>
              </w:rPr>
              <w:t>Further Review Level</w:t>
            </w:r>
          </w:p>
        </w:tc>
        <w:tc>
          <w:tcPr>
            <w:tcW w:w="4410" w:type="dxa"/>
            <w:tcBorders>
              <w:left w:val="single" w:sz="4" w:space="0" w:color="000000"/>
            </w:tcBorders>
            <w:shd w:val="clear" w:color="auto" w:fill="auto"/>
          </w:tcPr>
          <w:p w14:paraId="112F51F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C14902">
              <w:rPr>
                <w:rFonts w:eastAsia="PMingLiU" w:cs="Calibri"/>
                <w:color w:val="auto"/>
              </w:rPr>
              <w:t>Notes</w:t>
            </w:r>
          </w:p>
        </w:tc>
      </w:tr>
      <w:tr w:rsidR="005D711C" w:rsidRPr="00C14902" w14:paraId="048A4182" w14:textId="77777777" w:rsidTr="006E4150">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3ECDD70A"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1a</w:t>
            </w:r>
          </w:p>
        </w:tc>
        <w:tc>
          <w:tcPr>
            <w:tcW w:w="2206" w:type="dxa"/>
            <w:shd w:val="clear" w:color="auto" w:fill="auto"/>
          </w:tcPr>
          <w:p w14:paraId="79BF717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 xml:space="preserve">Average number of </w:t>
            </w:r>
            <w:proofErr w:type="gramStart"/>
            <w:r w:rsidRPr="00C14902">
              <w:rPr>
                <w:rFonts w:asciiTheme="minorHAnsi" w:hAnsiTheme="minorHAnsi" w:cstheme="minorHAnsi"/>
              </w:rPr>
              <w:t>work days</w:t>
            </w:r>
            <w:proofErr w:type="gramEnd"/>
            <w:r w:rsidRPr="00C14902">
              <w:rPr>
                <w:rFonts w:asciiTheme="minorHAnsi" w:hAnsiTheme="minorHAnsi" w:cstheme="minorHAnsi"/>
              </w:rPr>
              <w:t xml:space="preserve"> to initiate complaint inspections (state formula)</w:t>
            </w:r>
          </w:p>
        </w:tc>
        <w:tc>
          <w:tcPr>
            <w:tcW w:w="1289" w:type="dxa"/>
            <w:shd w:val="clear" w:color="auto" w:fill="auto"/>
          </w:tcPr>
          <w:p w14:paraId="40711CC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80.39</w:t>
            </w:r>
          </w:p>
        </w:tc>
        <w:tc>
          <w:tcPr>
            <w:tcW w:w="1411" w:type="dxa"/>
            <w:shd w:val="clear" w:color="auto" w:fill="auto"/>
          </w:tcPr>
          <w:p w14:paraId="4E6AC96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30 days for serious hazards; 120 days for other-than-serious hazards</w:t>
            </w:r>
          </w:p>
        </w:tc>
        <w:tc>
          <w:tcPr>
            <w:tcW w:w="4410" w:type="dxa"/>
            <w:shd w:val="clear" w:color="auto" w:fill="auto"/>
          </w:tcPr>
          <w:p w14:paraId="71BD419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negotiated by OSHA and the State Plan.</w:t>
            </w:r>
          </w:p>
        </w:tc>
      </w:tr>
      <w:tr w:rsidR="005D711C" w:rsidRPr="00C14902" w14:paraId="07AB11BA"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6FFD13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1b</w:t>
            </w:r>
          </w:p>
        </w:tc>
        <w:tc>
          <w:tcPr>
            <w:tcW w:w="2206" w:type="dxa"/>
            <w:shd w:val="clear" w:color="auto" w:fill="auto"/>
          </w:tcPr>
          <w:p w14:paraId="5F0B407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 xml:space="preserve">Average number of </w:t>
            </w:r>
            <w:proofErr w:type="gramStart"/>
            <w:r w:rsidRPr="00C14902">
              <w:rPr>
                <w:rFonts w:asciiTheme="minorHAnsi" w:hAnsiTheme="minorHAnsi" w:cstheme="minorHAnsi"/>
              </w:rPr>
              <w:t>work days</w:t>
            </w:r>
            <w:proofErr w:type="gramEnd"/>
            <w:r w:rsidRPr="00C14902">
              <w:rPr>
                <w:rFonts w:asciiTheme="minorHAnsi" w:hAnsiTheme="minorHAnsi" w:cstheme="minorHAnsi"/>
              </w:rPr>
              <w:t xml:space="preserve"> to initiate complaint inspections (federal formula)</w:t>
            </w:r>
          </w:p>
        </w:tc>
        <w:tc>
          <w:tcPr>
            <w:tcW w:w="1289" w:type="dxa"/>
            <w:shd w:val="clear" w:color="auto" w:fill="auto"/>
          </w:tcPr>
          <w:p w14:paraId="4DB5FD1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64.12</w:t>
            </w:r>
          </w:p>
        </w:tc>
        <w:tc>
          <w:tcPr>
            <w:tcW w:w="1411" w:type="dxa"/>
            <w:shd w:val="clear" w:color="auto" w:fill="auto"/>
          </w:tcPr>
          <w:p w14:paraId="59BC051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N/A</w:t>
            </w:r>
          </w:p>
        </w:tc>
        <w:tc>
          <w:tcPr>
            <w:tcW w:w="4410" w:type="dxa"/>
            <w:shd w:val="clear" w:color="auto" w:fill="auto"/>
          </w:tcPr>
          <w:p w14:paraId="1D1D49F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This measure is for informational purposes only and is not a mandated measure.</w:t>
            </w:r>
          </w:p>
        </w:tc>
      </w:tr>
      <w:tr w:rsidR="005D711C" w:rsidRPr="00C14902" w14:paraId="6350CBBC"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8D3B84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2a</w:t>
            </w:r>
          </w:p>
        </w:tc>
        <w:tc>
          <w:tcPr>
            <w:tcW w:w="2206" w:type="dxa"/>
            <w:shd w:val="clear" w:color="auto" w:fill="auto"/>
          </w:tcPr>
          <w:p w14:paraId="7D506B7A"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 xml:space="preserve">Average number of </w:t>
            </w:r>
            <w:proofErr w:type="gramStart"/>
            <w:r w:rsidRPr="00C14902">
              <w:rPr>
                <w:rFonts w:asciiTheme="minorHAnsi" w:hAnsiTheme="minorHAnsi" w:cstheme="minorHAnsi"/>
              </w:rPr>
              <w:t>work days</w:t>
            </w:r>
            <w:proofErr w:type="gramEnd"/>
            <w:r w:rsidRPr="00C14902">
              <w:rPr>
                <w:rFonts w:asciiTheme="minorHAnsi" w:hAnsiTheme="minorHAnsi" w:cstheme="minorHAnsi"/>
              </w:rPr>
              <w:t xml:space="preserve"> to initiate complaint investigations (state formula)</w:t>
            </w:r>
          </w:p>
        </w:tc>
        <w:tc>
          <w:tcPr>
            <w:tcW w:w="1289" w:type="dxa"/>
            <w:shd w:val="clear" w:color="auto" w:fill="auto"/>
          </w:tcPr>
          <w:p w14:paraId="11382DA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57.40</w:t>
            </w:r>
          </w:p>
        </w:tc>
        <w:tc>
          <w:tcPr>
            <w:tcW w:w="1411" w:type="dxa"/>
            <w:shd w:val="clear" w:color="auto" w:fill="auto"/>
          </w:tcPr>
          <w:p w14:paraId="333CC6D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TBD</w:t>
            </w:r>
          </w:p>
        </w:tc>
        <w:tc>
          <w:tcPr>
            <w:tcW w:w="4410" w:type="dxa"/>
            <w:shd w:val="clear" w:color="auto" w:fill="auto"/>
          </w:tcPr>
          <w:p w14:paraId="3DA44DF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negotiated by OSHA and the State Plan.</w:t>
            </w:r>
          </w:p>
        </w:tc>
      </w:tr>
      <w:tr w:rsidR="005D711C" w:rsidRPr="00C14902" w14:paraId="3007A386"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2DA4C98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2b</w:t>
            </w:r>
          </w:p>
        </w:tc>
        <w:tc>
          <w:tcPr>
            <w:tcW w:w="2206" w:type="dxa"/>
            <w:shd w:val="clear" w:color="auto" w:fill="auto"/>
          </w:tcPr>
          <w:p w14:paraId="25D539C2"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 xml:space="preserve">Average number of </w:t>
            </w:r>
            <w:proofErr w:type="gramStart"/>
            <w:r w:rsidRPr="00C14902">
              <w:rPr>
                <w:rFonts w:asciiTheme="minorHAnsi" w:hAnsiTheme="minorHAnsi" w:cstheme="minorHAnsi"/>
              </w:rPr>
              <w:t>work days</w:t>
            </w:r>
            <w:proofErr w:type="gramEnd"/>
            <w:r w:rsidRPr="00C14902">
              <w:rPr>
                <w:rFonts w:asciiTheme="minorHAnsi" w:hAnsiTheme="minorHAnsi" w:cstheme="minorHAnsi"/>
              </w:rPr>
              <w:t xml:space="preserve"> to initiate complaint investigations (federal formula)</w:t>
            </w:r>
          </w:p>
        </w:tc>
        <w:tc>
          <w:tcPr>
            <w:tcW w:w="1289" w:type="dxa"/>
            <w:shd w:val="clear" w:color="auto" w:fill="auto"/>
          </w:tcPr>
          <w:p w14:paraId="001593E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55.84</w:t>
            </w:r>
          </w:p>
        </w:tc>
        <w:tc>
          <w:tcPr>
            <w:tcW w:w="1411" w:type="dxa"/>
            <w:shd w:val="clear" w:color="auto" w:fill="auto"/>
          </w:tcPr>
          <w:p w14:paraId="56D7E93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N/A</w:t>
            </w:r>
          </w:p>
        </w:tc>
        <w:tc>
          <w:tcPr>
            <w:tcW w:w="4410" w:type="dxa"/>
            <w:shd w:val="clear" w:color="auto" w:fill="auto"/>
          </w:tcPr>
          <w:p w14:paraId="341BF80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This measure is for informational purposes only and is not a mandated measure.</w:t>
            </w:r>
          </w:p>
        </w:tc>
      </w:tr>
      <w:tr w:rsidR="005D711C" w:rsidRPr="00C14902" w14:paraId="72C1D43D"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30192A3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3</w:t>
            </w:r>
          </w:p>
        </w:tc>
        <w:tc>
          <w:tcPr>
            <w:tcW w:w="2206" w:type="dxa"/>
            <w:shd w:val="clear" w:color="auto" w:fill="auto"/>
          </w:tcPr>
          <w:p w14:paraId="507648D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Percent of complaints and referrals responded to within one workday (imminent danger)</w:t>
            </w:r>
          </w:p>
        </w:tc>
        <w:tc>
          <w:tcPr>
            <w:tcW w:w="1289" w:type="dxa"/>
            <w:shd w:val="clear" w:color="auto" w:fill="auto"/>
          </w:tcPr>
          <w:p w14:paraId="64D5426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100%</w:t>
            </w:r>
          </w:p>
        </w:tc>
        <w:tc>
          <w:tcPr>
            <w:tcW w:w="1411" w:type="dxa"/>
            <w:shd w:val="clear" w:color="auto" w:fill="auto"/>
          </w:tcPr>
          <w:p w14:paraId="64619BF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100%</w:t>
            </w:r>
          </w:p>
        </w:tc>
        <w:tc>
          <w:tcPr>
            <w:tcW w:w="4410" w:type="dxa"/>
            <w:shd w:val="clear" w:color="auto" w:fill="auto"/>
          </w:tcPr>
          <w:p w14:paraId="0FA9738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fixed for all State Plans.</w:t>
            </w:r>
          </w:p>
        </w:tc>
      </w:tr>
      <w:tr w:rsidR="005D711C" w:rsidRPr="00C14902" w14:paraId="2D8E9190"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10F80BF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4</w:t>
            </w:r>
          </w:p>
        </w:tc>
        <w:tc>
          <w:tcPr>
            <w:tcW w:w="2206" w:type="dxa"/>
            <w:shd w:val="clear" w:color="auto" w:fill="auto"/>
          </w:tcPr>
          <w:p w14:paraId="16EFDA7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Number of denials where entry not obtained</w:t>
            </w:r>
          </w:p>
        </w:tc>
        <w:tc>
          <w:tcPr>
            <w:tcW w:w="1289" w:type="dxa"/>
            <w:shd w:val="clear" w:color="auto" w:fill="auto"/>
          </w:tcPr>
          <w:p w14:paraId="0A9D225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0</w:t>
            </w:r>
          </w:p>
        </w:tc>
        <w:tc>
          <w:tcPr>
            <w:tcW w:w="1411" w:type="dxa"/>
            <w:shd w:val="clear" w:color="auto" w:fill="auto"/>
          </w:tcPr>
          <w:p w14:paraId="493AF09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0</w:t>
            </w:r>
          </w:p>
        </w:tc>
        <w:tc>
          <w:tcPr>
            <w:tcW w:w="4410" w:type="dxa"/>
            <w:shd w:val="clear" w:color="auto" w:fill="auto"/>
          </w:tcPr>
          <w:p w14:paraId="752BD4C5"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fixed for all State Plans.</w:t>
            </w:r>
          </w:p>
        </w:tc>
      </w:tr>
      <w:tr w:rsidR="005D711C" w:rsidRPr="00C14902" w14:paraId="387E131C" w14:textId="77777777" w:rsidTr="00D13E04">
        <w:trPr>
          <w:cantSplit/>
          <w:trHeight w:val="854"/>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1730ED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5a</w:t>
            </w:r>
          </w:p>
        </w:tc>
        <w:tc>
          <w:tcPr>
            <w:tcW w:w="2206" w:type="dxa"/>
            <w:shd w:val="clear" w:color="auto" w:fill="auto"/>
          </w:tcPr>
          <w:p w14:paraId="460E0E0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Average number of violations per inspection with violations by violation type (SWRU)</w:t>
            </w:r>
          </w:p>
        </w:tc>
        <w:tc>
          <w:tcPr>
            <w:tcW w:w="1289" w:type="dxa"/>
            <w:shd w:val="clear" w:color="auto" w:fill="auto"/>
          </w:tcPr>
          <w:p w14:paraId="243DD36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1.88</w:t>
            </w:r>
          </w:p>
        </w:tc>
        <w:tc>
          <w:tcPr>
            <w:tcW w:w="1411" w:type="dxa"/>
            <w:shd w:val="clear" w:color="auto" w:fill="auto"/>
          </w:tcPr>
          <w:p w14:paraId="72E4DA1B"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+/- 20% of 1.74</w:t>
            </w:r>
          </w:p>
          <w:p w14:paraId="50903206"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BDF8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7C1B259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5D711C" w:rsidRPr="00C14902" w14:paraId="684A7EB6"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7AFD962"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5b</w:t>
            </w:r>
          </w:p>
        </w:tc>
        <w:tc>
          <w:tcPr>
            <w:tcW w:w="2206" w:type="dxa"/>
            <w:shd w:val="clear" w:color="auto" w:fill="auto"/>
          </w:tcPr>
          <w:p w14:paraId="103377F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Average number of violations per inspection with violations by violation type (other)</w:t>
            </w:r>
          </w:p>
        </w:tc>
        <w:tc>
          <w:tcPr>
            <w:tcW w:w="1289" w:type="dxa"/>
            <w:shd w:val="clear" w:color="auto" w:fill="auto"/>
          </w:tcPr>
          <w:p w14:paraId="218F1AA0"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0.86</w:t>
            </w:r>
          </w:p>
        </w:tc>
        <w:tc>
          <w:tcPr>
            <w:tcW w:w="1411" w:type="dxa"/>
            <w:shd w:val="clear" w:color="auto" w:fill="auto"/>
          </w:tcPr>
          <w:p w14:paraId="09FD2D51"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+/- 20% of 0.94</w:t>
            </w:r>
          </w:p>
          <w:p w14:paraId="50C030F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7822C0C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5D711C" w:rsidRPr="00C14902" w14:paraId="14B0AF27" w14:textId="77777777" w:rsidTr="00BC584B">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CEC060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bookmarkStart w:id="34" w:name="_Hlk188956625"/>
            <w:r w:rsidRPr="00C14902">
              <w:rPr>
                <w:rFonts w:eastAsia="PMingLiU" w:cs="Calibri"/>
              </w:rPr>
              <w:t>6</w:t>
            </w:r>
          </w:p>
        </w:tc>
        <w:tc>
          <w:tcPr>
            <w:tcW w:w="2206" w:type="dxa"/>
            <w:shd w:val="clear" w:color="auto" w:fill="auto"/>
          </w:tcPr>
          <w:p w14:paraId="55B0025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Percent of total inspections in state and local government workplaces</w:t>
            </w:r>
          </w:p>
        </w:tc>
        <w:tc>
          <w:tcPr>
            <w:tcW w:w="1289" w:type="dxa"/>
            <w:shd w:val="clear" w:color="auto" w:fill="auto"/>
          </w:tcPr>
          <w:p w14:paraId="5C56047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5.40%</w:t>
            </w:r>
          </w:p>
        </w:tc>
        <w:tc>
          <w:tcPr>
            <w:tcW w:w="1411" w:type="dxa"/>
            <w:shd w:val="clear" w:color="auto" w:fill="auto"/>
          </w:tcPr>
          <w:p w14:paraId="6AF5382B"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+/- 5% of</w:t>
            </w:r>
          </w:p>
          <w:p w14:paraId="5C78B0A5"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Grant 9.93%</w:t>
            </w:r>
          </w:p>
        </w:tc>
        <w:tc>
          <w:tcPr>
            <w:tcW w:w="4410" w:type="dxa"/>
            <w:shd w:val="clear" w:color="auto" w:fill="auto"/>
          </w:tcPr>
          <w:p w14:paraId="1D1DA0DB"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9.44% to 10.43%.</w:t>
            </w:r>
          </w:p>
        </w:tc>
      </w:tr>
      <w:tr w:rsidR="005D711C" w:rsidRPr="00C14902" w14:paraId="0BB268DC" w14:textId="77777777" w:rsidTr="00BC584B">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93C2A7B"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7a</w:t>
            </w:r>
          </w:p>
        </w:tc>
        <w:tc>
          <w:tcPr>
            <w:tcW w:w="2206" w:type="dxa"/>
            <w:shd w:val="clear" w:color="auto" w:fill="auto"/>
          </w:tcPr>
          <w:p w14:paraId="74369D2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Planned v. actual inspections (safety)</w:t>
            </w:r>
          </w:p>
        </w:tc>
        <w:tc>
          <w:tcPr>
            <w:tcW w:w="1289" w:type="dxa"/>
            <w:shd w:val="clear" w:color="auto" w:fill="auto"/>
          </w:tcPr>
          <w:p w14:paraId="6E38C82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482</w:t>
            </w:r>
          </w:p>
        </w:tc>
        <w:tc>
          <w:tcPr>
            <w:tcW w:w="1411" w:type="dxa"/>
            <w:shd w:val="clear" w:color="auto" w:fill="auto"/>
          </w:tcPr>
          <w:p w14:paraId="13633CF0"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+/- 5% of </w:t>
            </w:r>
          </w:p>
          <w:p w14:paraId="612582A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Grant 429</w:t>
            </w:r>
          </w:p>
        </w:tc>
        <w:tc>
          <w:tcPr>
            <w:tcW w:w="4410" w:type="dxa"/>
            <w:shd w:val="clear" w:color="auto" w:fill="auto"/>
          </w:tcPr>
          <w:p w14:paraId="771214B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number negotiated by OSHA and the State Plan through the grant application.  The range of acceptable data not requiring further review is from 408 to 450 for safety.</w:t>
            </w:r>
          </w:p>
        </w:tc>
      </w:tr>
      <w:tr w:rsidR="005D711C" w:rsidRPr="00C14902" w14:paraId="3320C1E8" w14:textId="77777777" w:rsidTr="00BC584B">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66D7D70"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7b</w:t>
            </w:r>
          </w:p>
        </w:tc>
        <w:tc>
          <w:tcPr>
            <w:tcW w:w="2206" w:type="dxa"/>
            <w:shd w:val="clear" w:color="auto" w:fill="auto"/>
          </w:tcPr>
          <w:p w14:paraId="4172106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Planned v. actual inspections (health)</w:t>
            </w:r>
          </w:p>
        </w:tc>
        <w:tc>
          <w:tcPr>
            <w:tcW w:w="1289" w:type="dxa"/>
            <w:shd w:val="clear" w:color="auto" w:fill="auto"/>
          </w:tcPr>
          <w:p w14:paraId="4FEBE34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259</w:t>
            </w:r>
          </w:p>
        </w:tc>
        <w:tc>
          <w:tcPr>
            <w:tcW w:w="1411" w:type="dxa"/>
            <w:shd w:val="clear" w:color="auto" w:fill="auto"/>
          </w:tcPr>
          <w:p w14:paraId="277C27C4"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+/- 5% of </w:t>
            </w:r>
          </w:p>
          <w:p w14:paraId="610E4A6A"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Grant 175</w:t>
            </w:r>
          </w:p>
        </w:tc>
        <w:tc>
          <w:tcPr>
            <w:tcW w:w="4410" w:type="dxa"/>
            <w:shd w:val="clear" w:color="auto" w:fill="auto"/>
          </w:tcPr>
          <w:p w14:paraId="7C49B7E5"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number negotiated by OSHA and the State Plan through the grant application.  The range of acceptable data not requiring further review is from 166 to 184 for health.</w:t>
            </w:r>
          </w:p>
        </w:tc>
      </w:tr>
      <w:bookmarkEnd w:id="34"/>
      <w:tr w:rsidR="005D711C" w:rsidRPr="00C14902" w14:paraId="047F8940"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ABBA28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8</w:t>
            </w:r>
          </w:p>
        </w:tc>
        <w:tc>
          <w:tcPr>
            <w:tcW w:w="2206" w:type="dxa"/>
            <w:shd w:val="clear" w:color="auto" w:fill="auto"/>
          </w:tcPr>
          <w:p w14:paraId="5B57905A"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Average current serious penalty in private sector - total (1 to greater than 250 workers)</w:t>
            </w:r>
          </w:p>
        </w:tc>
        <w:tc>
          <w:tcPr>
            <w:tcW w:w="1289" w:type="dxa"/>
            <w:shd w:val="clear" w:color="auto" w:fill="auto"/>
          </w:tcPr>
          <w:p w14:paraId="4949AF1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$3,745.65</w:t>
            </w:r>
          </w:p>
        </w:tc>
        <w:tc>
          <w:tcPr>
            <w:tcW w:w="1411" w:type="dxa"/>
            <w:shd w:val="clear" w:color="auto" w:fill="auto"/>
          </w:tcPr>
          <w:p w14:paraId="2ACE58B3"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+/- 25% of </w:t>
            </w:r>
          </w:p>
          <w:p w14:paraId="492D9AFA"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$3,793.81</w:t>
            </w:r>
          </w:p>
          <w:p w14:paraId="759F3B6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78B64B9C" w14:textId="77777777" w:rsidR="005D711C" w:rsidRPr="00C14902" w:rsidRDefault="005D711C" w:rsidP="00062B3F">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$2,845.36 to $4,742.27.</w:t>
            </w:r>
          </w:p>
        </w:tc>
      </w:tr>
      <w:tr w:rsidR="005D711C" w:rsidRPr="00C14902" w14:paraId="2652A1E3"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2BC10D2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rPr>
            </w:pPr>
            <w:r w:rsidRPr="00C14902">
              <w:rPr>
                <w:rFonts w:eastAsia="PMingLiU" w:cs="Calibri"/>
              </w:rPr>
              <w:t>8a</w:t>
            </w:r>
          </w:p>
        </w:tc>
        <w:tc>
          <w:tcPr>
            <w:tcW w:w="2206" w:type="dxa"/>
            <w:shd w:val="clear" w:color="auto" w:fill="auto"/>
          </w:tcPr>
          <w:p w14:paraId="282368A4"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Average current serious penalty in private sector</w:t>
            </w:r>
          </w:p>
          <w:p w14:paraId="717227A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(1-25 workers)</w:t>
            </w:r>
          </w:p>
        </w:tc>
        <w:tc>
          <w:tcPr>
            <w:tcW w:w="1289" w:type="dxa"/>
            <w:shd w:val="clear" w:color="auto" w:fill="auto"/>
          </w:tcPr>
          <w:p w14:paraId="4367335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$2,948.00</w:t>
            </w:r>
          </w:p>
        </w:tc>
        <w:tc>
          <w:tcPr>
            <w:tcW w:w="1411" w:type="dxa"/>
            <w:shd w:val="clear" w:color="auto" w:fill="auto"/>
          </w:tcPr>
          <w:p w14:paraId="69296127"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+/- 25% of </w:t>
            </w:r>
          </w:p>
          <w:p w14:paraId="7380F91F"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$2,498.51</w:t>
            </w:r>
          </w:p>
          <w:p w14:paraId="35E1FFF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3A2486C2"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$1,873.88 to $3,123.14.</w:t>
            </w:r>
          </w:p>
        </w:tc>
      </w:tr>
      <w:tr w:rsidR="005D711C" w:rsidRPr="00C14902" w14:paraId="7D06723D"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B193A0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8b</w:t>
            </w:r>
          </w:p>
        </w:tc>
        <w:tc>
          <w:tcPr>
            <w:tcW w:w="2206" w:type="dxa"/>
            <w:shd w:val="clear" w:color="auto" w:fill="auto"/>
          </w:tcPr>
          <w:p w14:paraId="21D44A6E"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Average current serious penalty in private sector </w:t>
            </w:r>
          </w:p>
          <w:p w14:paraId="68382BA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(26-100 workers</w:t>
            </w:r>
            <w:r w:rsidRPr="00C14902">
              <w:rPr>
                <w:rFonts w:asciiTheme="minorHAnsi" w:hAnsiTheme="minorHAnsi" w:cstheme="minorHAnsi"/>
                <w:b/>
              </w:rPr>
              <w:t>)</w:t>
            </w:r>
          </w:p>
        </w:tc>
        <w:tc>
          <w:tcPr>
            <w:tcW w:w="1289" w:type="dxa"/>
            <w:shd w:val="clear" w:color="auto" w:fill="auto"/>
          </w:tcPr>
          <w:p w14:paraId="4DEFDA1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$3,367.73</w:t>
            </w:r>
          </w:p>
        </w:tc>
        <w:tc>
          <w:tcPr>
            <w:tcW w:w="1411" w:type="dxa"/>
            <w:shd w:val="clear" w:color="auto" w:fill="auto"/>
          </w:tcPr>
          <w:p w14:paraId="058EB38C"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+/- 25% of </w:t>
            </w:r>
          </w:p>
          <w:p w14:paraId="4E8AB9C1"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$4,322.61</w:t>
            </w:r>
          </w:p>
          <w:p w14:paraId="3B050E4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4C01D2F2"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$3,241.96 to $5,403.26.</w:t>
            </w:r>
          </w:p>
        </w:tc>
      </w:tr>
      <w:tr w:rsidR="005D711C" w:rsidRPr="00C14902" w14:paraId="744C8279"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B5996A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8c</w:t>
            </w:r>
          </w:p>
        </w:tc>
        <w:tc>
          <w:tcPr>
            <w:tcW w:w="2206" w:type="dxa"/>
            <w:shd w:val="clear" w:color="auto" w:fill="auto"/>
          </w:tcPr>
          <w:p w14:paraId="36F66941"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Average current serious penalty in private sector</w:t>
            </w:r>
          </w:p>
          <w:p w14:paraId="2630A69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(101-250 workers)</w:t>
            </w:r>
          </w:p>
        </w:tc>
        <w:tc>
          <w:tcPr>
            <w:tcW w:w="1289" w:type="dxa"/>
            <w:shd w:val="clear" w:color="auto" w:fill="auto"/>
          </w:tcPr>
          <w:p w14:paraId="33732594"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$5,231.11</w:t>
            </w:r>
          </w:p>
        </w:tc>
        <w:tc>
          <w:tcPr>
            <w:tcW w:w="1411" w:type="dxa"/>
            <w:shd w:val="clear" w:color="auto" w:fill="auto"/>
          </w:tcPr>
          <w:p w14:paraId="63755FE0"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+/- 25% of </w:t>
            </w:r>
          </w:p>
          <w:p w14:paraId="28EC0EA9"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$6,114.84</w:t>
            </w:r>
          </w:p>
          <w:p w14:paraId="02FB2DA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79134BB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$4,586.13 to $7,643.55.</w:t>
            </w:r>
          </w:p>
        </w:tc>
      </w:tr>
      <w:tr w:rsidR="005D711C" w:rsidRPr="00C14902" w14:paraId="10810482" w14:textId="77777777" w:rsidTr="00BC584B">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3636486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8d</w:t>
            </w:r>
          </w:p>
        </w:tc>
        <w:tc>
          <w:tcPr>
            <w:tcW w:w="2206" w:type="dxa"/>
            <w:shd w:val="clear" w:color="auto" w:fill="auto"/>
          </w:tcPr>
          <w:p w14:paraId="5B8384C8"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Average current serious penalty in private sector</w:t>
            </w:r>
          </w:p>
          <w:p w14:paraId="5F89DAC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(greater than 250 workers)</w:t>
            </w:r>
          </w:p>
        </w:tc>
        <w:tc>
          <w:tcPr>
            <w:tcW w:w="1289" w:type="dxa"/>
            <w:shd w:val="clear" w:color="auto" w:fill="auto"/>
          </w:tcPr>
          <w:p w14:paraId="469BC4C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$5,183.26</w:t>
            </w:r>
          </w:p>
        </w:tc>
        <w:tc>
          <w:tcPr>
            <w:tcW w:w="1411" w:type="dxa"/>
            <w:shd w:val="clear" w:color="auto" w:fill="auto"/>
          </w:tcPr>
          <w:p w14:paraId="60D841F5"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xml:space="preserve">+/- 25% of </w:t>
            </w:r>
          </w:p>
          <w:p w14:paraId="63673B07"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$7,533.58</w:t>
            </w:r>
          </w:p>
          <w:p w14:paraId="0A507262"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4B40D03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$5,650.19 to $9,416.98.</w:t>
            </w:r>
          </w:p>
        </w:tc>
      </w:tr>
      <w:tr w:rsidR="005D711C" w:rsidRPr="00C14902" w14:paraId="2952A1B7" w14:textId="77777777" w:rsidTr="00D13E04">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096B4F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bookmarkStart w:id="35" w:name="_Hlk187755371"/>
            <w:r w:rsidRPr="00C14902">
              <w:rPr>
                <w:rFonts w:eastAsia="PMingLiU" w:cs="Calibri"/>
              </w:rPr>
              <w:t>9a</w:t>
            </w:r>
          </w:p>
        </w:tc>
        <w:tc>
          <w:tcPr>
            <w:tcW w:w="2206" w:type="dxa"/>
            <w:shd w:val="clear" w:color="auto" w:fill="auto"/>
          </w:tcPr>
          <w:p w14:paraId="70AA058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in compliance (safety)</w:t>
            </w:r>
          </w:p>
        </w:tc>
        <w:tc>
          <w:tcPr>
            <w:tcW w:w="1289" w:type="dxa"/>
            <w:shd w:val="clear" w:color="auto" w:fill="auto"/>
          </w:tcPr>
          <w:p w14:paraId="45A21D8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30.37%</w:t>
            </w:r>
          </w:p>
        </w:tc>
        <w:tc>
          <w:tcPr>
            <w:tcW w:w="1411" w:type="dxa"/>
            <w:shd w:val="clear" w:color="auto" w:fill="auto"/>
          </w:tcPr>
          <w:p w14:paraId="77537AAA"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+/- 20% of</w:t>
            </w:r>
          </w:p>
          <w:p w14:paraId="5895B58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32.83%</w:t>
            </w:r>
          </w:p>
        </w:tc>
        <w:tc>
          <w:tcPr>
            <w:tcW w:w="4410" w:type="dxa"/>
            <w:shd w:val="clear" w:color="auto" w:fill="auto"/>
          </w:tcPr>
          <w:p w14:paraId="0262F4B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26.27% to 39.40% for safety.</w:t>
            </w:r>
          </w:p>
        </w:tc>
      </w:tr>
      <w:tr w:rsidR="005D711C" w:rsidRPr="00C14902" w14:paraId="419FCFD1" w14:textId="77777777" w:rsidTr="00BC584B">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212BAC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9b</w:t>
            </w:r>
          </w:p>
        </w:tc>
        <w:tc>
          <w:tcPr>
            <w:tcW w:w="2206" w:type="dxa"/>
            <w:shd w:val="clear" w:color="auto" w:fill="auto"/>
          </w:tcPr>
          <w:p w14:paraId="0394583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in compliance (health)</w:t>
            </w:r>
          </w:p>
        </w:tc>
        <w:tc>
          <w:tcPr>
            <w:tcW w:w="1289" w:type="dxa"/>
            <w:shd w:val="clear" w:color="auto" w:fill="auto"/>
          </w:tcPr>
          <w:p w14:paraId="6D08C304"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68.12%</w:t>
            </w:r>
          </w:p>
        </w:tc>
        <w:tc>
          <w:tcPr>
            <w:tcW w:w="1411" w:type="dxa"/>
            <w:shd w:val="clear" w:color="auto" w:fill="auto"/>
          </w:tcPr>
          <w:p w14:paraId="042E6186"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+/- 20% of</w:t>
            </w:r>
          </w:p>
          <w:p w14:paraId="026008E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44.18%</w:t>
            </w:r>
          </w:p>
        </w:tc>
        <w:tc>
          <w:tcPr>
            <w:tcW w:w="4410" w:type="dxa"/>
            <w:shd w:val="clear" w:color="auto" w:fill="auto"/>
          </w:tcPr>
          <w:p w14:paraId="39425AB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35.34% to 53.01% for health.</w:t>
            </w:r>
          </w:p>
        </w:tc>
      </w:tr>
      <w:bookmarkEnd w:id="35"/>
      <w:tr w:rsidR="005D711C" w:rsidRPr="00C14902" w14:paraId="16BD4ACB" w14:textId="77777777" w:rsidTr="00D13E04">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2AF4568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10</w:t>
            </w:r>
          </w:p>
        </w:tc>
        <w:tc>
          <w:tcPr>
            <w:tcW w:w="2206" w:type="dxa"/>
            <w:shd w:val="clear" w:color="auto" w:fill="auto"/>
          </w:tcPr>
          <w:p w14:paraId="7AA82519"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of work-related fatalities responded to in one workday</w:t>
            </w:r>
          </w:p>
        </w:tc>
        <w:tc>
          <w:tcPr>
            <w:tcW w:w="1289" w:type="dxa"/>
            <w:shd w:val="clear" w:color="auto" w:fill="auto"/>
          </w:tcPr>
          <w:p w14:paraId="1FA428CB"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100%</w:t>
            </w:r>
          </w:p>
        </w:tc>
        <w:tc>
          <w:tcPr>
            <w:tcW w:w="1411" w:type="dxa"/>
            <w:shd w:val="clear" w:color="auto" w:fill="auto"/>
          </w:tcPr>
          <w:p w14:paraId="77BDBF32"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100%</w:t>
            </w:r>
          </w:p>
        </w:tc>
        <w:tc>
          <w:tcPr>
            <w:tcW w:w="4410" w:type="dxa"/>
            <w:shd w:val="clear" w:color="auto" w:fill="auto"/>
          </w:tcPr>
          <w:p w14:paraId="455CDDF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fixed for all State Plans.</w:t>
            </w:r>
          </w:p>
        </w:tc>
      </w:tr>
      <w:tr w:rsidR="005D711C" w:rsidRPr="00C14902" w14:paraId="7BB59CDA" w14:textId="77777777" w:rsidTr="00BC584B">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6EB085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bookmarkStart w:id="36" w:name="_Hlk187755091"/>
            <w:r w:rsidRPr="00C14902">
              <w:rPr>
                <w:rFonts w:eastAsia="PMingLiU" w:cs="Calibri"/>
              </w:rPr>
              <w:t>11a</w:t>
            </w:r>
          </w:p>
        </w:tc>
        <w:tc>
          <w:tcPr>
            <w:tcW w:w="2206" w:type="dxa"/>
            <w:shd w:val="clear" w:color="auto" w:fill="auto"/>
          </w:tcPr>
          <w:p w14:paraId="31ABCD1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Average lapse time (safety)</w:t>
            </w:r>
          </w:p>
        </w:tc>
        <w:tc>
          <w:tcPr>
            <w:tcW w:w="1289" w:type="dxa"/>
            <w:shd w:val="clear" w:color="auto" w:fill="auto"/>
          </w:tcPr>
          <w:p w14:paraId="26E7E35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76.56</w:t>
            </w:r>
          </w:p>
        </w:tc>
        <w:tc>
          <w:tcPr>
            <w:tcW w:w="1411" w:type="dxa"/>
            <w:shd w:val="clear" w:color="auto" w:fill="auto"/>
          </w:tcPr>
          <w:p w14:paraId="29086CD9"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+/- 20% of 56.02</w:t>
            </w:r>
          </w:p>
          <w:p w14:paraId="4344932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38CF171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44.82 to 67.23for safety.</w:t>
            </w:r>
          </w:p>
        </w:tc>
      </w:tr>
      <w:tr w:rsidR="005D711C" w:rsidRPr="00C14902" w14:paraId="2B980A25" w14:textId="77777777" w:rsidTr="00D13E04">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14F4CB0"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11b</w:t>
            </w:r>
          </w:p>
        </w:tc>
        <w:tc>
          <w:tcPr>
            <w:tcW w:w="2206" w:type="dxa"/>
            <w:shd w:val="clear" w:color="auto" w:fill="auto"/>
          </w:tcPr>
          <w:p w14:paraId="5A3DA83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Average lapse time (health)</w:t>
            </w:r>
          </w:p>
        </w:tc>
        <w:tc>
          <w:tcPr>
            <w:tcW w:w="1289" w:type="dxa"/>
            <w:shd w:val="clear" w:color="auto" w:fill="auto"/>
          </w:tcPr>
          <w:p w14:paraId="0A6B539A"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72.31</w:t>
            </w:r>
          </w:p>
        </w:tc>
        <w:tc>
          <w:tcPr>
            <w:tcW w:w="1411" w:type="dxa"/>
            <w:shd w:val="clear" w:color="auto" w:fill="auto"/>
          </w:tcPr>
          <w:p w14:paraId="5272DF0F"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+/- 20% of 67.21</w:t>
            </w:r>
          </w:p>
          <w:p w14:paraId="1BE4316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1C48B01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53.77 to 80.65 for health.</w:t>
            </w:r>
          </w:p>
        </w:tc>
      </w:tr>
      <w:bookmarkEnd w:id="36"/>
      <w:tr w:rsidR="005D711C" w:rsidRPr="00C14902" w14:paraId="772D34C6" w14:textId="77777777" w:rsidTr="00BC584B">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2C9F23B"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12</w:t>
            </w:r>
          </w:p>
        </w:tc>
        <w:tc>
          <w:tcPr>
            <w:tcW w:w="2206" w:type="dxa"/>
            <w:shd w:val="clear" w:color="auto" w:fill="auto"/>
          </w:tcPr>
          <w:p w14:paraId="185E6B2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penalty retained</w:t>
            </w:r>
          </w:p>
        </w:tc>
        <w:tc>
          <w:tcPr>
            <w:tcW w:w="1289" w:type="dxa"/>
            <w:shd w:val="clear" w:color="auto" w:fill="auto"/>
          </w:tcPr>
          <w:p w14:paraId="7942312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83.00%</w:t>
            </w:r>
          </w:p>
        </w:tc>
        <w:tc>
          <w:tcPr>
            <w:tcW w:w="1411" w:type="dxa"/>
            <w:shd w:val="clear" w:color="auto" w:fill="auto"/>
          </w:tcPr>
          <w:p w14:paraId="7B63AE07"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+/- 15% of</w:t>
            </w:r>
          </w:p>
          <w:p w14:paraId="3A184A3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70.81%</w:t>
            </w:r>
          </w:p>
        </w:tc>
        <w:tc>
          <w:tcPr>
            <w:tcW w:w="4410" w:type="dxa"/>
            <w:shd w:val="clear" w:color="auto" w:fill="auto"/>
          </w:tcPr>
          <w:p w14:paraId="50E4DE3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based on a three-year national average.  The range of acceptable data not requiring further review is from 60.19% to 81.44%.</w:t>
            </w:r>
          </w:p>
        </w:tc>
      </w:tr>
      <w:tr w:rsidR="005D711C" w:rsidRPr="00C14902" w14:paraId="1AFF2E9F" w14:textId="77777777" w:rsidTr="00D13E04">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1C4E7F80"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13</w:t>
            </w:r>
          </w:p>
        </w:tc>
        <w:tc>
          <w:tcPr>
            <w:tcW w:w="2206" w:type="dxa"/>
            <w:shd w:val="clear" w:color="auto" w:fill="auto"/>
          </w:tcPr>
          <w:p w14:paraId="0A7E16D0"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of initial inspections with worker walk-around representation or worker interview</w:t>
            </w:r>
          </w:p>
        </w:tc>
        <w:tc>
          <w:tcPr>
            <w:tcW w:w="1289" w:type="dxa"/>
            <w:shd w:val="clear" w:color="auto" w:fill="auto"/>
          </w:tcPr>
          <w:p w14:paraId="223DDDB7"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100%</w:t>
            </w:r>
          </w:p>
        </w:tc>
        <w:tc>
          <w:tcPr>
            <w:tcW w:w="1411" w:type="dxa"/>
            <w:shd w:val="clear" w:color="auto" w:fill="auto"/>
          </w:tcPr>
          <w:p w14:paraId="3A6F7924"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100%</w:t>
            </w:r>
          </w:p>
        </w:tc>
        <w:tc>
          <w:tcPr>
            <w:tcW w:w="4410" w:type="dxa"/>
            <w:shd w:val="clear" w:color="auto" w:fill="auto"/>
          </w:tcPr>
          <w:p w14:paraId="618734BD"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The further review level is fixed for all State Plans.</w:t>
            </w:r>
          </w:p>
        </w:tc>
      </w:tr>
      <w:tr w:rsidR="005D711C" w:rsidRPr="00C14902" w14:paraId="653962D6" w14:textId="77777777" w:rsidTr="00D13E04">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AAC5C2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14</w:t>
            </w:r>
          </w:p>
        </w:tc>
        <w:tc>
          <w:tcPr>
            <w:tcW w:w="2206" w:type="dxa"/>
            <w:shd w:val="clear" w:color="auto" w:fill="auto"/>
          </w:tcPr>
          <w:p w14:paraId="5159496B"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of 11(c) investigations completed within 90 days</w:t>
            </w:r>
          </w:p>
        </w:tc>
        <w:tc>
          <w:tcPr>
            <w:tcW w:w="1289" w:type="dxa"/>
            <w:shd w:val="clear" w:color="auto" w:fill="auto"/>
          </w:tcPr>
          <w:p w14:paraId="69627F9C" w14:textId="3A151772"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N/A</w:t>
            </w:r>
          </w:p>
        </w:tc>
        <w:tc>
          <w:tcPr>
            <w:tcW w:w="1411" w:type="dxa"/>
            <w:shd w:val="clear" w:color="auto" w:fill="auto"/>
          </w:tcPr>
          <w:p w14:paraId="02C6798A" w14:textId="56314B73"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N/</w:t>
            </w:r>
          </w:p>
        </w:tc>
        <w:tc>
          <w:tcPr>
            <w:tcW w:w="4410" w:type="dxa"/>
            <w:shd w:val="clear" w:color="auto" w:fill="auto"/>
          </w:tcPr>
          <w:p w14:paraId="13314BE6"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964CC">
              <w:rPr>
                <w:rFonts w:asciiTheme="minorHAnsi" w:eastAsia="PMingLiU" w:hAnsiTheme="minorHAnsi" w:cstheme="minorHAnsi"/>
              </w:rPr>
              <w:t>This measure is not being reported for FY 2024 due to the transition to the new SAMM measures starting in FY 2025.</w:t>
            </w:r>
          </w:p>
        </w:tc>
      </w:tr>
      <w:tr w:rsidR="005D711C" w:rsidRPr="00C14902" w14:paraId="559CD037" w14:textId="77777777" w:rsidTr="00D13E04">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591A9FF"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15</w:t>
            </w:r>
          </w:p>
        </w:tc>
        <w:tc>
          <w:tcPr>
            <w:tcW w:w="2206" w:type="dxa"/>
            <w:shd w:val="clear" w:color="auto" w:fill="auto"/>
          </w:tcPr>
          <w:p w14:paraId="203377F3"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of 11(c) complaints that are meritorious</w:t>
            </w:r>
          </w:p>
        </w:tc>
        <w:tc>
          <w:tcPr>
            <w:tcW w:w="1289" w:type="dxa"/>
            <w:shd w:val="clear" w:color="auto" w:fill="auto"/>
          </w:tcPr>
          <w:p w14:paraId="718D76B9" w14:textId="3C286F3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N/A</w:t>
            </w:r>
          </w:p>
        </w:tc>
        <w:tc>
          <w:tcPr>
            <w:tcW w:w="1411" w:type="dxa"/>
            <w:shd w:val="clear" w:color="auto" w:fill="auto"/>
          </w:tcPr>
          <w:p w14:paraId="5B10820E" w14:textId="763F7528"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N/A</w:t>
            </w:r>
          </w:p>
        </w:tc>
        <w:tc>
          <w:tcPr>
            <w:tcW w:w="4410" w:type="dxa"/>
            <w:shd w:val="clear" w:color="auto" w:fill="auto"/>
          </w:tcPr>
          <w:p w14:paraId="235A2DD4"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964CC">
              <w:rPr>
                <w:rFonts w:asciiTheme="minorHAnsi" w:eastAsia="PMingLiU" w:hAnsiTheme="minorHAnsi" w:cstheme="minorHAnsi"/>
              </w:rPr>
              <w:t>This measure is not being reported for FY 2024 due to the transition to the new SAMM measures starting in FY 2025.</w:t>
            </w:r>
          </w:p>
        </w:tc>
      </w:tr>
      <w:tr w:rsidR="005D711C" w:rsidRPr="00C14902" w14:paraId="046F1B01" w14:textId="77777777" w:rsidTr="00D13E04">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BECC2A4"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16</w:t>
            </w:r>
          </w:p>
        </w:tc>
        <w:tc>
          <w:tcPr>
            <w:tcW w:w="2206" w:type="dxa"/>
            <w:shd w:val="clear" w:color="auto" w:fill="auto"/>
          </w:tcPr>
          <w:p w14:paraId="44F406AA"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Average number of calendar days to complete an 11(c) investigation</w:t>
            </w:r>
          </w:p>
        </w:tc>
        <w:tc>
          <w:tcPr>
            <w:tcW w:w="1289" w:type="dxa"/>
            <w:shd w:val="clear" w:color="auto" w:fill="auto"/>
          </w:tcPr>
          <w:p w14:paraId="60B06F9D" w14:textId="7B7E7A1C"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eastAsia="PMingLiU" w:hAnsiTheme="minorHAnsi" w:cstheme="minorHAnsi"/>
              </w:rPr>
              <w:t>N/A</w:t>
            </w:r>
          </w:p>
        </w:tc>
        <w:tc>
          <w:tcPr>
            <w:tcW w:w="1411" w:type="dxa"/>
            <w:shd w:val="clear" w:color="auto" w:fill="auto"/>
          </w:tcPr>
          <w:p w14:paraId="6BB6BB4A" w14:textId="3E1F8AAB"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N/A</w:t>
            </w:r>
          </w:p>
        </w:tc>
        <w:tc>
          <w:tcPr>
            <w:tcW w:w="4410" w:type="dxa"/>
            <w:shd w:val="clear" w:color="auto" w:fill="auto"/>
          </w:tcPr>
          <w:p w14:paraId="5C3BFD3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964CC">
              <w:rPr>
                <w:rFonts w:asciiTheme="minorHAnsi" w:eastAsia="PMingLiU" w:hAnsiTheme="minorHAnsi" w:cstheme="minorHAnsi"/>
              </w:rPr>
              <w:t>This measure is not being reported for FY 2024 due to the transition to the new SAMM measures starting in FY 2025.</w:t>
            </w:r>
          </w:p>
        </w:tc>
      </w:tr>
      <w:tr w:rsidR="005D711C" w:rsidRPr="00C14902" w14:paraId="73698971" w14:textId="77777777" w:rsidTr="00D13E04">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356BA2EC"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14902">
              <w:rPr>
                <w:rFonts w:eastAsia="PMingLiU" w:cs="Calibri"/>
              </w:rPr>
              <w:t>17</w:t>
            </w:r>
          </w:p>
        </w:tc>
        <w:tc>
          <w:tcPr>
            <w:tcW w:w="2206" w:type="dxa"/>
            <w:shd w:val="clear" w:color="auto" w:fill="auto"/>
          </w:tcPr>
          <w:p w14:paraId="7D55FBFE"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Percent of enforcement presence</w:t>
            </w:r>
          </w:p>
        </w:tc>
        <w:tc>
          <w:tcPr>
            <w:tcW w:w="1289" w:type="dxa"/>
            <w:shd w:val="clear" w:color="auto" w:fill="auto"/>
          </w:tcPr>
          <w:p w14:paraId="66B12B5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0.93</w:t>
            </w:r>
            <w:r w:rsidRPr="00C14902">
              <w:rPr>
                <w:rFonts w:asciiTheme="minorHAnsi" w:hAnsiTheme="minorHAnsi" w:cstheme="minorHAnsi"/>
              </w:rPr>
              <w:t>%</w:t>
            </w:r>
          </w:p>
        </w:tc>
        <w:tc>
          <w:tcPr>
            <w:tcW w:w="1411" w:type="dxa"/>
            <w:shd w:val="clear" w:color="auto" w:fill="auto"/>
          </w:tcPr>
          <w:p w14:paraId="35D7BFEE" w14:textId="77777777" w:rsidR="005D711C" w:rsidRPr="00C14902" w:rsidRDefault="005D711C" w:rsidP="00062B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902">
              <w:rPr>
                <w:rFonts w:asciiTheme="minorHAnsi" w:hAnsiTheme="minorHAnsi" w:cstheme="minorHAnsi"/>
              </w:rPr>
              <w:t>+/- 25% of</w:t>
            </w:r>
          </w:p>
          <w:p w14:paraId="30EAF0D1"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C14902">
              <w:rPr>
                <w:rFonts w:asciiTheme="minorHAnsi" w:hAnsiTheme="minorHAnsi" w:cstheme="minorHAnsi"/>
              </w:rPr>
              <w:t>%</w:t>
            </w:r>
          </w:p>
        </w:tc>
        <w:tc>
          <w:tcPr>
            <w:tcW w:w="4410" w:type="dxa"/>
            <w:shd w:val="clear" w:color="auto" w:fill="auto"/>
          </w:tcPr>
          <w:p w14:paraId="40255638" w14:textId="77777777" w:rsidR="005D711C" w:rsidRPr="00C14902" w:rsidRDefault="005D711C" w:rsidP="00062B3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14902">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0.75</w:t>
            </w:r>
            <w:r w:rsidRPr="00C14902">
              <w:rPr>
                <w:rFonts w:asciiTheme="minorHAnsi" w:hAnsiTheme="minorHAnsi" w:cstheme="minorHAnsi"/>
              </w:rPr>
              <w:t xml:space="preserve">% to </w:t>
            </w:r>
            <w:r>
              <w:rPr>
                <w:rFonts w:asciiTheme="minorHAnsi" w:hAnsiTheme="minorHAnsi" w:cstheme="minorHAnsi"/>
              </w:rPr>
              <w:t>1.25</w:t>
            </w:r>
            <w:r w:rsidRPr="00C14902">
              <w:rPr>
                <w:rFonts w:asciiTheme="minorHAnsi" w:hAnsiTheme="minorHAnsi" w:cstheme="minorHAnsi"/>
              </w:rPr>
              <w:t>%.</w:t>
            </w:r>
          </w:p>
        </w:tc>
      </w:tr>
    </w:tbl>
    <w:p w14:paraId="32CAB1DB" w14:textId="77777777" w:rsidR="005D711C" w:rsidRPr="00C14902" w:rsidRDefault="005D711C" w:rsidP="005D711C">
      <w:pPr>
        <w:rPr>
          <w:rFonts w:cs="Calibri"/>
          <w:b/>
          <w:sz w:val="28"/>
          <w:szCs w:val="28"/>
        </w:rPr>
      </w:pPr>
    </w:p>
    <w:p w14:paraId="2515F780" w14:textId="77777777" w:rsidR="005D711C" w:rsidRPr="00C14902" w:rsidRDefault="005D711C" w:rsidP="005D711C">
      <w:r w:rsidRPr="00C14902">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C14902">
        <w:t>WebIMIS</w:t>
      </w:r>
      <w:proofErr w:type="spellEnd"/>
      <w:r w:rsidRPr="00C14902">
        <w:t xml:space="preserve"> report run on November 1</w:t>
      </w:r>
      <w:r>
        <w:t>2</w:t>
      </w:r>
      <w:r w:rsidRPr="00C14902">
        <w:t>, 202</w:t>
      </w:r>
      <w:r>
        <w:t>4</w:t>
      </w:r>
      <w:r w:rsidRPr="00C14902">
        <w:t>, as part of OSHA’s official end-of-year data run.</w:t>
      </w:r>
    </w:p>
    <w:bookmarkEnd w:id="33"/>
    <w:p w14:paraId="6573BAF6" w14:textId="15964A41" w:rsidR="00634539" w:rsidRPr="001C1E47" w:rsidRDefault="005D711C" w:rsidP="00634539">
      <w:pPr>
        <w:tabs>
          <w:tab w:val="left" w:pos="3405"/>
        </w:tabs>
        <w:rPr>
          <w:rFonts w:cs="Calibri"/>
        </w:rPr>
      </w:pPr>
      <w:r>
        <w:rPr>
          <w:rFonts w:cs="Calibri"/>
        </w:rPr>
        <w:t xml:space="preserve"> </w:t>
      </w:r>
    </w:p>
    <w:sectPr w:rsidR="00634539" w:rsidRPr="001C1E47" w:rsidSect="005128CD">
      <w:headerReference w:type="even" r:id="rId31"/>
      <w:headerReference w:type="default" r:id="rId32"/>
      <w:footerReference w:type="default" r:id="rId33"/>
      <w:headerReference w:type="first" r:id="rId3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A7A5" w14:textId="77777777" w:rsidR="00B41044" w:rsidRDefault="00B41044" w:rsidP="00C872A0">
      <w:r>
        <w:separator/>
      </w:r>
    </w:p>
  </w:endnote>
  <w:endnote w:type="continuationSeparator" w:id="0">
    <w:p w14:paraId="3177F1F4" w14:textId="77777777" w:rsidR="00B41044" w:rsidRDefault="00B41044" w:rsidP="00C872A0">
      <w:r>
        <w:continuationSeparator/>
      </w:r>
    </w:p>
  </w:endnote>
  <w:endnote w:type="continuationNotice" w:id="1">
    <w:p w14:paraId="046F40CB" w14:textId="77777777" w:rsidR="00B41044" w:rsidRDefault="00B41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476A" w14:textId="77777777" w:rsidR="004058C3" w:rsidRDefault="00405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B199" w14:textId="77777777" w:rsidR="00B41044" w:rsidRDefault="00B41044" w:rsidP="00C872A0">
      <w:r>
        <w:separator/>
      </w:r>
    </w:p>
  </w:footnote>
  <w:footnote w:type="continuationSeparator" w:id="0">
    <w:p w14:paraId="15139BEE" w14:textId="77777777" w:rsidR="00B41044" w:rsidRDefault="00B41044" w:rsidP="00C872A0">
      <w:r>
        <w:continuationSeparator/>
      </w:r>
    </w:p>
  </w:footnote>
  <w:footnote w:type="continuationNotice" w:id="1">
    <w:p w14:paraId="55053D9E" w14:textId="77777777" w:rsidR="00B41044" w:rsidRDefault="00B41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64C0" w14:textId="036B5E4F" w:rsidR="004058C3" w:rsidRDefault="004058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65DE" w14:textId="09BAF3FA" w:rsidR="004058C3" w:rsidRDefault="004058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642E77AA"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5CD8F1A3" w:rsidR="00780E29" w:rsidRPr="006F2309" w:rsidRDefault="00780E29" w:rsidP="006F2309">
    <w:pPr>
      <w:pStyle w:val="Header"/>
    </w:pPr>
    <w:r w:rsidRPr="006F2309">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A0F7" w14:textId="6905C640" w:rsidR="004058C3" w:rsidRDefault="004058C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1D937352" w:rsidR="00780E29" w:rsidRPr="000767C0" w:rsidRDefault="00780E29" w:rsidP="009A2ED6">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0570" w14:textId="65B19749" w:rsidR="004058C3" w:rsidRDefault="00405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C3EF" w14:textId="490DBC50" w:rsidR="004058C3" w:rsidRDefault="00405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012D" w14:textId="35CC8DDE" w:rsidR="004058C3" w:rsidRDefault="004058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DF68" w14:textId="67C71B7E" w:rsidR="004058C3" w:rsidRDefault="004058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C769553" w:rsidR="00780E29" w:rsidRPr="00B6741C" w:rsidRDefault="00780E29" w:rsidP="00B674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2EFE2B12" w:rsidR="00780E29" w:rsidRPr="00B6741C" w:rsidRDefault="00780E29" w:rsidP="00B674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FDEF" w14:textId="08B57183" w:rsidR="004058C3" w:rsidRDefault="004058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E049" w14:textId="33D065AA" w:rsidR="004058C3" w:rsidRDefault="004058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4C4B883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AAE2D0F"/>
    <w:multiLevelType w:val="hybridMultilevel"/>
    <w:tmpl w:val="95AE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 w:numId="13" w16cid:durableId="34636983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36AB"/>
    <w:rsid w:val="00003B8A"/>
    <w:rsid w:val="00004200"/>
    <w:rsid w:val="00007302"/>
    <w:rsid w:val="00007781"/>
    <w:rsid w:val="00011361"/>
    <w:rsid w:val="000116C0"/>
    <w:rsid w:val="00014C7A"/>
    <w:rsid w:val="00015523"/>
    <w:rsid w:val="00016214"/>
    <w:rsid w:val="00016803"/>
    <w:rsid w:val="0001706D"/>
    <w:rsid w:val="00017349"/>
    <w:rsid w:val="00017F25"/>
    <w:rsid w:val="00021274"/>
    <w:rsid w:val="000217D1"/>
    <w:rsid w:val="00021A2A"/>
    <w:rsid w:val="00021FE0"/>
    <w:rsid w:val="00022BEE"/>
    <w:rsid w:val="00023E67"/>
    <w:rsid w:val="000248F0"/>
    <w:rsid w:val="0002572C"/>
    <w:rsid w:val="00025F57"/>
    <w:rsid w:val="0002647E"/>
    <w:rsid w:val="00026B5D"/>
    <w:rsid w:val="00026D63"/>
    <w:rsid w:val="00027093"/>
    <w:rsid w:val="0003044C"/>
    <w:rsid w:val="00030802"/>
    <w:rsid w:val="000334D0"/>
    <w:rsid w:val="0003442F"/>
    <w:rsid w:val="00034A4E"/>
    <w:rsid w:val="00035083"/>
    <w:rsid w:val="0003567C"/>
    <w:rsid w:val="00036865"/>
    <w:rsid w:val="00036BF8"/>
    <w:rsid w:val="00036EB4"/>
    <w:rsid w:val="00036F0D"/>
    <w:rsid w:val="000373A6"/>
    <w:rsid w:val="00037F48"/>
    <w:rsid w:val="000404ED"/>
    <w:rsid w:val="00042327"/>
    <w:rsid w:val="00042A9B"/>
    <w:rsid w:val="00043082"/>
    <w:rsid w:val="00043515"/>
    <w:rsid w:val="00044436"/>
    <w:rsid w:val="000447C9"/>
    <w:rsid w:val="000449F8"/>
    <w:rsid w:val="00045479"/>
    <w:rsid w:val="00045BD6"/>
    <w:rsid w:val="00045C51"/>
    <w:rsid w:val="00046151"/>
    <w:rsid w:val="000468C6"/>
    <w:rsid w:val="00046A18"/>
    <w:rsid w:val="00046BEE"/>
    <w:rsid w:val="00046E13"/>
    <w:rsid w:val="000470EE"/>
    <w:rsid w:val="00047F41"/>
    <w:rsid w:val="0005007B"/>
    <w:rsid w:val="00050FEB"/>
    <w:rsid w:val="000517FA"/>
    <w:rsid w:val="00052839"/>
    <w:rsid w:val="00052B36"/>
    <w:rsid w:val="00053A2C"/>
    <w:rsid w:val="00054416"/>
    <w:rsid w:val="00054900"/>
    <w:rsid w:val="00055243"/>
    <w:rsid w:val="00055B40"/>
    <w:rsid w:val="00055F2C"/>
    <w:rsid w:val="00057784"/>
    <w:rsid w:val="00057840"/>
    <w:rsid w:val="000607B4"/>
    <w:rsid w:val="00060D39"/>
    <w:rsid w:val="00061875"/>
    <w:rsid w:val="000625FB"/>
    <w:rsid w:val="00062B3F"/>
    <w:rsid w:val="0006398D"/>
    <w:rsid w:val="00065AB2"/>
    <w:rsid w:val="0006611A"/>
    <w:rsid w:val="00066A7B"/>
    <w:rsid w:val="00066C52"/>
    <w:rsid w:val="000701E4"/>
    <w:rsid w:val="0007073F"/>
    <w:rsid w:val="00071345"/>
    <w:rsid w:val="0007157F"/>
    <w:rsid w:val="00071E71"/>
    <w:rsid w:val="000724F1"/>
    <w:rsid w:val="0007306B"/>
    <w:rsid w:val="000743D1"/>
    <w:rsid w:val="00074876"/>
    <w:rsid w:val="00074F95"/>
    <w:rsid w:val="0007549A"/>
    <w:rsid w:val="000760CB"/>
    <w:rsid w:val="00076601"/>
    <w:rsid w:val="000767C0"/>
    <w:rsid w:val="000770D3"/>
    <w:rsid w:val="00077410"/>
    <w:rsid w:val="000833E6"/>
    <w:rsid w:val="00083A76"/>
    <w:rsid w:val="0008405F"/>
    <w:rsid w:val="00085230"/>
    <w:rsid w:val="00086F2F"/>
    <w:rsid w:val="0008759E"/>
    <w:rsid w:val="00087EE9"/>
    <w:rsid w:val="00090155"/>
    <w:rsid w:val="000902ED"/>
    <w:rsid w:val="00090C19"/>
    <w:rsid w:val="0009134A"/>
    <w:rsid w:val="00091A89"/>
    <w:rsid w:val="00091ABD"/>
    <w:rsid w:val="00091AE2"/>
    <w:rsid w:val="00091B54"/>
    <w:rsid w:val="000923E0"/>
    <w:rsid w:val="00092555"/>
    <w:rsid w:val="000929B5"/>
    <w:rsid w:val="00092E3F"/>
    <w:rsid w:val="00092F1B"/>
    <w:rsid w:val="00093239"/>
    <w:rsid w:val="0009535D"/>
    <w:rsid w:val="0009583F"/>
    <w:rsid w:val="000958B8"/>
    <w:rsid w:val="000969E2"/>
    <w:rsid w:val="0009788B"/>
    <w:rsid w:val="000A0EBB"/>
    <w:rsid w:val="000A134A"/>
    <w:rsid w:val="000A1ACE"/>
    <w:rsid w:val="000A1CE9"/>
    <w:rsid w:val="000A2DE7"/>
    <w:rsid w:val="000A319F"/>
    <w:rsid w:val="000A3662"/>
    <w:rsid w:val="000A3878"/>
    <w:rsid w:val="000A40EC"/>
    <w:rsid w:val="000A542E"/>
    <w:rsid w:val="000A55DB"/>
    <w:rsid w:val="000A658C"/>
    <w:rsid w:val="000A7279"/>
    <w:rsid w:val="000A7A05"/>
    <w:rsid w:val="000B01FC"/>
    <w:rsid w:val="000B07D7"/>
    <w:rsid w:val="000B1A5B"/>
    <w:rsid w:val="000B1ECC"/>
    <w:rsid w:val="000B22E4"/>
    <w:rsid w:val="000B3A37"/>
    <w:rsid w:val="000B3A7F"/>
    <w:rsid w:val="000B440B"/>
    <w:rsid w:val="000B4852"/>
    <w:rsid w:val="000B5BFE"/>
    <w:rsid w:val="000B6A8A"/>
    <w:rsid w:val="000B77DC"/>
    <w:rsid w:val="000C04C6"/>
    <w:rsid w:val="000C0E15"/>
    <w:rsid w:val="000C0E53"/>
    <w:rsid w:val="000C12C6"/>
    <w:rsid w:val="000C1882"/>
    <w:rsid w:val="000C1ED8"/>
    <w:rsid w:val="000C295F"/>
    <w:rsid w:val="000C2E74"/>
    <w:rsid w:val="000C368E"/>
    <w:rsid w:val="000C38BD"/>
    <w:rsid w:val="000C4141"/>
    <w:rsid w:val="000C43DE"/>
    <w:rsid w:val="000C46E4"/>
    <w:rsid w:val="000C5C82"/>
    <w:rsid w:val="000C6C78"/>
    <w:rsid w:val="000C7A57"/>
    <w:rsid w:val="000C7C9A"/>
    <w:rsid w:val="000D343F"/>
    <w:rsid w:val="000D4560"/>
    <w:rsid w:val="000D4A64"/>
    <w:rsid w:val="000D5443"/>
    <w:rsid w:val="000D750A"/>
    <w:rsid w:val="000D7AAD"/>
    <w:rsid w:val="000E0408"/>
    <w:rsid w:val="000E07E7"/>
    <w:rsid w:val="000E0812"/>
    <w:rsid w:val="000E0DD1"/>
    <w:rsid w:val="000E1AA2"/>
    <w:rsid w:val="000E20A2"/>
    <w:rsid w:val="000E3F3C"/>
    <w:rsid w:val="000E46F3"/>
    <w:rsid w:val="000E5C64"/>
    <w:rsid w:val="000E6466"/>
    <w:rsid w:val="000E6CEA"/>
    <w:rsid w:val="000E7F42"/>
    <w:rsid w:val="000F0B27"/>
    <w:rsid w:val="000F1D68"/>
    <w:rsid w:val="000F1E49"/>
    <w:rsid w:val="000F2345"/>
    <w:rsid w:val="000F46ED"/>
    <w:rsid w:val="000F4DA3"/>
    <w:rsid w:val="000F5631"/>
    <w:rsid w:val="000F5A36"/>
    <w:rsid w:val="000F5DF4"/>
    <w:rsid w:val="000F63C1"/>
    <w:rsid w:val="000F6A5C"/>
    <w:rsid w:val="000F7ECC"/>
    <w:rsid w:val="001027CF"/>
    <w:rsid w:val="001039FA"/>
    <w:rsid w:val="0010468C"/>
    <w:rsid w:val="001056A7"/>
    <w:rsid w:val="001057E3"/>
    <w:rsid w:val="0010647B"/>
    <w:rsid w:val="0011011A"/>
    <w:rsid w:val="00110CB0"/>
    <w:rsid w:val="001113A1"/>
    <w:rsid w:val="00112C81"/>
    <w:rsid w:val="0011326F"/>
    <w:rsid w:val="00114087"/>
    <w:rsid w:val="00114F7D"/>
    <w:rsid w:val="0011522A"/>
    <w:rsid w:val="00115B48"/>
    <w:rsid w:val="00115DF5"/>
    <w:rsid w:val="00116055"/>
    <w:rsid w:val="00116A18"/>
    <w:rsid w:val="001170E4"/>
    <w:rsid w:val="00117115"/>
    <w:rsid w:val="001174A0"/>
    <w:rsid w:val="0011789B"/>
    <w:rsid w:val="001206B1"/>
    <w:rsid w:val="00121097"/>
    <w:rsid w:val="0012164B"/>
    <w:rsid w:val="00121A08"/>
    <w:rsid w:val="00121B46"/>
    <w:rsid w:val="00122228"/>
    <w:rsid w:val="0012279E"/>
    <w:rsid w:val="00122810"/>
    <w:rsid w:val="00122839"/>
    <w:rsid w:val="00122BD3"/>
    <w:rsid w:val="00122CE8"/>
    <w:rsid w:val="00123AC4"/>
    <w:rsid w:val="00125065"/>
    <w:rsid w:val="00125345"/>
    <w:rsid w:val="00125C8A"/>
    <w:rsid w:val="00126880"/>
    <w:rsid w:val="00132862"/>
    <w:rsid w:val="00132F71"/>
    <w:rsid w:val="001330E6"/>
    <w:rsid w:val="001341FE"/>
    <w:rsid w:val="00134F5C"/>
    <w:rsid w:val="00134F5D"/>
    <w:rsid w:val="001358F0"/>
    <w:rsid w:val="00136376"/>
    <w:rsid w:val="00136DA3"/>
    <w:rsid w:val="001376D1"/>
    <w:rsid w:val="00140C21"/>
    <w:rsid w:val="00141758"/>
    <w:rsid w:val="0014199D"/>
    <w:rsid w:val="00142198"/>
    <w:rsid w:val="00142FC3"/>
    <w:rsid w:val="00143A12"/>
    <w:rsid w:val="00143ACD"/>
    <w:rsid w:val="0014420A"/>
    <w:rsid w:val="00144A53"/>
    <w:rsid w:val="00145BC1"/>
    <w:rsid w:val="001469F6"/>
    <w:rsid w:val="001471B8"/>
    <w:rsid w:val="00147B01"/>
    <w:rsid w:val="00147F8B"/>
    <w:rsid w:val="00150F03"/>
    <w:rsid w:val="001515BB"/>
    <w:rsid w:val="00151CFD"/>
    <w:rsid w:val="00152154"/>
    <w:rsid w:val="00152207"/>
    <w:rsid w:val="00153E2A"/>
    <w:rsid w:val="00155591"/>
    <w:rsid w:val="00156CD6"/>
    <w:rsid w:val="00156E0C"/>
    <w:rsid w:val="00157520"/>
    <w:rsid w:val="00160196"/>
    <w:rsid w:val="001601D4"/>
    <w:rsid w:val="00161740"/>
    <w:rsid w:val="0016336D"/>
    <w:rsid w:val="00163E90"/>
    <w:rsid w:val="0016787F"/>
    <w:rsid w:val="00172085"/>
    <w:rsid w:val="00173853"/>
    <w:rsid w:val="0017552C"/>
    <w:rsid w:val="00176DF8"/>
    <w:rsid w:val="00177A1E"/>
    <w:rsid w:val="00177D70"/>
    <w:rsid w:val="0018215D"/>
    <w:rsid w:val="00182B5C"/>
    <w:rsid w:val="00182CE0"/>
    <w:rsid w:val="00182FDA"/>
    <w:rsid w:val="00183CB8"/>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A08EF"/>
    <w:rsid w:val="001A0DC6"/>
    <w:rsid w:val="001A2967"/>
    <w:rsid w:val="001A335E"/>
    <w:rsid w:val="001A3671"/>
    <w:rsid w:val="001A3A99"/>
    <w:rsid w:val="001A68A4"/>
    <w:rsid w:val="001A6B79"/>
    <w:rsid w:val="001A7BB9"/>
    <w:rsid w:val="001A7F60"/>
    <w:rsid w:val="001B0219"/>
    <w:rsid w:val="001B02D7"/>
    <w:rsid w:val="001B0632"/>
    <w:rsid w:val="001B0AF1"/>
    <w:rsid w:val="001B160F"/>
    <w:rsid w:val="001B284A"/>
    <w:rsid w:val="001B346B"/>
    <w:rsid w:val="001B6DA7"/>
    <w:rsid w:val="001B72F5"/>
    <w:rsid w:val="001B77A2"/>
    <w:rsid w:val="001B7EFD"/>
    <w:rsid w:val="001C154D"/>
    <w:rsid w:val="001C19B4"/>
    <w:rsid w:val="001C1E47"/>
    <w:rsid w:val="001C2B11"/>
    <w:rsid w:val="001C3276"/>
    <w:rsid w:val="001C44E8"/>
    <w:rsid w:val="001C560E"/>
    <w:rsid w:val="001C58C2"/>
    <w:rsid w:val="001C620B"/>
    <w:rsid w:val="001C69C3"/>
    <w:rsid w:val="001C72D5"/>
    <w:rsid w:val="001C732F"/>
    <w:rsid w:val="001D1819"/>
    <w:rsid w:val="001D1A16"/>
    <w:rsid w:val="001D5A8F"/>
    <w:rsid w:val="001D648F"/>
    <w:rsid w:val="001D6530"/>
    <w:rsid w:val="001D681F"/>
    <w:rsid w:val="001D6D59"/>
    <w:rsid w:val="001D7428"/>
    <w:rsid w:val="001D7613"/>
    <w:rsid w:val="001D79C2"/>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1F748D"/>
    <w:rsid w:val="00200D27"/>
    <w:rsid w:val="002011AC"/>
    <w:rsid w:val="002012E7"/>
    <w:rsid w:val="00201EB9"/>
    <w:rsid w:val="00202BD7"/>
    <w:rsid w:val="002048CC"/>
    <w:rsid w:val="0020506D"/>
    <w:rsid w:val="00205391"/>
    <w:rsid w:val="00205A99"/>
    <w:rsid w:val="00205B95"/>
    <w:rsid w:val="0020733F"/>
    <w:rsid w:val="00207B94"/>
    <w:rsid w:val="00210157"/>
    <w:rsid w:val="00210E15"/>
    <w:rsid w:val="00211626"/>
    <w:rsid w:val="002116F2"/>
    <w:rsid w:val="0021277A"/>
    <w:rsid w:val="00212BC7"/>
    <w:rsid w:val="0021380C"/>
    <w:rsid w:val="00213FCA"/>
    <w:rsid w:val="00216621"/>
    <w:rsid w:val="00216B0E"/>
    <w:rsid w:val="00217433"/>
    <w:rsid w:val="00217437"/>
    <w:rsid w:val="0022017B"/>
    <w:rsid w:val="0022206F"/>
    <w:rsid w:val="00222350"/>
    <w:rsid w:val="00222765"/>
    <w:rsid w:val="002231D3"/>
    <w:rsid w:val="002235F3"/>
    <w:rsid w:val="002240A6"/>
    <w:rsid w:val="002247E7"/>
    <w:rsid w:val="0022537C"/>
    <w:rsid w:val="002265B5"/>
    <w:rsid w:val="0022685E"/>
    <w:rsid w:val="00227868"/>
    <w:rsid w:val="00230915"/>
    <w:rsid w:val="00230D53"/>
    <w:rsid w:val="0023191B"/>
    <w:rsid w:val="002329C9"/>
    <w:rsid w:val="00233404"/>
    <w:rsid w:val="002337B2"/>
    <w:rsid w:val="00233C64"/>
    <w:rsid w:val="002404BA"/>
    <w:rsid w:val="00241A62"/>
    <w:rsid w:val="002427F7"/>
    <w:rsid w:val="00243015"/>
    <w:rsid w:val="0024338F"/>
    <w:rsid w:val="002438FC"/>
    <w:rsid w:val="002444A4"/>
    <w:rsid w:val="00244E55"/>
    <w:rsid w:val="002467CE"/>
    <w:rsid w:val="002511A8"/>
    <w:rsid w:val="002511E9"/>
    <w:rsid w:val="002512E8"/>
    <w:rsid w:val="00251FA2"/>
    <w:rsid w:val="002523FB"/>
    <w:rsid w:val="002529E8"/>
    <w:rsid w:val="00253249"/>
    <w:rsid w:val="002536CB"/>
    <w:rsid w:val="0025526A"/>
    <w:rsid w:val="00255EA4"/>
    <w:rsid w:val="00260A89"/>
    <w:rsid w:val="00260C9F"/>
    <w:rsid w:val="00261A11"/>
    <w:rsid w:val="00262A51"/>
    <w:rsid w:val="00262DDC"/>
    <w:rsid w:val="0026385B"/>
    <w:rsid w:val="002648FC"/>
    <w:rsid w:val="00265778"/>
    <w:rsid w:val="002658D0"/>
    <w:rsid w:val="0026620F"/>
    <w:rsid w:val="00267251"/>
    <w:rsid w:val="002679E5"/>
    <w:rsid w:val="00270695"/>
    <w:rsid w:val="002707B8"/>
    <w:rsid w:val="0027084D"/>
    <w:rsid w:val="002725BC"/>
    <w:rsid w:val="002731DE"/>
    <w:rsid w:val="002735F9"/>
    <w:rsid w:val="00273CD1"/>
    <w:rsid w:val="00274463"/>
    <w:rsid w:val="0027502F"/>
    <w:rsid w:val="0027713A"/>
    <w:rsid w:val="00277C24"/>
    <w:rsid w:val="0028166F"/>
    <w:rsid w:val="00281733"/>
    <w:rsid w:val="0028174D"/>
    <w:rsid w:val="00281A30"/>
    <w:rsid w:val="002823D9"/>
    <w:rsid w:val="00282DFE"/>
    <w:rsid w:val="002831C6"/>
    <w:rsid w:val="00283FF9"/>
    <w:rsid w:val="00287239"/>
    <w:rsid w:val="00290893"/>
    <w:rsid w:val="00290B29"/>
    <w:rsid w:val="00292313"/>
    <w:rsid w:val="00294168"/>
    <w:rsid w:val="00294245"/>
    <w:rsid w:val="002943F1"/>
    <w:rsid w:val="002948AE"/>
    <w:rsid w:val="00294FD0"/>
    <w:rsid w:val="002954DC"/>
    <w:rsid w:val="0029647F"/>
    <w:rsid w:val="002966F6"/>
    <w:rsid w:val="00296B1E"/>
    <w:rsid w:val="00297ABC"/>
    <w:rsid w:val="00297BCD"/>
    <w:rsid w:val="002A16D8"/>
    <w:rsid w:val="002A2421"/>
    <w:rsid w:val="002A39F7"/>
    <w:rsid w:val="002A40A1"/>
    <w:rsid w:val="002A4594"/>
    <w:rsid w:val="002A4934"/>
    <w:rsid w:val="002A50A7"/>
    <w:rsid w:val="002A603B"/>
    <w:rsid w:val="002A65C4"/>
    <w:rsid w:val="002A6CAA"/>
    <w:rsid w:val="002A6EA8"/>
    <w:rsid w:val="002A7682"/>
    <w:rsid w:val="002B020A"/>
    <w:rsid w:val="002B228C"/>
    <w:rsid w:val="002B334F"/>
    <w:rsid w:val="002B3E37"/>
    <w:rsid w:val="002B4100"/>
    <w:rsid w:val="002B4250"/>
    <w:rsid w:val="002B429D"/>
    <w:rsid w:val="002B43F3"/>
    <w:rsid w:val="002B4830"/>
    <w:rsid w:val="002B4F49"/>
    <w:rsid w:val="002B63FA"/>
    <w:rsid w:val="002B7D36"/>
    <w:rsid w:val="002C0DBB"/>
    <w:rsid w:val="002C1E78"/>
    <w:rsid w:val="002C21A1"/>
    <w:rsid w:val="002C4125"/>
    <w:rsid w:val="002C4E8C"/>
    <w:rsid w:val="002C5677"/>
    <w:rsid w:val="002C5F84"/>
    <w:rsid w:val="002C65D1"/>
    <w:rsid w:val="002D0261"/>
    <w:rsid w:val="002D1D1E"/>
    <w:rsid w:val="002D2DE3"/>
    <w:rsid w:val="002D3979"/>
    <w:rsid w:val="002D473A"/>
    <w:rsid w:val="002D4F37"/>
    <w:rsid w:val="002D54B7"/>
    <w:rsid w:val="002D61CE"/>
    <w:rsid w:val="002D65D1"/>
    <w:rsid w:val="002D6BBE"/>
    <w:rsid w:val="002D6E03"/>
    <w:rsid w:val="002E030B"/>
    <w:rsid w:val="002E127D"/>
    <w:rsid w:val="002E211F"/>
    <w:rsid w:val="002E397D"/>
    <w:rsid w:val="002E43B7"/>
    <w:rsid w:val="002E4405"/>
    <w:rsid w:val="002E4DC7"/>
    <w:rsid w:val="002E4FDC"/>
    <w:rsid w:val="002E50F9"/>
    <w:rsid w:val="002E516E"/>
    <w:rsid w:val="002E5F0C"/>
    <w:rsid w:val="002E6386"/>
    <w:rsid w:val="002E6E73"/>
    <w:rsid w:val="002E799C"/>
    <w:rsid w:val="002F140C"/>
    <w:rsid w:val="002F313C"/>
    <w:rsid w:val="002F4FA0"/>
    <w:rsid w:val="002F5F07"/>
    <w:rsid w:val="002F62FD"/>
    <w:rsid w:val="002F6C6A"/>
    <w:rsid w:val="002F78C9"/>
    <w:rsid w:val="002F7F47"/>
    <w:rsid w:val="0030105C"/>
    <w:rsid w:val="00304846"/>
    <w:rsid w:val="00304930"/>
    <w:rsid w:val="0030523E"/>
    <w:rsid w:val="00306137"/>
    <w:rsid w:val="00306811"/>
    <w:rsid w:val="00312D97"/>
    <w:rsid w:val="00312FDE"/>
    <w:rsid w:val="0031493F"/>
    <w:rsid w:val="00315E58"/>
    <w:rsid w:val="00320A32"/>
    <w:rsid w:val="00320E48"/>
    <w:rsid w:val="00321562"/>
    <w:rsid w:val="00322518"/>
    <w:rsid w:val="00322C51"/>
    <w:rsid w:val="00323405"/>
    <w:rsid w:val="003235C8"/>
    <w:rsid w:val="003249AC"/>
    <w:rsid w:val="0032597C"/>
    <w:rsid w:val="00327926"/>
    <w:rsid w:val="00327E12"/>
    <w:rsid w:val="003306BF"/>
    <w:rsid w:val="00331F49"/>
    <w:rsid w:val="003323AC"/>
    <w:rsid w:val="00334155"/>
    <w:rsid w:val="00334FF5"/>
    <w:rsid w:val="0033567A"/>
    <w:rsid w:val="00336613"/>
    <w:rsid w:val="00336FF6"/>
    <w:rsid w:val="0033715B"/>
    <w:rsid w:val="003400CE"/>
    <w:rsid w:val="00340ED2"/>
    <w:rsid w:val="00341712"/>
    <w:rsid w:val="00341DD1"/>
    <w:rsid w:val="00342223"/>
    <w:rsid w:val="00342B1B"/>
    <w:rsid w:val="00343604"/>
    <w:rsid w:val="003440B7"/>
    <w:rsid w:val="00344186"/>
    <w:rsid w:val="00344D3F"/>
    <w:rsid w:val="0034504D"/>
    <w:rsid w:val="00345174"/>
    <w:rsid w:val="0034562A"/>
    <w:rsid w:val="00346DD1"/>
    <w:rsid w:val="003478A8"/>
    <w:rsid w:val="00351ABE"/>
    <w:rsid w:val="00351DAD"/>
    <w:rsid w:val="0035483B"/>
    <w:rsid w:val="0035620E"/>
    <w:rsid w:val="00356F68"/>
    <w:rsid w:val="0035765D"/>
    <w:rsid w:val="00357DC9"/>
    <w:rsid w:val="00360CDE"/>
    <w:rsid w:val="0036239B"/>
    <w:rsid w:val="003625AF"/>
    <w:rsid w:val="00363176"/>
    <w:rsid w:val="00363AF6"/>
    <w:rsid w:val="0036420B"/>
    <w:rsid w:val="003656E1"/>
    <w:rsid w:val="00365C96"/>
    <w:rsid w:val="00366FCA"/>
    <w:rsid w:val="003675BA"/>
    <w:rsid w:val="00371330"/>
    <w:rsid w:val="00373067"/>
    <w:rsid w:val="003733F0"/>
    <w:rsid w:val="00373624"/>
    <w:rsid w:val="00374643"/>
    <w:rsid w:val="00374E61"/>
    <w:rsid w:val="0037554E"/>
    <w:rsid w:val="003759CE"/>
    <w:rsid w:val="00375AFE"/>
    <w:rsid w:val="00376539"/>
    <w:rsid w:val="00380246"/>
    <w:rsid w:val="0038038C"/>
    <w:rsid w:val="00380AF5"/>
    <w:rsid w:val="00380DBE"/>
    <w:rsid w:val="00380FDA"/>
    <w:rsid w:val="003810F0"/>
    <w:rsid w:val="003822A8"/>
    <w:rsid w:val="00382632"/>
    <w:rsid w:val="00383151"/>
    <w:rsid w:val="00383223"/>
    <w:rsid w:val="00384D3F"/>
    <w:rsid w:val="003861AB"/>
    <w:rsid w:val="0038622A"/>
    <w:rsid w:val="00386A92"/>
    <w:rsid w:val="00386C85"/>
    <w:rsid w:val="0038726D"/>
    <w:rsid w:val="00387B03"/>
    <w:rsid w:val="00387C8A"/>
    <w:rsid w:val="0039036E"/>
    <w:rsid w:val="00391D6F"/>
    <w:rsid w:val="00392C0A"/>
    <w:rsid w:val="0039497C"/>
    <w:rsid w:val="00395A18"/>
    <w:rsid w:val="0039632A"/>
    <w:rsid w:val="00396CBF"/>
    <w:rsid w:val="00396CFB"/>
    <w:rsid w:val="003A15AE"/>
    <w:rsid w:val="003A1E5E"/>
    <w:rsid w:val="003A1F58"/>
    <w:rsid w:val="003A20DA"/>
    <w:rsid w:val="003A2119"/>
    <w:rsid w:val="003A2E10"/>
    <w:rsid w:val="003A4264"/>
    <w:rsid w:val="003A4331"/>
    <w:rsid w:val="003A4F3E"/>
    <w:rsid w:val="003A53CD"/>
    <w:rsid w:val="003A6DB0"/>
    <w:rsid w:val="003A7141"/>
    <w:rsid w:val="003A79DB"/>
    <w:rsid w:val="003B022E"/>
    <w:rsid w:val="003B1D0A"/>
    <w:rsid w:val="003B2977"/>
    <w:rsid w:val="003B3314"/>
    <w:rsid w:val="003B3D85"/>
    <w:rsid w:val="003B3DD0"/>
    <w:rsid w:val="003B4995"/>
    <w:rsid w:val="003B572B"/>
    <w:rsid w:val="003B5B99"/>
    <w:rsid w:val="003B7931"/>
    <w:rsid w:val="003C02CA"/>
    <w:rsid w:val="003C2392"/>
    <w:rsid w:val="003C24E4"/>
    <w:rsid w:val="003C25AC"/>
    <w:rsid w:val="003C29A4"/>
    <w:rsid w:val="003C4095"/>
    <w:rsid w:val="003C45C1"/>
    <w:rsid w:val="003C553A"/>
    <w:rsid w:val="003C5C8B"/>
    <w:rsid w:val="003C664A"/>
    <w:rsid w:val="003C6F2C"/>
    <w:rsid w:val="003C70C3"/>
    <w:rsid w:val="003D0C21"/>
    <w:rsid w:val="003D1B14"/>
    <w:rsid w:val="003D229C"/>
    <w:rsid w:val="003D248B"/>
    <w:rsid w:val="003D2F9B"/>
    <w:rsid w:val="003D4ED4"/>
    <w:rsid w:val="003D53B8"/>
    <w:rsid w:val="003D5D7B"/>
    <w:rsid w:val="003D6D33"/>
    <w:rsid w:val="003D750D"/>
    <w:rsid w:val="003E01A1"/>
    <w:rsid w:val="003E06A8"/>
    <w:rsid w:val="003E1251"/>
    <w:rsid w:val="003E2170"/>
    <w:rsid w:val="003E375A"/>
    <w:rsid w:val="003E37AD"/>
    <w:rsid w:val="003E4294"/>
    <w:rsid w:val="003E4B5E"/>
    <w:rsid w:val="003E6165"/>
    <w:rsid w:val="003E6A8F"/>
    <w:rsid w:val="003E6E8B"/>
    <w:rsid w:val="003E7A6E"/>
    <w:rsid w:val="003E7AEA"/>
    <w:rsid w:val="003F0994"/>
    <w:rsid w:val="003F0FB1"/>
    <w:rsid w:val="003F2C9D"/>
    <w:rsid w:val="003F2E2D"/>
    <w:rsid w:val="003F4511"/>
    <w:rsid w:val="003F46FA"/>
    <w:rsid w:val="003F479F"/>
    <w:rsid w:val="003F48C9"/>
    <w:rsid w:val="003F511A"/>
    <w:rsid w:val="003F5FF1"/>
    <w:rsid w:val="003F67EF"/>
    <w:rsid w:val="003F6C61"/>
    <w:rsid w:val="003F75FD"/>
    <w:rsid w:val="003F7844"/>
    <w:rsid w:val="003F78C1"/>
    <w:rsid w:val="003F7A1E"/>
    <w:rsid w:val="004007AC"/>
    <w:rsid w:val="00401AD3"/>
    <w:rsid w:val="00401DF0"/>
    <w:rsid w:val="0040227E"/>
    <w:rsid w:val="00403973"/>
    <w:rsid w:val="00403ADC"/>
    <w:rsid w:val="00403D07"/>
    <w:rsid w:val="0040424A"/>
    <w:rsid w:val="004058C3"/>
    <w:rsid w:val="004103CD"/>
    <w:rsid w:val="00410A18"/>
    <w:rsid w:val="00410CBE"/>
    <w:rsid w:val="004119E8"/>
    <w:rsid w:val="00411E44"/>
    <w:rsid w:val="00411E77"/>
    <w:rsid w:val="004134D7"/>
    <w:rsid w:val="004138A5"/>
    <w:rsid w:val="00414885"/>
    <w:rsid w:val="004148C0"/>
    <w:rsid w:val="00414978"/>
    <w:rsid w:val="00414F98"/>
    <w:rsid w:val="0041560D"/>
    <w:rsid w:val="00416112"/>
    <w:rsid w:val="00422070"/>
    <w:rsid w:val="00422E25"/>
    <w:rsid w:val="00423696"/>
    <w:rsid w:val="0042395F"/>
    <w:rsid w:val="00423F40"/>
    <w:rsid w:val="0042568D"/>
    <w:rsid w:val="00425EE1"/>
    <w:rsid w:val="004261DC"/>
    <w:rsid w:val="00426918"/>
    <w:rsid w:val="0042694A"/>
    <w:rsid w:val="00430741"/>
    <w:rsid w:val="00431108"/>
    <w:rsid w:val="00431115"/>
    <w:rsid w:val="00431F6C"/>
    <w:rsid w:val="00432219"/>
    <w:rsid w:val="00435253"/>
    <w:rsid w:val="004359BB"/>
    <w:rsid w:val="004360F7"/>
    <w:rsid w:val="004404F0"/>
    <w:rsid w:val="00440DF1"/>
    <w:rsid w:val="004419F6"/>
    <w:rsid w:val="0044270B"/>
    <w:rsid w:val="00443054"/>
    <w:rsid w:val="00443D46"/>
    <w:rsid w:val="004458C9"/>
    <w:rsid w:val="00446455"/>
    <w:rsid w:val="0044715C"/>
    <w:rsid w:val="0045049B"/>
    <w:rsid w:val="00451884"/>
    <w:rsid w:val="00451D3D"/>
    <w:rsid w:val="00451DA6"/>
    <w:rsid w:val="00453796"/>
    <w:rsid w:val="00454277"/>
    <w:rsid w:val="00454E29"/>
    <w:rsid w:val="00454FE1"/>
    <w:rsid w:val="00455A95"/>
    <w:rsid w:val="00456A58"/>
    <w:rsid w:val="00456AB3"/>
    <w:rsid w:val="00456C45"/>
    <w:rsid w:val="00457149"/>
    <w:rsid w:val="0045783F"/>
    <w:rsid w:val="0046047E"/>
    <w:rsid w:val="00464149"/>
    <w:rsid w:val="00464590"/>
    <w:rsid w:val="00464C75"/>
    <w:rsid w:val="004658D1"/>
    <w:rsid w:val="00466B8D"/>
    <w:rsid w:val="00470794"/>
    <w:rsid w:val="00471DCC"/>
    <w:rsid w:val="0047282E"/>
    <w:rsid w:val="004729E0"/>
    <w:rsid w:val="00473850"/>
    <w:rsid w:val="00473A4D"/>
    <w:rsid w:val="00473DD7"/>
    <w:rsid w:val="00473E98"/>
    <w:rsid w:val="004740E8"/>
    <w:rsid w:val="00474125"/>
    <w:rsid w:val="004745DA"/>
    <w:rsid w:val="00474896"/>
    <w:rsid w:val="00475E79"/>
    <w:rsid w:val="00476C08"/>
    <w:rsid w:val="0047789A"/>
    <w:rsid w:val="00480BEA"/>
    <w:rsid w:val="004811CE"/>
    <w:rsid w:val="00483334"/>
    <w:rsid w:val="004834B7"/>
    <w:rsid w:val="00483779"/>
    <w:rsid w:val="0048380E"/>
    <w:rsid w:val="00486665"/>
    <w:rsid w:val="0048668C"/>
    <w:rsid w:val="00486971"/>
    <w:rsid w:val="00486A68"/>
    <w:rsid w:val="00486BE3"/>
    <w:rsid w:val="0048719F"/>
    <w:rsid w:val="0048798C"/>
    <w:rsid w:val="00487D91"/>
    <w:rsid w:val="00490395"/>
    <w:rsid w:val="0049137F"/>
    <w:rsid w:val="00491ECF"/>
    <w:rsid w:val="00492379"/>
    <w:rsid w:val="004923EB"/>
    <w:rsid w:val="0049240B"/>
    <w:rsid w:val="00492A5A"/>
    <w:rsid w:val="0049342D"/>
    <w:rsid w:val="00494029"/>
    <w:rsid w:val="0049420B"/>
    <w:rsid w:val="004946DB"/>
    <w:rsid w:val="0049474F"/>
    <w:rsid w:val="004954D4"/>
    <w:rsid w:val="00496760"/>
    <w:rsid w:val="00497316"/>
    <w:rsid w:val="00497C0D"/>
    <w:rsid w:val="00497CF7"/>
    <w:rsid w:val="004A05B6"/>
    <w:rsid w:val="004A17E0"/>
    <w:rsid w:val="004A57F6"/>
    <w:rsid w:val="004A5A2F"/>
    <w:rsid w:val="004A613F"/>
    <w:rsid w:val="004B0D97"/>
    <w:rsid w:val="004B106A"/>
    <w:rsid w:val="004B31ED"/>
    <w:rsid w:val="004B394F"/>
    <w:rsid w:val="004B3D81"/>
    <w:rsid w:val="004B7A44"/>
    <w:rsid w:val="004C1432"/>
    <w:rsid w:val="004C1730"/>
    <w:rsid w:val="004C3ECD"/>
    <w:rsid w:val="004C4576"/>
    <w:rsid w:val="004C5039"/>
    <w:rsid w:val="004C5E86"/>
    <w:rsid w:val="004C63DD"/>
    <w:rsid w:val="004C641B"/>
    <w:rsid w:val="004C7081"/>
    <w:rsid w:val="004C7142"/>
    <w:rsid w:val="004C7EFC"/>
    <w:rsid w:val="004D0505"/>
    <w:rsid w:val="004D05C8"/>
    <w:rsid w:val="004D0B18"/>
    <w:rsid w:val="004D0DD0"/>
    <w:rsid w:val="004D0F7D"/>
    <w:rsid w:val="004D194A"/>
    <w:rsid w:val="004D2808"/>
    <w:rsid w:val="004D47A3"/>
    <w:rsid w:val="004D4A2C"/>
    <w:rsid w:val="004D7611"/>
    <w:rsid w:val="004E11D8"/>
    <w:rsid w:val="004E22AA"/>
    <w:rsid w:val="004E3225"/>
    <w:rsid w:val="004E3E17"/>
    <w:rsid w:val="004E40FD"/>
    <w:rsid w:val="004E4C79"/>
    <w:rsid w:val="004E505A"/>
    <w:rsid w:val="004E58BC"/>
    <w:rsid w:val="004E6043"/>
    <w:rsid w:val="004E6662"/>
    <w:rsid w:val="004E72DE"/>
    <w:rsid w:val="004E7417"/>
    <w:rsid w:val="004E7689"/>
    <w:rsid w:val="004F0DEB"/>
    <w:rsid w:val="004F4901"/>
    <w:rsid w:val="004F4B9A"/>
    <w:rsid w:val="004F4D6A"/>
    <w:rsid w:val="004F5900"/>
    <w:rsid w:val="004F5FF4"/>
    <w:rsid w:val="004F706D"/>
    <w:rsid w:val="004F7483"/>
    <w:rsid w:val="004F7758"/>
    <w:rsid w:val="0050077F"/>
    <w:rsid w:val="005007B2"/>
    <w:rsid w:val="00500DEF"/>
    <w:rsid w:val="00501CB0"/>
    <w:rsid w:val="00502D50"/>
    <w:rsid w:val="00505391"/>
    <w:rsid w:val="00510256"/>
    <w:rsid w:val="0051107A"/>
    <w:rsid w:val="00511BBB"/>
    <w:rsid w:val="00512339"/>
    <w:rsid w:val="005128CD"/>
    <w:rsid w:val="005129C3"/>
    <w:rsid w:val="005133E4"/>
    <w:rsid w:val="00513906"/>
    <w:rsid w:val="00513BF3"/>
    <w:rsid w:val="0051489E"/>
    <w:rsid w:val="00514AFF"/>
    <w:rsid w:val="00516007"/>
    <w:rsid w:val="005163F8"/>
    <w:rsid w:val="00516517"/>
    <w:rsid w:val="005166B3"/>
    <w:rsid w:val="005175EF"/>
    <w:rsid w:val="005179A1"/>
    <w:rsid w:val="00521191"/>
    <w:rsid w:val="005218C3"/>
    <w:rsid w:val="00521951"/>
    <w:rsid w:val="00522159"/>
    <w:rsid w:val="0052483D"/>
    <w:rsid w:val="00525623"/>
    <w:rsid w:val="00525CA8"/>
    <w:rsid w:val="0052604A"/>
    <w:rsid w:val="00531978"/>
    <w:rsid w:val="00533EA8"/>
    <w:rsid w:val="005353EA"/>
    <w:rsid w:val="005367D5"/>
    <w:rsid w:val="00536FF5"/>
    <w:rsid w:val="00537DA3"/>
    <w:rsid w:val="00537E35"/>
    <w:rsid w:val="00540A1E"/>
    <w:rsid w:val="00540D4C"/>
    <w:rsid w:val="00541BE6"/>
    <w:rsid w:val="00542FFC"/>
    <w:rsid w:val="00543D20"/>
    <w:rsid w:val="00543F37"/>
    <w:rsid w:val="00545AD4"/>
    <w:rsid w:val="005461C0"/>
    <w:rsid w:val="00546897"/>
    <w:rsid w:val="00547B1C"/>
    <w:rsid w:val="005504BC"/>
    <w:rsid w:val="005506D9"/>
    <w:rsid w:val="00551718"/>
    <w:rsid w:val="00551791"/>
    <w:rsid w:val="00552EB3"/>
    <w:rsid w:val="00553AA5"/>
    <w:rsid w:val="00554025"/>
    <w:rsid w:val="005543E0"/>
    <w:rsid w:val="00554807"/>
    <w:rsid w:val="00555259"/>
    <w:rsid w:val="0055550F"/>
    <w:rsid w:val="005556B2"/>
    <w:rsid w:val="00555D96"/>
    <w:rsid w:val="00561459"/>
    <w:rsid w:val="00561B12"/>
    <w:rsid w:val="0056204C"/>
    <w:rsid w:val="00562433"/>
    <w:rsid w:val="00562F0E"/>
    <w:rsid w:val="00563AC2"/>
    <w:rsid w:val="005647C8"/>
    <w:rsid w:val="00565D72"/>
    <w:rsid w:val="00565F80"/>
    <w:rsid w:val="005660FD"/>
    <w:rsid w:val="005672B5"/>
    <w:rsid w:val="005700FC"/>
    <w:rsid w:val="00571660"/>
    <w:rsid w:val="00572062"/>
    <w:rsid w:val="0057283B"/>
    <w:rsid w:val="00573241"/>
    <w:rsid w:val="00575B51"/>
    <w:rsid w:val="00576178"/>
    <w:rsid w:val="0057789C"/>
    <w:rsid w:val="005800F9"/>
    <w:rsid w:val="005819C5"/>
    <w:rsid w:val="005824E9"/>
    <w:rsid w:val="005837BD"/>
    <w:rsid w:val="0058464C"/>
    <w:rsid w:val="00584756"/>
    <w:rsid w:val="005860FD"/>
    <w:rsid w:val="00586301"/>
    <w:rsid w:val="00586F01"/>
    <w:rsid w:val="00587EE4"/>
    <w:rsid w:val="00590091"/>
    <w:rsid w:val="0059044C"/>
    <w:rsid w:val="0059072C"/>
    <w:rsid w:val="005915D6"/>
    <w:rsid w:val="00591A40"/>
    <w:rsid w:val="00591F96"/>
    <w:rsid w:val="00594F37"/>
    <w:rsid w:val="00597441"/>
    <w:rsid w:val="005A0888"/>
    <w:rsid w:val="005A1AFE"/>
    <w:rsid w:val="005A2F63"/>
    <w:rsid w:val="005A2F6F"/>
    <w:rsid w:val="005A573D"/>
    <w:rsid w:val="005A59F4"/>
    <w:rsid w:val="005A5B9A"/>
    <w:rsid w:val="005A5C27"/>
    <w:rsid w:val="005A5EEE"/>
    <w:rsid w:val="005A6B9B"/>
    <w:rsid w:val="005A7708"/>
    <w:rsid w:val="005B0F17"/>
    <w:rsid w:val="005B153B"/>
    <w:rsid w:val="005B2417"/>
    <w:rsid w:val="005B368D"/>
    <w:rsid w:val="005B3E85"/>
    <w:rsid w:val="005B50B8"/>
    <w:rsid w:val="005B5B2D"/>
    <w:rsid w:val="005B5BFC"/>
    <w:rsid w:val="005B6E47"/>
    <w:rsid w:val="005B6F38"/>
    <w:rsid w:val="005B7C09"/>
    <w:rsid w:val="005C138B"/>
    <w:rsid w:val="005C13E9"/>
    <w:rsid w:val="005C1BFC"/>
    <w:rsid w:val="005C3692"/>
    <w:rsid w:val="005C3F96"/>
    <w:rsid w:val="005C403D"/>
    <w:rsid w:val="005C489D"/>
    <w:rsid w:val="005C59CE"/>
    <w:rsid w:val="005C5F99"/>
    <w:rsid w:val="005C6529"/>
    <w:rsid w:val="005D027D"/>
    <w:rsid w:val="005D0FFC"/>
    <w:rsid w:val="005D1B1B"/>
    <w:rsid w:val="005D1F76"/>
    <w:rsid w:val="005D1FFE"/>
    <w:rsid w:val="005D25EC"/>
    <w:rsid w:val="005D2ABC"/>
    <w:rsid w:val="005D2D13"/>
    <w:rsid w:val="005D357B"/>
    <w:rsid w:val="005D4027"/>
    <w:rsid w:val="005D5383"/>
    <w:rsid w:val="005D54CA"/>
    <w:rsid w:val="005D5717"/>
    <w:rsid w:val="005D5CD7"/>
    <w:rsid w:val="005D6827"/>
    <w:rsid w:val="005D711C"/>
    <w:rsid w:val="005D7D4E"/>
    <w:rsid w:val="005D7E56"/>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2775"/>
    <w:rsid w:val="005F4085"/>
    <w:rsid w:val="005F460A"/>
    <w:rsid w:val="005F70AA"/>
    <w:rsid w:val="005F77E4"/>
    <w:rsid w:val="005F7DB7"/>
    <w:rsid w:val="00600B02"/>
    <w:rsid w:val="00600D22"/>
    <w:rsid w:val="0060129A"/>
    <w:rsid w:val="00601444"/>
    <w:rsid w:val="00601C38"/>
    <w:rsid w:val="006025A4"/>
    <w:rsid w:val="00602EF3"/>
    <w:rsid w:val="006036FD"/>
    <w:rsid w:val="006049B0"/>
    <w:rsid w:val="00605347"/>
    <w:rsid w:val="00606C0B"/>
    <w:rsid w:val="0060726C"/>
    <w:rsid w:val="006109F6"/>
    <w:rsid w:val="0061177B"/>
    <w:rsid w:val="006124DB"/>
    <w:rsid w:val="0061276B"/>
    <w:rsid w:val="0061362E"/>
    <w:rsid w:val="00614BEE"/>
    <w:rsid w:val="00615341"/>
    <w:rsid w:val="006160BF"/>
    <w:rsid w:val="0061616D"/>
    <w:rsid w:val="006163AE"/>
    <w:rsid w:val="00616ADA"/>
    <w:rsid w:val="00616C4D"/>
    <w:rsid w:val="006175A7"/>
    <w:rsid w:val="0062033E"/>
    <w:rsid w:val="006220FA"/>
    <w:rsid w:val="006239C7"/>
    <w:rsid w:val="00623BE6"/>
    <w:rsid w:val="0062454B"/>
    <w:rsid w:val="006252C6"/>
    <w:rsid w:val="0062576C"/>
    <w:rsid w:val="00626033"/>
    <w:rsid w:val="00627359"/>
    <w:rsid w:val="00627A4E"/>
    <w:rsid w:val="00630505"/>
    <w:rsid w:val="00630922"/>
    <w:rsid w:val="00630E11"/>
    <w:rsid w:val="00631143"/>
    <w:rsid w:val="00631459"/>
    <w:rsid w:val="00631C17"/>
    <w:rsid w:val="00631D42"/>
    <w:rsid w:val="0063248E"/>
    <w:rsid w:val="006324CB"/>
    <w:rsid w:val="00632CF0"/>
    <w:rsid w:val="00632E7D"/>
    <w:rsid w:val="006331B0"/>
    <w:rsid w:val="0063415D"/>
    <w:rsid w:val="00634539"/>
    <w:rsid w:val="006345B2"/>
    <w:rsid w:val="00635F2E"/>
    <w:rsid w:val="006360DB"/>
    <w:rsid w:val="00636B85"/>
    <w:rsid w:val="006375CA"/>
    <w:rsid w:val="00637C8E"/>
    <w:rsid w:val="00643DC9"/>
    <w:rsid w:val="006449A7"/>
    <w:rsid w:val="006460B8"/>
    <w:rsid w:val="0064646B"/>
    <w:rsid w:val="006479EF"/>
    <w:rsid w:val="006514A3"/>
    <w:rsid w:val="0065187B"/>
    <w:rsid w:val="00651B33"/>
    <w:rsid w:val="006529AA"/>
    <w:rsid w:val="00654707"/>
    <w:rsid w:val="0065591D"/>
    <w:rsid w:val="0066010E"/>
    <w:rsid w:val="00660D00"/>
    <w:rsid w:val="00661FA9"/>
    <w:rsid w:val="00664D23"/>
    <w:rsid w:val="0066658E"/>
    <w:rsid w:val="006668D8"/>
    <w:rsid w:val="00666D5A"/>
    <w:rsid w:val="00667252"/>
    <w:rsid w:val="006672E3"/>
    <w:rsid w:val="00667656"/>
    <w:rsid w:val="00670051"/>
    <w:rsid w:val="00670523"/>
    <w:rsid w:val="00670587"/>
    <w:rsid w:val="00671162"/>
    <w:rsid w:val="00672D7A"/>
    <w:rsid w:val="00672E10"/>
    <w:rsid w:val="0067419C"/>
    <w:rsid w:val="0067538E"/>
    <w:rsid w:val="00675794"/>
    <w:rsid w:val="006765F9"/>
    <w:rsid w:val="00677C35"/>
    <w:rsid w:val="00680333"/>
    <w:rsid w:val="00680E08"/>
    <w:rsid w:val="00680EEC"/>
    <w:rsid w:val="00681DA9"/>
    <w:rsid w:val="00683A18"/>
    <w:rsid w:val="00683C7D"/>
    <w:rsid w:val="006856D8"/>
    <w:rsid w:val="00686D1E"/>
    <w:rsid w:val="00686E4E"/>
    <w:rsid w:val="00687F36"/>
    <w:rsid w:val="0069005A"/>
    <w:rsid w:val="00690C0D"/>
    <w:rsid w:val="006915C5"/>
    <w:rsid w:val="006915FD"/>
    <w:rsid w:val="00692151"/>
    <w:rsid w:val="00692678"/>
    <w:rsid w:val="00692B5D"/>
    <w:rsid w:val="00692D47"/>
    <w:rsid w:val="00693E90"/>
    <w:rsid w:val="00694365"/>
    <w:rsid w:val="0069437A"/>
    <w:rsid w:val="00695011"/>
    <w:rsid w:val="00695167"/>
    <w:rsid w:val="00695721"/>
    <w:rsid w:val="00696E76"/>
    <w:rsid w:val="00697198"/>
    <w:rsid w:val="00697AE2"/>
    <w:rsid w:val="006A01D7"/>
    <w:rsid w:val="006A135D"/>
    <w:rsid w:val="006A20FC"/>
    <w:rsid w:val="006A22C4"/>
    <w:rsid w:val="006A424B"/>
    <w:rsid w:val="006A6EF2"/>
    <w:rsid w:val="006A7B6C"/>
    <w:rsid w:val="006B16CD"/>
    <w:rsid w:val="006B22CB"/>
    <w:rsid w:val="006B2C36"/>
    <w:rsid w:val="006B4C20"/>
    <w:rsid w:val="006B4D05"/>
    <w:rsid w:val="006B5FC7"/>
    <w:rsid w:val="006B664F"/>
    <w:rsid w:val="006B72DC"/>
    <w:rsid w:val="006B7D49"/>
    <w:rsid w:val="006C0489"/>
    <w:rsid w:val="006C0DF1"/>
    <w:rsid w:val="006C19FF"/>
    <w:rsid w:val="006C3591"/>
    <w:rsid w:val="006C4152"/>
    <w:rsid w:val="006C4B0D"/>
    <w:rsid w:val="006C5C95"/>
    <w:rsid w:val="006C63B4"/>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0D05"/>
    <w:rsid w:val="006E11C5"/>
    <w:rsid w:val="006E175D"/>
    <w:rsid w:val="006E2139"/>
    <w:rsid w:val="006E2E96"/>
    <w:rsid w:val="006E31DC"/>
    <w:rsid w:val="006E3730"/>
    <w:rsid w:val="006E4150"/>
    <w:rsid w:val="006E4ADC"/>
    <w:rsid w:val="006E5B1C"/>
    <w:rsid w:val="006E6CC3"/>
    <w:rsid w:val="006F01DD"/>
    <w:rsid w:val="006F0595"/>
    <w:rsid w:val="006F10FB"/>
    <w:rsid w:val="006F1799"/>
    <w:rsid w:val="006F1912"/>
    <w:rsid w:val="006F22ED"/>
    <w:rsid w:val="006F2309"/>
    <w:rsid w:val="006F3F20"/>
    <w:rsid w:val="006F4AAE"/>
    <w:rsid w:val="006F4D78"/>
    <w:rsid w:val="006F511E"/>
    <w:rsid w:val="006F5CBA"/>
    <w:rsid w:val="006F5D72"/>
    <w:rsid w:val="006F74BF"/>
    <w:rsid w:val="00700807"/>
    <w:rsid w:val="00702538"/>
    <w:rsid w:val="007025D9"/>
    <w:rsid w:val="00702C3D"/>
    <w:rsid w:val="0070369D"/>
    <w:rsid w:val="00704431"/>
    <w:rsid w:val="007052B7"/>
    <w:rsid w:val="00705A09"/>
    <w:rsid w:val="00710360"/>
    <w:rsid w:val="007103B6"/>
    <w:rsid w:val="00712664"/>
    <w:rsid w:val="00714372"/>
    <w:rsid w:val="00714CC3"/>
    <w:rsid w:val="00715F44"/>
    <w:rsid w:val="00716505"/>
    <w:rsid w:val="00717707"/>
    <w:rsid w:val="0072002A"/>
    <w:rsid w:val="0072015A"/>
    <w:rsid w:val="00720230"/>
    <w:rsid w:val="007204A5"/>
    <w:rsid w:val="00720865"/>
    <w:rsid w:val="00723121"/>
    <w:rsid w:val="007232E0"/>
    <w:rsid w:val="007249B2"/>
    <w:rsid w:val="00724A9A"/>
    <w:rsid w:val="00725BBB"/>
    <w:rsid w:val="007270F4"/>
    <w:rsid w:val="00731276"/>
    <w:rsid w:val="007324F0"/>
    <w:rsid w:val="00732C0B"/>
    <w:rsid w:val="00733729"/>
    <w:rsid w:val="00733D36"/>
    <w:rsid w:val="007340FB"/>
    <w:rsid w:val="0073549A"/>
    <w:rsid w:val="00735B25"/>
    <w:rsid w:val="00737B21"/>
    <w:rsid w:val="007408CB"/>
    <w:rsid w:val="00740F2A"/>
    <w:rsid w:val="0074312B"/>
    <w:rsid w:val="007443F6"/>
    <w:rsid w:val="007453B6"/>
    <w:rsid w:val="007458FA"/>
    <w:rsid w:val="007467DE"/>
    <w:rsid w:val="00747710"/>
    <w:rsid w:val="00747E84"/>
    <w:rsid w:val="007509B7"/>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4CCB"/>
    <w:rsid w:val="007651EA"/>
    <w:rsid w:val="007664E4"/>
    <w:rsid w:val="00766A7A"/>
    <w:rsid w:val="00771BAB"/>
    <w:rsid w:val="00771C54"/>
    <w:rsid w:val="007723D4"/>
    <w:rsid w:val="007740BD"/>
    <w:rsid w:val="007747BE"/>
    <w:rsid w:val="00774DDD"/>
    <w:rsid w:val="00775886"/>
    <w:rsid w:val="007768DF"/>
    <w:rsid w:val="007768FB"/>
    <w:rsid w:val="00776F99"/>
    <w:rsid w:val="00777511"/>
    <w:rsid w:val="00777C67"/>
    <w:rsid w:val="007802AD"/>
    <w:rsid w:val="0078047F"/>
    <w:rsid w:val="00780AE4"/>
    <w:rsid w:val="00780E29"/>
    <w:rsid w:val="00781203"/>
    <w:rsid w:val="00781312"/>
    <w:rsid w:val="00781F73"/>
    <w:rsid w:val="00782FF3"/>
    <w:rsid w:val="00783189"/>
    <w:rsid w:val="007845E1"/>
    <w:rsid w:val="00784ACA"/>
    <w:rsid w:val="00784C55"/>
    <w:rsid w:val="00785927"/>
    <w:rsid w:val="00785982"/>
    <w:rsid w:val="00785B2E"/>
    <w:rsid w:val="00785BFC"/>
    <w:rsid w:val="007870BA"/>
    <w:rsid w:val="00787686"/>
    <w:rsid w:val="00787E50"/>
    <w:rsid w:val="0079063F"/>
    <w:rsid w:val="00793D9F"/>
    <w:rsid w:val="00795EF2"/>
    <w:rsid w:val="007968B8"/>
    <w:rsid w:val="00796B1B"/>
    <w:rsid w:val="007A02D3"/>
    <w:rsid w:val="007A06FF"/>
    <w:rsid w:val="007A0B2C"/>
    <w:rsid w:val="007A0FEC"/>
    <w:rsid w:val="007A12C9"/>
    <w:rsid w:val="007A17BB"/>
    <w:rsid w:val="007A272C"/>
    <w:rsid w:val="007A289A"/>
    <w:rsid w:val="007A2B3E"/>
    <w:rsid w:val="007A2EE6"/>
    <w:rsid w:val="007A35B7"/>
    <w:rsid w:val="007A584C"/>
    <w:rsid w:val="007A68E6"/>
    <w:rsid w:val="007A6EEF"/>
    <w:rsid w:val="007A71AC"/>
    <w:rsid w:val="007A73A0"/>
    <w:rsid w:val="007A7AF1"/>
    <w:rsid w:val="007B18D0"/>
    <w:rsid w:val="007B1F3E"/>
    <w:rsid w:val="007B21AB"/>
    <w:rsid w:val="007B2AC8"/>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6AEA"/>
    <w:rsid w:val="007D7696"/>
    <w:rsid w:val="007E01D5"/>
    <w:rsid w:val="007E120E"/>
    <w:rsid w:val="007E34D4"/>
    <w:rsid w:val="007E3D93"/>
    <w:rsid w:val="007E48CF"/>
    <w:rsid w:val="007F00FF"/>
    <w:rsid w:val="007F035B"/>
    <w:rsid w:val="007F0C5A"/>
    <w:rsid w:val="007F1946"/>
    <w:rsid w:val="007F2D88"/>
    <w:rsid w:val="007F31B2"/>
    <w:rsid w:val="007F34B6"/>
    <w:rsid w:val="007F352D"/>
    <w:rsid w:val="007F446E"/>
    <w:rsid w:val="007F497E"/>
    <w:rsid w:val="007F549E"/>
    <w:rsid w:val="007F5646"/>
    <w:rsid w:val="007F57ED"/>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0E9A"/>
    <w:rsid w:val="00812232"/>
    <w:rsid w:val="00812AA1"/>
    <w:rsid w:val="008131FA"/>
    <w:rsid w:val="008133C0"/>
    <w:rsid w:val="0081353A"/>
    <w:rsid w:val="00814A3A"/>
    <w:rsid w:val="008155E3"/>
    <w:rsid w:val="00815A3E"/>
    <w:rsid w:val="008164E8"/>
    <w:rsid w:val="008177EE"/>
    <w:rsid w:val="00820BED"/>
    <w:rsid w:val="00820D8D"/>
    <w:rsid w:val="00821692"/>
    <w:rsid w:val="00821B54"/>
    <w:rsid w:val="00822091"/>
    <w:rsid w:val="00822725"/>
    <w:rsid w:val="00822A6D"/>
    <w:rsid w:val="00823311"/>
    <w:rsid w:val="00823C69"/>
    <w:rsid w:val="008246E3"/>
    <w:rsid w:val="0082575B"/>
    <w:rsid w:val="008259CF"/>
    <w:rsid w:val="00825E35"/>
    <w:rsid w:val="0082711E"/>
    <w:rsid w:val="00827686"/>
    <w:rsid w:val="00827EC4"/>
    <w:rsid w:val="00830CC4"/>
    <w:rsid w:val="0083168B"/>
    <w:rsid w:val="00831D33"/>
    <w:rsid w:val="00832D88"/>
    <w:rsid w:val="00832F6E"/>
    <w:rsid w:val="00832FF0"/>
    <w:rsid w:val="0083338D"/>
    <w:rsid w:val="00833722"/>
    <w:rsid w:val="00833FB6"/>
    <w:rsid w:val="00834BC3"/>
    <w:rsid w:val="008350F1"/>
    <w:rsid w:val="00842FE7"/>
    <w:rsid w:val="00844277"/>
    <w:rsid w:val="008443A1"/>
    <w:rsid w:val="00844434"/>
    <w:rsid w:val="00844F3B"/>
    <w:rsid w:val="008455EF"/>
    <w:rsid w:val="00845891"/>
    <w:rsid w:val="0084695A"/>
    <w:rsid w:val="00850E16"/>
    <w:rsid w:val="00851B17"/>
    <w:rsid w:val="00852018"/>
    <w:rsid w:val="00852226"/>
    <w:rsid w:val="00853FBA"/>
    <w:rsid w:val="008543E8"/>
    <w:rsid w:val="00856121"/>
    <w:rsid w:val="008577CD"/>
    <w:rsid w:val="00860AF0"/>
    <w:rsid w:val="00860DF9"/>
    <w:rsid w:val="008618B2"/>
    <w:rsid w:val="008626CE"/>
    <w:rsid w:val="00862760"/>
    <w:rsid w:val="00864095"/>
    <w:rsid w:val="00865B0B"/>
    <w:rsid w:val="00867A25"/>
    <w:rsid w:val="008700BA"/>
    <w:rsid w:val="00870F1C"/>
    <w:rsid w:val="00872916"/>
    <w:rsid w:val="00873666"/>
    <w:rsid w:val="0087386A"/>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2D3A"/>
    <w:rsid w:val="008954B8"/>
    <w:rsid w:val="00896574"/>
    <w:rsid w:val="008979C1"/>
    <w:rsid w:val="008A0025"/>
    <w:rsid w:val="008A0203"/>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1DA5"/>
    <w:rsid w:val="008B3B05"/>
    <w:rsid w:val="008B6695"/>
    <w:rsid w:val="008B6B71"/>
    <w:rsid w:val="008C0158"/>
    <w:rsid w:val="008C174F"/>
    <w:rsid w:val="008C19F8"/>
    <w:rsid w:val="008C3F3A"/>
    <w:rsid w:val="008C4902"/>
    <w:rsid w:val="008C5042"/>
    <w:rsid w:val="008C544B"/>
    <w:rsid w:val="008D0E12"/>
    <w:rsid w:val="008D1581"/>
    <w:rsid w:val="008D1BAD"/>
    <w:rsid w:val="008D1C55"/>
    <w:rsid w:val="008D33E2"/>
    <w:rsid w:val="008D4019"/>
    <w:rsid w:val="008D51F3"/>
    <w:rsid w:val="008E051D"/>
    <w:rsid w:val="008E0F34"/>
    <w:rsid w:val="008E1E03"/>
    <w:rsid w:val="008E2B3B"/>
    <w:rsid w:val="008E3DF5"/>
    <w:rsid w:val="008E4054"/>
    <w:rsid w:val="008E4A0D"/>
    <w:rsid w:val="008E4B29"/>
    <w:rsid w:val="008E5CAA"/>
    <w:rsid w:val="008E7142"/>
    <w:rsid w:val="008E72EC"/>
    <w:rsid w:val="008F093F"/>
    <w:rsid w:val="008F1B64"/>
    <w:rsid w:val="008F2215"/>
    <w:rsid w:val="008F2A12"/>
    <w:rsid w:val="008F431C"/>
    <w:rsid w:val="008F43B7"/>
    <w:rsid w:val="008F46F6"/>
    <w:rsid w:val="008F4901"/>
    <w:rsid w:val="008F5289"/>
    <w:rsid w:val="008F5430"/>
    <w:rsid w:val="008F6AD8"/>
    <w:rsid w:val="008F79E8"/>
    <w:rsid w:val="0090108A"/>
    <w:rsid w:val="00901219"/>
    <w:rsid w:val="009013B4"/>
    <w:rsid w:val="00901BA6"/>
    <w:rsid w:val="009042CC"/>
    <w:rsid w:val="00904571"/>
    <w:rsid w:val="00906134"/>
    <w:rsid w:val="00907160"/>
    <w:rsid w:val="009071BC"/>
    <w:rsid w:val="009076A8"/>
    <w:rsid w:val="00907EF2"/>
    <w:rsid w:val="00910D95"/>
    <w:rsid w:val="009127A4"/>
    <w:rsid w:val="00912AE9"/>
    <w:rsid w:val="009135D9"/>
    <w:rsid w:val="00913D5F"/>
    <w:rsid w:val="00914A3B"/>
    <w:rsid w:val="009159B2"/>
    <w:rsid w:val="0091695C"/>
    <w:rsid w:val="00916A3B"/>
    <w:rsid w:val="009179D3"/>
    <w:rsid w:val="00917B96"/>
    <w:rsid w:val="00920BBD"/>
    <w:rsid w:val="00921D13"/>
    <w:rsid w:val="00925876"/>
    <w:rsid w:val="0092646E"/>
    <w:rsid w:val="009310B5"/>
    <w:rsid w:val="00931588"/>
    <w:rsid w:val="00931611"/>
    <w:rsid w:val="009329AE"/>
    <w:rsid w:val="009339D6"/>
    <w:rsid w:val="00933C53"/>
    <w:rsid w:val="00934C83"/>
    <w:rsid w:val="009369AE"/>
    <w:rsid w:val="0094439D"/>
    <w:rsid w:val="00944AFA"/>
    <w:rsid w:val="00945650"/>
    <w:rsid w:val="00945FE2"/>
    <w:rsid w:val="0094621D"/>
    <w:rsid w:val="00950727"/>
    <w:rsid w:val="009508E4"/>
    <w:rsid w:val="00951FDB"/>
    <w:rsid w:val="009522DA"/>
    <w:rsid w:val="00952BC3"/>
    <w:rsid w:val="00953E02"/>
    <w:rsid w:val="00954323"/>
    <w:rsid w:val="00954BC2"/>
    <w:rsid w:val="00954CE1"/>
    <w:rsid w:val="009567B8"/>
    <w:rsid w:val="00957E7E"/>
    <w:rsid w:val="00960B5A"/>
    <w:rsid w:val="00960D34"/>
    <w:rsid w:val="009611D2"/>
    <w:rsid w:val="0096202E"/>
    <w:rsid w:val="009621A0"/>
    <w:rsid w:val="00962BC2"/>
    <w:rsid w:val="0096321C"/>
    <w:rsid w:val="00963D5E"/>
    <w:rsid w:val="00964224"/>
    <w:rsid w:val="0096696A"/>
    <w:rsid w:val="00967201"/>
    <w:rsid w:val="00967C74"/>
    <w:rsid w:val="00967F19"/>
    <w:rsid w:val="00971FDA"/>
    <w:rsid w:val="009722A8"/>
    <w:rsid w:val="00972548"/>
    <w:rsid w:val="009728FF"/>
    <w:rsid w:val="00972DBC"/>
    <w:rsid w:val="00974888"/>
    <w:rsid w:val="00974B47"/>
    <w:rsid w:val="00974D53"/>
    <w:rsid w:val="00974D5D"/>
    <w:rsid w:val="009760C4"/>
    <w:rsid w:val="00976E27"/>
    <w:rsid w:val="009772A5"/>
    <w:rsid w:val="00977550"/>
    <w:rsid w:val="00977CB8"/>
    <w:rsid w:val="00980B5D"/>
    <w:rsid w:val="00981173"/>
    <w:rsid w:val="00981A75"/>
    <w:rsid w:val="00981F83"/>
    <w:rsid w:val="009841A8"/>
    <w:rsid w:val="00984EC6"/>
    <w:rsid w:val="009868BE"/>
    <w:rsid w:val="00986B64"/>
    <w:rsid w:val="00986EFA"/>
    <w:rsid w:val="009876A4"/>
    <w:rsid w:val="00987EEB"/>
    <w:rsid w:val="009917E9"/>
    <w:rsid w:val="00992416"/>
    <w:rsid w:val="00993789"/>
    <w:rsid w:val="00994B4C"/>
    <w:rsid w:val="00994F61"/>
    <w:rsid w:val="00996057"/>
    <w:rsid w:val="00996394"/>
    <w:rsid w:val="00996C89"/>
    <w:rsid w:val="00996CB7"/>
    <w:rsid w:val="00996EC4"/>
    <w:rsid w:val="009979B9"/>
    <w:rsid w:val="009A03C7"/>
    <w:rsid w:val="009A0703"/>
    <w:rsid w:val="009A1399"/>
    <w:rsid w:val="009A22FD"/>
    <w:rsid w:val="009A2ED6"/>
    <w:rsid w:val="009A2F9F"/>
    <w:rsid w:val="009A31E7"/>
    <w:rsid w:val="009A3C5B"/>
    <w:rsid w:val="009A546A"/>
    <w:rsid w:val="009A621C"/>
    <w:rsid w:val="009A6677"/>
    <w:rsid w:val="009A6C66"/>
    <w:rsid w:val="009A6EF9"/>
    <w:rsid w:val="009A7BBC"/>
    <w:rsid w:val="009B2A11"/>
    <w:rsid w:val="009B5581"/>
    <w:rsid w:val="009B5940"/>
    <w:rsid w:val="009B63ED"/>
    <w:rsid w:val="009B710D"/>
    <w:rsid w:val="009C0E13"/>
    <w:rsid w:val="009C0E22"/>
    <w:rsid w:val="009C3862"/>
    <w:rsid w:val="009C4171"/>
    <w:rsid w:val="009C475C"/>
    <w:rsid w:val="009C5878"/>
    <w:rsid w:val="009C60A5"/>
    <w:rsid w:val="009C74F0"/>
    <w:rsid w:val="009C75C9"/>
    <w:rsid w:val="009D1492"/>
    <w:rsid w:val="009D169E"/>
    <w:rsid w:val="009D17E7"/>
    <w:rsid w:val="009D2602"/>
    <w:rsid w:val="009D2D90"/>
    <w:rsid w:val="009D3234"/>
    <w:rsid w:val="009D346D"/>
    <w:rsid w:val="009D41B7"/>
    <w:rsid w:val="009D5CA7"/>
    <w:rsid w:val="009D65CD"/>
    <w:rsid w:val="009D6E2E"/>
    <w:rsid w:val="009D7298"/>
    <w:rsid w:val="009E03C7"/>
    <w:rsid w:val="009E12B5"/>
    <w:rsid w:val="009E3C1C"/>
    <w:rsid w:val="009E3F6F"/>
    <w:rsid w:val="009E5668"/>
    <w:rsid w:val="009E58DF"/>
    <w:rsid w:val="009E5F7C"/>
    <w:rsid w:val="009E6ACB"/>
    <w:rsid w:val="009F1043"/>
    <w:rsid w:val="009F2D78"/>
    <w:rsid w:val="009F36CA"/>
    <w:rsid w:val="009F4FE2"/>
    <w:rsid w:val="009F58F9"/>
    <w:rsid w:val="009F6167"/>
    <w:rsid w:val="009F741C"/>
    <w:rsid w:val="009F752A"/>
    <w:rsid w:val="00A003BE"/>
    <w:rsid w:val="00A00EE1"/>
    <w:rsid w:val="00A0135B"/>
    <w:rsid w:val="00A01660"/>
    <w:rsid w:val="00A022AB"/>
    <w:rsid w:val="00A02B33"/>
    <w:rsid w:val="00A03435"/>
    <w:rsid w:val="00A03567"/>
    <w:rsid w:val="00A0385F"/>
    <w:rsid w:val="00A03903"/>
    <w:rsid w:val="00A05A10"/>
    <w:rsid w:val="00A06B9A"/>
    <w:rsid w:val="00A06C2D"/>
    <w:rsid w:val="00A079D0"/>
    <w:rsid w:val="00A107C5"/>
    <w:rsid w:val="00A11132"/>
    <w:rsid w:val="00A11756"/>
    <w:rsid w:val="00A11969"/>
    <w:rsid w:val="00A12DE8"/>
    <w:rsid w:val="00A14818"/>
    <w:rsid w:val="00A157B9"/>
    <w:rsid w:val="00A15893"/>
    <w:rsid w:val="00A158FB"/>
    <w:rsid w:val="00A15910"/>
    <w:rsid w:val="00A1712E"/>
    <w:rsid w:val="00A17F2D"/>
    <w:rsid w:val="00A20667"/>
    <w:rsid w:val="00A22348"/>
    <w:rsid w:val="00A2420E"/>
    <w:rsid w:val="00A243D6"/>
    <w:rsid w:val="00A24C62"/>
    <w:rsid w:val="00A254EC"/>
    <w:rsid w:val="00A25F51"/>
    <w:rsid w:val="00A26182"/>
    <w:rsid w:val="00A26D5E"/>
    <w:rsid w:val="00A27E6A"/>
    <w:rsid w:val="00A30382"/>
    <w:rsid w:val="00A30CEC"/>
    <w:rsid w:val="00A3188E"/>
    <w:rsid w:val="00A32604"/>
    <w:rsid w:val="00A32EF3"/>
    <w:rsid w:val="00A33840"/>
    <w:rsid w:val="00A33959"/>
    <w:rsid w:val="00A35312"/>
    <w:rsid w:val="00A354C8"/>
    <w:rsid w:val="00A37B2B"/>
    <w:rsid w:val="00A407E6"/>
    <w:rsid w:val="00A40E00"/>
    <w:rsid w:val="00A417AE"/>
    <w:rsid w:val="00A43345"/>
    <w:rsid w:val="00A447E6"/>
    <w:rsid w:val="00A463E3"/>
    <w:rsid w:val="00A50AD6"/>
    <w:rsid w:val="00A50D0F"/>
    <w:rsid w:val="00A50E2B"/>
    <w:rsid w:val="00A51495"/>
    <w:rsid w:val="00A51D33"/>
    <w:rsid w:val="00A54097"/>
    <w:rsid w:val="00A54DAA"/>
    <w:rsid w:val="00A55C29"/>
    <w:rsid w:val="00A57661"/>
    <w:rsid w:val="00A60E34"/>
    <w:rsid w:val="00A62074"/>
    <w:rsid w:val="00A62606"/>
    <w:rsid w:val="00A62EA7"/>
    <w:rsid w:val="00A6459E"/>
    <w:rsid w:val="00A64686"/>
    <w:rsid w:val="00A64CAE"/>
    <w:rsid w:val="00A6578C"/>
    <w:rsid w:val="00A6605D"/>
    <w:rsid w:val="00A71A0A"/>
    <w:rsid w:val="00A72227"/>
    <w:rsid w:val="00A72CC1"/>
    <w:rsid w:val="00A7374B"/>
    <w:rsid w:val="00A73E12"/>
    <w:rsid w:val="00A748F2"/>
    <w:rsid w:val="00A74939"/>
    <w:rsid w:val="00A7537E"/>
    <w:rsid w:val="00A76AED"/>
    <w:rsid w:val="00A77B52"/>
    <w:rsid w:val="00A77BE7"/>
    <w:rsid w:val="00A80044"/>
    <w:rsid w:val="00A81845"/>
    <w:rsid w:val="00A8271D"/>
    <w:rsid w:val="00A82B34"/>
    <w:rsid w:val="00A82EF9"/>
    <w:rsid w:val="00A83611"/>
    <w:rsid w:val="00A84B21"/>
    <w:rsid w:val="00A8580C"/>
    <w:rsid w:val="00A85A45"/>
    <w:rsid w:val="00A85F3E"/>
    <w:rsid w:val="00A86A92"/>
    <w:rsid w:val="00A86CEB"/>
    <w:rsid w:val="00A90AA5"/>
    <w:rsid w:val="00A912BA"/>
    <w:rsid w:val="00A9181D"/>
    <w:rsid w:val="00A924F3"/>
    <w:rsid w:val="00A92AF0"/>
    <w:rsid w:val="00A94018"/>
    <w:rsid w:val="00A94369"/>
    <w:rsid w:val="00A94B44"/>
    <w:rsid w:val="00A95288"/>
    <w:rsid w:val="00A97923"/>
    <w:rsid w:val="00A97B91"/>
    <w:rsid w:val="00AA0E31"/>
    <w:rsid w:val="00AA150D"/>
    <w:rsid w:val="00AA1803"/>
    <w:rsid w:val="00AA1AD1"/>
    <w:rsid w:val="00AA20EA"/>
    <w:rsid w:val="00AA446F"/>
    <w:rsid w:val="00AA59A6"/>
    <w:rsid w:val="00AA739B"/>
    <w:rsid w:val="00AA7D7E"/>
    <w:rsid w:val="00AB0D80"/>
    <w:rsid w:val="00AB16D9"/>
    <w:rsid w:val="00AB1C49"/>
    <w:rsid w:val="00AB1FC8"/>
    <w:rsid w:val="00AB284D"/>
    <w:rsid w:val="00AB2F02"/>
    <w:rsid w:val="00AB304E"/>
    <w:rsid w:val="00AB512D"/>
    <w:rsid w:val="00AB6C17"/>
    <w:rsid w:val="00AC0A9D"/>
    <w:rsid w:val="00AC0C9E"/>
    <w:rsid w:val="00AC20C0"/>
    <w:rsid w:val="00AC2876"/>
    <w:rsid w:val="00AC3349"/>
    <w:rsid w:val="00AC33C8"/>
    <w:rsid w:val="00AC449A"/>
    <w:rsid w:val="00AC4C13"/>
    <w:rsid w:val="00AC4C74"/>
    <w:rsid w:val="00AC4CD2"/>
    <w:rsid w:val="00AC5D5B"/>
    <w:rsid w:val="00AC5D5D"/>
    <w:rsid w:val="00AC64CA"/>
    <w:rsid w:val="00AC7BE1"/>
    <w:rsid w:val="00AD059B"/>
    <w:rsid w:val="00AD102A"/>
    <w:rsid w:val="00AD1502"/>
    <w:rsid w:val="00AD1796"/>
    <w:rsid w:val="00AD1974"/>
    <w:rsid w:val="00AD2353"/>
    <w:rsid w:val="00AD239A"/>
    <w:rsid w:val="00AD26D4"/>
    <w:rsid w:val="00AD2B44"/>
    <w:rsid w:val="00AD2C98"/>
    <w:rsid w:val="00AD3102"/>
    <w:rsid w:val="00AD3EDC"/>
    <w:rsid w:val="00AD4BF1"/>
    <w:rsid w:val="00AD505E"/>
    <w:rsid w:val="00AD5CCC"/>
    <w:rsid w:val="00AD5D64"/>
    <w:rsid w:val="00AD6CC5"/>
    <w:rsid w:val="00AD713A"/>
    <w:rsid w:val="00AD7E0B"/>
    <w:rsid w:val="00AE0E58"/>
    <w:rsid w:val="00AE594A"/>
    <w:rsid w:val="00AF0189"/>
    <w:rsid w:val="00AF061D"/>
    <w:rsid w:val="00AF12CE"/>
    <w:rsid w:val="00AF3257"/>
    <w:rsid w:val="00AF3FE0"/>
    <w:rsid w:val="00AF45EB"/>
    <w:rsid w:val="00AF4794"/>
    <w:rsid w:val="00AF47C0"/>
    <w:rsid w:val="00AF695E"/>
    <w:rsid w:val="00AF7191"/>
    <w:rsid w:val="00AF77D1"/>
    <w:rsid w:val="00AF7C74"/>
    <w:rsid w:val="00AF7FC6"/>
    <w:rsid w:val="00B001EB"/>
    <w:rsid w:val="00B004D7"/>
    <w:rsid w:val="00B00586"/>
    <w:rsid w:val="00B00972"/>
    <w:rsid w:val="00B0098B"/>
    <w:rsid w:val="00B01152"/>
    <w:rsid w:val="00B01A31"/>
    <w:rsid w:val="00B0271B"/>
    <w:rsid w:val="00B041BF"/>
    <w:rsid w:val="00B06B70"/>
    <w:rsid w:val="00B14546"/>
    <w:rsid w:val="00B16A33"/>
    <w:rsid w:val="00B17AC0"/>
    <w:rsid w:val="00B17B7B"/>
    <w:rsid w:val="00B17D41"/>
    <w:rsid w:val="00B21333"/>
    <w:rsid w:val="00B24AD9"/>
    <w:rsid w:val="00B25959"/>
    <w:rsid w:val="00B267CA"/>
    <w:rsid w:val="00B273A7"/>
    <w:rsid w:val="00B305CF"/>
    <w:rsid w:val="00B32A7C"/>
    <w:rsid w:val="00B3572E"/>
    <w:rsid w:val="00B35B14"/>
    <w:rsid w:val="00B3648D"/>
    <w:rsid w:val="00B40734"/>
    <w:rsid w:val="00B40C90"/>
    <w:rsid w:val="00B41044"/>
    <w:rsid w:val="00B41FAA"/>
    <w:rsid w:val="00B44EFF"/>
    <w:rsid w:val="00B46259"/>
    <w:rsid w:val="00B46F12"/>
    <w:rsid w:val="00B477E1"/>
    <w:rsid w:val="00B5134D"/>
    <w:rsid w:val="00B516F5"/>
    <w:rsid w:val="00B52CF8"/>
    <w:rsid w:val="00B5413B"/>
    <w:rsid w:val="00B54341"/>
    <w:rsid w:val="00B54A1D"/>
    <w:rsid w:val="00B559F2"/>
    <w:rsid w:val="00B57130"/>
    <w:rsid w:val="00B57816"/>
    <w:rsid w:val="00B57D82"/>
    <w:rsid w:val="00B6087C"/>
    <w:rsid w:val="00B60E4E"/>
    <w:rsid w:val="00B612A9"/>
    <w:rsid w:val="00B61973"/>
    <w:rsid w:val="00B61ED6"/>
    <w:rsid w:val="00B62E41"/>
    <w:rsid w:val="00B6403E"/>
    <w:rsid w:val="00B65E5A"/>
    <w:rsid w:val="00B66C2A"/>
    <w:rsid w:val="00B6741C"/>
    <w:rsid w:val="00B67AEB"/>
    <w:rsid w:val="00B70AD6"/>
    <w:rsid w:val="00B710C6"/>
    <w:rsid w:val="00B71940"/>
    <w:rsid w:val="00B72D36"/>
    <w:rsid w:val="00B73342"/>
    <w:rsid w:val="00B735E5"/>
    <w:rsid w:val="00B743E8"/>
    <w:rsid w:val="00B743F8"/>
    <w:rsid w:val="00B74565"/>
    <w:rsid w:val="00B7599F"/>
    <w:rsid w:val="00B75FEC"/>
    <w:rsid w:val="00B76239"/>
    <w:rsid w:val="00B775F5"/>
    <w:rsid w:val="00B808E4"/>
    <w:rsid w:val="00B810C9"/>
    <w:rsid w:val="00B81A7D"/>
    <w:rsid w:val="00B823A3"/>
    <w:rsid w:val="00B83729"/>
    <w:rsid w:val="00B839FB"/>
    <w:rsid w:val="00B83DFF"/>
    <w:rsid w:val="00B84A9F"/>
    <w:rsid w:val="00B85C12"/>
    <w:rsid w:val="00B8620B"/>
    <w:rsid w:val="00B9036B"/>
    <w:rsid w:val="00B909F2"/>
    <w:rsid w:val="00B92120"/>
    <w:rsid w:val="00B928DE"/>
    <w:rsid w:val="00B92912"/>
    <w:rsid w:val="00B92BEA"/>
    <w:rsid w:val="00B95605"/>
    <w:rsid w:val="00B968AA"/>
    <w:rsid w:val="00B96B6A"/>
    <w:rsid w:val="00B96C26"/>
    <w:rsid w:val="00BA0943"/>
    <w:rsid w:val="00BA0C81"/>
    <w:rsid w:val="00BA192C"/>
    <w:rsid w:val="00BA1F04"/>
    <w:rsid w:val="00BA21E1"/>
    <w:rsid w:val="00BA23ED"/>
    <w:rsid w:val="00BA423F"/>
    <w:rsid w:val="00BA64E8"/>
    <w:rsid w:val="00BA6512"/>
    <w:rsid w:val="00BA75BB"/>
    <w:rsid w:val="00BA7CD8"/>
    <w:rsid w:val="00BB0343"/>
    <w:rsid w:val="00BB09F8"/>
    <w:rsid w:val="00BB0DDB"/>
    <w:rsid w:val="00BB235B"/>
    <w:rsid w:val="00BB25D0"/>
    <w:rsid w:val="00BB27EB"/>
    <w:rsid w:val="00BB344E"/>
    <w:rsid w:val="00BB3CBD"/>
    <w:rsid w:val="00BB4486"/>
    <w:rsid w:val="00BB458D"/>
    <w:rsid w:val="00BB5CDE"/>
    <w:rsid w:val="00BB6000"/>
    <w:rsid w:val="00BB600D"/>
    <w:rsid w:val="00BB72F4"/>
    <w:rsid w:val="00BB7D5B"/>
    <w:rsid w:val="00BC0BB3"/>
    <w:rsid w:val="00BC0E8D"/>
    <w:rsid w:val="00BC10BC"/>
    <w:rsid w:val="00BC17C3"/>
    <w:rsid w:val="00BC23FB"/>
    <w:rsid w:val="00BC2458"/>
    <w:rsid w:val="00BC4F7E"/>
    <w:rsid w:val="00BC5696"/>
    <w:rsid w:val="00BC584B"/>
    <w:rsid w:val="00BC6254"/>
    <w:rsid w:val="00BC7CB3"/>
    <w:rsid w:val="00BD0358"/>
    <w:rsid w:val="00BD05FC"/>
    <w:rsid w:val="00BD2665"/>
    <w:rsid w:val="00BD2B8D"/>
    <w:rsid w:val="00BD3834"/>
    <w:rsid w:val="00BD5923"/>
    <w:rsid w:val="00BD6052"/>
    <w:rsid w:val="00BD61E5"/>
    <w:rsid w:val="00BD6233"/>
    <w:rsid w:val="00BD659E"/>
    <w:rsid w:val="00BD6750"/>
    <w:rsid w:val="00BD6BB3"/>
    <w:rsid w:val="00BD7018"/>
    <w:rsid w:val="00BD71BB"/>
    <w:rsid w:val="00BD7A6B"/>
    <w:rsid w:val="00BD7D58"/>
    <w:rsid w:val="00BD7DD0"/>
    <w:rsid w:val="00BE0493"/>
    <w:rsid w:val="00BE0B3A"/>
    <w:rsid w:val="00BE0E36"/>
    <w:rsid w:val="00BE2408"/>
    <w:rsid w:val="00BE61D2"/>
    <w:rsid w:val="00BF436E"/>
    <w:rsid w:val="00BF4442"/>
    <w:rsid w:val="00BF487A"/>
    <w:rsid w:val="00BF5642"/>
    <w:rsid w:val="00BF640F"/>
    <w:rsid w:val="00BF7129"/>
    <w:rsid w:val="00C00335"/>
    <w:rsid w:val="00C01EEF"/>
    <w:rsid w:val="00C033E7"/>
    <w:rsid w:val="00C04166"/>
    <w:rsid w:val="00C0645D"/>
    <w:rsid w:val="00C07859"/>
    <w:rsid w:val="00C07DF4"/>
    <w:rsid w:val="00C10836"/>
    <w:rsid w:val="00C11FD0"/>
    <w:rsid w:val="00C122BA"/>
    <w:rsid w:val="00C12976"/>
    <w:rsid w:val="00C12986"/>
    <w:rsid w:val="00C12D78"/>
    <w:rsid w:val="00C14885"/>
    <w:rsid w:val="00C15234"/>
    <w:rsid w:val="00C15A52"/>
    <w:rsid w:val="00C15E83"/>
    <w:rsid w:val="00C1632D"/>
    <w:rsid w:val="00C16C6D"/>
    <w:rsid w:val="00C170C0"/>
    <w:rsid w:val="00C17DE9"/>
    <w:rsid w:val="00C204A6"/>
    <w:rsid w:val="00C2197D"/>
    <w:rsid w:val="00C22DAC"/>
    <w:rsid w:val="00C2352A"/>
    <w:rsid w:val="00C23639"/>
    <w:rsid w:val="00C23BD1"/>
    <w:rsid w:val="00C24942"/>
    <w:rsid w:val="00C25829"/>
    <w:rsid w:val="00C300E4"/>
    <w:rsid w:val="00C303A9"/>
    <w:rsid w:val="00C303F0"/>
    <w:rsid w:val="00C306A7"/>
    <w:rsid w:val="00C30CD3"/>
    <w:rsid w:val="00C310C0"/>
    <w:rsid w:val="00C31569"/>
    <w:rsid w:val="00C31905"/>
    <w:rsid w:val="00C31AF7"/>
    <w:rsid w:val="00C33CFA"/>
    <w:rsid w:val="00C344E9"/>
    <w:rsid w:val="00C35F90"/>
    <w:rsid w:val="00C36BFD"/>
    <w:rsid w:val="00C37B9C"/>
    <w:rsid w:val="00C37C60"/>
    <w:rsid w:val="00C42588"/>
    <w:rsid w:val="00C443EA"/>
    <w:rsid w:val="00C449C8"/>
    <w:rsid w:val="00C451D8"/>
    <w:rsid w:val="00C4636A"/>
    <w:rsid w:val="00C4663F"/>
    <w:rsid w:val="00C4799E"/>
    <w:rsid w:val="00C51EEC"/>
    <w:rsid w:val="00C5303D"/>
    <w:rsid w:val="00C53328"/>
    <w:rsid w:val="00C53BC4"/>
    <w:rsid w:val="00C55A51"/>
    <w:rsid w:val="00C55A71"/>
    <w:rsid w:val="00C60696"/>
    <w:rsid w:val="00C608B8"/>
    <w:rsid w:val="00C610FD"/>
    <w:rsid w:val="00C62070"/>
    <w:rsid w:val="00C632AD"/>
    <w:rsid w:val="00C6348B"/>
    <w:rsid w:val="00C63620"/>
    <w:rsid w:val="00C66BC5"/>
    <w:rsid w:val="00C67434"/>
    <w:rsid w:val="00C70077"/>
    <w:rsid w:val="00C704AA"/>
    <w:rsid w:val="00C704C7"/>
    <w:rsid w:val="00C71652"/>
    <w:rsid w:val="00C7184D"/>
    <w:rsid w:val="00C72DC0"/>
    <w:rsid w:val="00C74BD5"/>
    <w:rsid w:val="00C76473"/>
    <w:rsid w:val="00C76AC4"/>
    <w:rsid w:val="00C779B2"/>
    <w:rsid w:val="00C77F54"/>
    <w:rsid w:val="00C80798"/>
    <w:rsid w:val="00C8095B"/>
    <w:rsid w:val="00C81681"/>
    <w:rsid w:val="00C818BD"/>
    <w:rsid w:val="00C81B55"/>
    <w:rsid w:val="00C822E1"/>
    <w:rsid w:val="00C823D1"/>
    <w:rsid w:val="00C82687"/>
    <w:rsid w:val="00C82A5B"/>
    <w:rsid w:val="00C832D2"/>
    <w:rsid w:val="00C834B6"/>
    <w:rsid w:val="00C84DE1"/>
    <w:rsid w:val="00C8517B"/>
    <w:rsid w:val="00C85CAB"/>
    <w:rsid w:val="00C85F05"/>
    <w:rsid w:val="00C865A9"/>
    <w:rsid w:val="00C872A0"/>
    <w:rsid w:val="00C90EE5"/>
    <w:rsid w:val="00C93677"/>
    <w:rsid w:val="00C947AA"/>
    <w:rsid w:val="00C94862"/>
    <w:rsid w:val="00C94FA3"/>
    <w:rsid w:val="00C9589E"/>
    <w:rsid w:val="00C95F1F"/>
    <w:rsid w:val="00C95FC8"/>
    <w:rsid w:val="00C97809"/>
    <w:rsid w:val="00C97DDC"/>
    <w:rsid w:val="00CA1905"/>
    <w:rsid w:val="00CA218F"/>
    <w:rsid w:val="00CA2E36"/>
    <w:rsid w:val="00CA396C"/>
    <w:rsid w:val="00CA3D17"/>
    <w:rsid w:val="00CA5380"/>
    <w:rsid w:val="00CA7CA5"/>
    <w:rsid w:val="00CB04A3"/>
    <w:rsid w:val="00CB0B25"/>
    <w:rsid w:val="00CB1B3B"/>
    <w:rsid w:val="00CB28CD"/>
    <w:rsid w:val="00CB386A"/>
    <w:rsid w:val="00CB5257"/>
    <w:rsid w:val="00CB52E3"/>
    <w:rsid w:val="00CB540B"/>
    <w:rsid w:val="00CB7F06"/>
    <w:rsid w:val="00CC014E"/>
    <w:rsid w:val="00CC1054"/>
    <w:rsid w:val="00CC22A8"/>
    <w:rsid w:val="00CC4104"/>
    <w:rsid w:val="00CC665E"/>
    <w:rsid w:val="00CC6E87"/>
    <w:rsid w:val="00CC79E0"/>
    <w:rsid w:val="00CD059B"/>
    <w:rsid w:val="00CD0DC7"/>
    <w:rsid w:val="00CD16B2"/>
    <w:rsid w:val="00CD1748"/>
    <w:rsid w:val="00CD251B"/>
    <w:rsid w:val="00CD25B8"/>
    <w:rsid w:val="00CD281F"/>
    <w:rsid w:val="00CD3810"/>
    <w:rsid w:val="00CD5E06"/>
    <w:rsid w:val="00CD670F"/>
    <w:rsid w:val="00CE0290"/>
    <w:rsid w:val="00CE0BF0"/>
    <w:rsid w:val="00CE0EF4"/>
    <w:rsid w:val="00CE0FA9"/>
    <w:rsid w:val="00CE1258"/>
    <w:rsid w:val="00CE2BEB"/>
    <w:rsid w:val="00CE3842"/>
    <w:rsid w:val="00CE4800"/>
    <w:rsid w:val="00CE51EE"/>
    <w:rsid w:val="00CE57AA"/>
    <w:rsid w:val="00CE7F54"/>
    <w:rsid w:val="00CF0A4A"/>
    <w:rsid w:val="00CF0BB6"/>
    <w:rsid w:val="00CF20AA"/>
    <w:rsid w:val="00CF2BA3"/>
    <w:rsid w:val="00CF3423"/>
    <w:rsid w:val="00CF4C38"/>
    <w:rsid w:val="00CF5669"/>
    <w:rsid w:val="00D00330"/>
    <w:rsid w:val="00D0089D"/>
    <w:rsid w:val="00D00FD6"/>
    <w:rsid w:val="00D012B0"/>
    <w:rsid w:val="00D01BC7"/>
    <w:rsid w:val="00D027E6"/>
    <w:rsid w:val="00D02E83"/>
    <w:rsid w:val="00D03079"/>
    <w:rsid w:val="00D03616"/>
    <w:rsid w:val="00D03902"/>
    <w:rsid w:val="00D03F7E"/>
    <w:rsid w:val="00D05841"/>
    <w:rsid w:val="00D05C27"/>
    <w:rsid w:val="00D05D30"/>
    <w:rsid w:val="00D05F8E"/>
    <w:rsid w:val="00D06C96"/>
    <w:rsid w:val="00D07BB7"/>
    <w:rsid w:val="00D10BDF"/>
    <w:rsid w:val="00D110CF"/>
    <w:rsid w:val="00D1186B"/>
    <w:rsid w:val="00D11C10"/>
    <w:rsid w:val="00D12DCB"/>
    <w:rsid w:val="00D132FA"/>
    <w:rsid w:val="00D13E04"/>
    <w:rsid w:val="00D144D9"/>
    <w:rsid w:val="00D1582D"/>
    <w:rsid w:val="00D15B98"/>
    <w:rsid w:val="00D15D33"/>
    <w:rsid w:val="00D1749C"/>
    <w:rsid w:val="00D202A1"/>
    <w:rsid w:val="00D20CE3"/>
    <w:rsid w:val="00D214C1"/>
    <w:rsid w:val="00D228CE"/>
    <w:rsid w:val="00D23477"/>
    <w:rsid w:val="00D23754"/>
    <w:rsid w:val="00D24728"/>
    <w:rsid w:val="00D24B0D"/>
    <w:rsid w:val="00D25027"/>
    <w:rsid w:val="00D254BA"/>
    <w:rsid w:val="00D256CC"/>
    <w:rsid w:val="00D2585B"/>
    <w:rsid w:val="00D305E7"/>
    <w:rsid w:val="00D31519"/>
    <w:rsid w:val="00D31E7C"/>
    <w:rsid w:val="00D32C28"/>
    <w:rsid w:val="00D33D2D"/>
    <w:rsid w:val="00D3428F"/>
    <w:rsid w:val="00D3493F"/>
    <w:rsid w:val="00D34D18"/>
    <w:rsid w:val="00D35071"/>
    <w:rsid w:val="00D37B8F"/>
    <w:rsid w:val="00D37D8A"/>
    <w:rsid w:val="00D403D5"/>
    <w:rsid w:val="00D40574"/>
    <w:rsid w:val="00D41A52"/>
    <w:rsid w:val="00D41B13"/>
    <w:rsid w:val="00D42C15"/>
    <w:rsid w:val="00D43D98"/>
    <w:rsid w:val="00D44789"/>
    <w:rsid w:val="00D46800"/>
    <w:rsid w:val="00D46C7E"/>
    <w:rsid w:val="00D46D6E"/>
    <w:rsid w:val="00D4786B"/>
    <w:rsid w:val="00D50B41"/>
    <w:rsid w:val="00D50E0E"/>
    <w:rsid w:val="00D51662"/>
    <w:rsid w:val="00D519B7"/>
    <w:rsid w:val="00D51D7E"/>
    <w:rsid w:val="00D54C49"/>
    <w:rsid w:val="00D55598"/>
    <w:rsid w:val="00D557BF"/>
    <w:rsid w:val="00D55CE3"/>
    <w:rsid w:val="00D56517"/>
    <w:rsid w:val="00D571B4"/>
    <w:rsid w:val="00D60C9C"/>
    <w:rsid w:val="00D617F5"/>
    <w:rsid w:val="00D6190B"/>
    <w:rsid w:val="00D624AF"/>
    <w:rsid w:val="00D6289E"/>
    <w:rsid w:val="00D63078"/>
    <w:rsid w:val="00D6337A"/>
    <w:rsid w:val="00D63C8B"/>
    <w:rsid w:val="00D63CFD"/>
    <w:rsid w:val="00D641D6"/>
    <w:rsid w:val="00D64B39"/>
    <w:rsid w:val="00D65888"/>
    <w:rsid w:val="00D66301"/>
    <w:rsid w:val="00D701DD"/>
    <w:rsid w:val="00D70B1F"/>
    <w:rsid w:val="00D717AD"/>
    <w:rsid w:val="00D71A14"/>
    <w:rsid w:val="00D72659"/>
    <w:rsid w:val="00D72C6E"/>
    <w:rsid w:val="00D72DDD"/>
    <w:rsid w:val="00D7388E"/>
    <w:rsid w:val="00D7419B"/>
    <w:rsid w:val="00D742B5"/>
    <w:rsid w:val="00D763CA"/>
    <w:rsid w:val="00D7654E"/>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1654"/>
    <w:rsid w:val="00D9284E"/>
    <w:rsid w:val="00D93CB3"/>
    <w:rsid w:val="00D94B3A"/>
    <w:rsid w:val="00D95665"/>
    <w:rsid w:val="00D96989"/>
    <w:rsid w:val="00D96D6A"/>
    <w:rsid w:val="00D96F97"/>
    <w:rsid w:val="00D97421"/>
    <w:rsid w:val="00D97481"/>
    <w:rsid w:val="00D97C66"/>
    <w:rsid w:val="00DA10A4"/>
    <w:rsid w:val="00DA1B90"/>
    <w:rsid w:val="00DA28CB"/>
    <w:rsid w:val="00DA325F"/>
    <w:rsid w:val="00DA42B5"/>
    <w:rsid w:val="00DA5B20"/>
    <w:rsid w:val="00DA70B4"/>
    <w:rsid w:val="00DA78F5"/>
    <w:rsid w:val="00DB0CC6"/>
    <w:rsid w:val="00DB278E"/>
    <w:rsid w:val="00DB32BF"/>
    <w:rsid w:val="00DB3ABE"/>
    <w:rsid w:val="00DB542C"/>
    <w:rsid w:val="00DB5B03"/>
    <w:rsid w:val="00DB6078"/>
    <w:rsid w:val="00DB63A4"/>
    <w:rsid w:val="00DB76D9"/>
    <w:rsid w:val="00DB7899"/>
    <w:rsid w:val="00DB7A60"/>
    <w:rsid w:val="00DC0E99"/>
    <w:rsid w:val="00DC162F"/>
    <w:rsid w:val="00DC215E"/>
    <w:rsid w:val="00DC2D2B"/>
    <w:rsid w:val="00DC2E09"/>
    <w:rsid w:val="00DC330A"/>
    <w:rsid w:val="00DC4A62"/>
    <w:rsid w:val="00DC5BED"/>
    <w:rsid w:val="00DC6559"/>
    <w:rsid w:val="00DC6563"/>
    <w:rsid w:val="00DC6A5E"/>
    <w:rsid w:val="00DC7221"/>
    <w:rsid w:val="00DD0172"/>
    <w:rsid w:val="00DD0761"/>
    <w:rsid w:val="00DD0F62"/>
    <w:rsid w:val="00DD20B7"/>
    <w:rsid w:val="00DD233A"/>
    <w:rsid w:val="00DD254F"/>
    <w:rsid w:val="00DD2820"/>
    <w:rsid w:val="00DD2851"/>
    <w:rsid w:val="00DD28A0"/>
    <w:rsid w:val="00DD54CA"/>
    <w:rsid w:val="00DD57EB"/>
    <w:rsid w:val="00DD5DE3"/>
    <w:rsid w:val="00DD5F50"/>
    <w:rsid w:val="00DD7206"/>
    <w:rsid w:val="00DD7D54"/>
    <w:rsid w:val="00DE04F8"/>
    <w:rsid w:val="00DE069B"/>
    <w:rsid w:val="00DE096C"/>
    <w:rsid w:val="00DE0D01"/>
    <w:rsid w:val="00DE1FFC"/>
    <w:rsid w:val="00DE2D03"/>
    <w:rsid w:val="00DE368D"/>
    <w:rsid w:val="00DE38DF"/>
    <w:rsid w:val="00DE3B47"/>
    <w:rsid w:val="00DE3D20"/>
    <w:rsid w:val="00DE4028"/>
    <w:rsid w:val="00DE43D9"/>
    <w:rsid w:val="00DE4E39"/>
    <w:rsid w:val="00DE6CFB"/>
    <w:rsid w:val="00DE6EC6"/>
    <w:rsid w:val="00DE7017"/>
    <w:rsid w:val="00DE76B9"/>
    <w:rsid w:val="00DE788A"/>
    <w:rsid w:val="00DF0540"/>
    <w:rsid w:val="00DF1356"/>
    <w:rsid w:val="00DF1D9F"/>
    <w:rsid w:val="00DF352D"/>
    <w:rsid w:val="00DF505B"/>
    <w:rsid w:val="00DF631B"/>
    <w:rsid w:val="00DF6598"/>
    <w:rsid w:val="00DF78FB"/>
    <w:rsid w:val="00E005BB"/>
    <w:rsid w:val="00E006CC"/>
    <w:rsid w:val="00E00849"/>
    <w:rsid w:val="00E019D5"/>
    <w:rsid w:val="00E02095"/>
    <w:rsid w:val="00E05350"/>
    <w:rsid w:val="00E05851"/>
    <w:rsid w:val="00E05AD0"/>
    <w:rsid w:val="00E11F9C"/>
    <w:rsid w:val="00E125C6"/>
    <w:rsid w:val="00E162B6"/>
    <w:rsid w:val="00E1739F"/>
    <w:rsid w:val="00E1762B"/>
    <w:rsid w:val="00E179C5"/>
    <w:rsid w:val="00E179DC"/>
    <w:rsid w:val="00E20610"/>
    <w:rsid w:val="00E23C9E"/>
    <w:rsid w:val="00E24AAC"/>
    <w:rsid w:val="00E258BC"/>
    <w:rsid w:val="00E25A90"/>
    <w:rsid w:val="00E25EE0"/>
    <w:rsid w:val="00E25FA3"/>
    <w:rsid w:val="00E30C19"/>
    <w:rsid w:val="00E3116D"/>
    <w:rsid w:val="00E3177A"/>
    <w:rsid w:val="00E322AE"/>
    <w:rsid w:val="00E33882"/>
    <w:rsid w:val="00E3392A"/>
    <w:rsid w:val="00E35E8A"/>
    <w:rsid w:val="00E368C9"/>
    <w:rsid w:val="00E37663"/>
    <w:rsid w:val="00E3787C"/>
    <w:rsid w:val="00E37E61"/>
    <w:rsid w:val="00E43E68"/>
    <w:rsid w:val="00E44556"/>
    <w:rsid w:val="00E44D46"/>
    <w:rsid w:val="00E454E2"/>
    <w:rsid w:val="00E458FF"/>
    <w:rsid w:val="00E46472"/>
    <w:rsid w:val="00E46890"/>
    <w:rsid w:val="00E46E66"/>
    <w:rsid w:val="00E4787F"/>
    <w:rsid w:val="00E50592"/>
    <w:rsid w:val="00E50A96"/>
    <w:rsid w:val="00E50ECC"/>
    <w:rsid w:val="00E51223"/>
    <w:rsid w:val="00E523AE"/>
    <w:rsid w:val="00E52E82"/>
    <w:rsid w:val="00E52F76"/>
    <w:rsid w:val="00E537FF"/>
    <w:rsid w:val="00E53E16"/>
    <w:rsid w:val="00E556FA"/>
    <w:rsid w:val="00E557C1"/>
    <w:rsid w:val="00E565FB"/>
    <w:rsid w:val="00E56885"/>
    <w:rsid w:val="00E56AC9"/>
    <w:rsid w:val="00E56C09"/>
    <w:rsid w:val="00E577BF"/>
    <w:rsid w:val="00E60DC6"/>
    <w:rsid w:val="00E61319"/>
    <w:rsid w:val="00E642A9"/>
    <w:rsid w:val="00E65DDE"/>
    <w:rsid w:val="00E669C4"/>
    <w:rsid w:val="00E66EAD"/>
    <w:rsid w:val="00E6740C"/>
    <w:rsid w:val="00E7030A"/>
    <w:rsid w:val="00E70B6B"/>
    <w:rsid w:val="00E70DF0"/>
    <w:rsid w:val="00E70E21"/>
    <w:rsid w:val="00E70FCB"/>
    <w:rsid w:val="00E71027"/>
    <w:rsid w:val="00E71691"/>
    <w:rsid w:val="00E71D99"/>
    <w:rsid w:val="00E71FB7"/>
    <w:rsid w:val="00E72140"/>
    <w:rsid w:val="00E72466"/>
    <w:rsid w:val="00E725B6"/>
    <w:rsid w:val="00E72E3A"/>
    <w:rsid w:val="00E72ED0"/>
    <w:rsid w:val="00E759AB"/>
    <w:rsid w:val="00E75ACD"/>
    <w:rsid w:val="00E76ADF"/>
    <w:rsid w:val="00E7738F"/>
    <w:rsid w:val="00E81AA1"/>
    <w:rsid w:val="00E821BF"/>
    <w:rsid w:val="00E82563"/>
    <w:rsid w:val="00E835E9"/>
    <w:rsid w:val="00E83A83"/>
    <w:rsid w:val="00E840AA"/>
    <w:rsid w:val="00E85252"/>
    <w:rsid w:val="00E85665"/>
    <w:rsid w:val="00E858C0"/>
    <w:rsid w:val="00E8692D"/>
    <w:rsid w:val="00E87299"/>
    <w:rsid w:val="00E909DF"/>
    <w:rsid w:val="00E90EE0"/>
    <w:rsid w:val="00E92647"/>
    <w:rsid w:val="00E940B0"/>
    <w:rsid w:val="00E950BC"/>
    <w:rsid w:val="00E95510"/>
    <w:rsid w:val="00E95FC7"/>
    <w:rsid w:val="00E9718C"/>
    <w:rsid w:val="00EA120A"/>
    <w:rsid w:val="00EA1480"/>
    <w:rsid w:val="00EA1D4D"/>
    <w:rsid w:val="00EA2ABA"/>
    <w:rsid w:val="00EA2E7A"/>
    <w:rsid w:val="00EA3BAC"/>
    <w:rsid w:val="00EA4A1B"/>
    <w:rsid w:val="00EA4B05"/>
    <w:rsid w:val="00EA5046"/>
    <w:rsid w:val="00EA534F"/>
    <w:rsid w:val="00EA546C"/>
    <w:rsid w:val="00EA5653"/>
    <w:rsid w:val="00EA5B26"/>
    <w:rsid w:val="00EA5B42"/>
    <w:rsid w:val="00EA70FF"/>
    <w:rsid w:val="00EA7911"/>
    <w:rsid w:val="00EA7C36"/>
    <w:rsid w:val="00EB0FDB"/>
    <w:rsid w:val="00EB1EB7"/>
    <w:rsid w:val="00EB264B"/>
    <w:rsid w:val="00EB30C9"/>
    <w:rsid w:val="00EB31F4"/>
    <w:rsid w:val="00EB37BB"/>
    <w:rsid w:val="00EB4370"/>
    <w:rsid w:val="00EB5A71"/>
    <w:rsid w:val="00EB5FD1"/>
    <w:rsid w:val="00EB6D36"/>
    <w:rsid w:val="00EC1311"/>
    <w:rsid w:val="00EC26B0"/>
    <w:rsid w:val="00EC27E1"/>
    <w:rsid w:val="00EC30D6"/>
    <w:rsid w:val="00EC3897"/>
    <w:rsid w:val="00EC3E42"/>
    <w:rsid w:val="00EC3E4C"/>
    <w:rsid w:val="00EC4745"/>
    <w:rsid w:val="00EC4FED"/>
    <w:rsid w:val="00EC5A36"/>
    <w:rsid w:val="00EC6B24"/>
    <w:rsid w:val="00EC7073"/>
    <w:rsid w:val="00EC7600"/>
    <w:rsid w:val="00EC7DAF"/>
    <w:rsid w:val="00ED3388"/>
    <w:rsid w:val="00ED3EB0"/>
    <w:rsid w:val="00ED440C"/>
    <w:rsid w:val="00ED456A"/>
    <w:rsid w:val="00ED5BBA"/>
    <w:rsid w:val="00EE15CE"/>
    <w:rsid w:val="00EE1C69"/>
    <w:rsid w:val="00EE2BC4"/>
    <w:rsid w:val="00EE3159"/>
    <w:rsid w:val="00EE3379"/>
    <w:rsid w:val="00EE52D6"/>
    <w:rsid w:val="00EE6C9E"/>
    <w:rsid w:val="00EE77F7"/>
    <w:rsid w:val="00EE7991"/>
    <w:rsid w:val="00EE7DB4"/>
    <w:rsid w:val="00EF0435"/>
    <w:rsid w:val="00EF11AE"/>
    <w:rsid w:val="00EF1969"/>
    <w:rsid w:val="00EF1D07"/>
    <w:rsid w:val="00EF2589"/>
    <w:rsid w:val="00EF25EC"/>
    <w:rsid w:val="00EF34B9"/>
    <w:rsid w:val="00EF383F"/>
    <w:rsid w:val="00EF4D92"/>
    <w:rsid w:val="00EF5378"/>
    <w:rsid w:val="00EF573C"/>
    <w:rsid w:val="00EF6541"/>
    <w:rsid w:val="00EF6550"/>
    <w:rsid w:val="00F00250"/>
    <w:rsid w:val="00F02693"/>
    <w:rsid w:val="00F02B7B"/>
    <w:rsid w:val="00F03B73"/>
    <w:rsid w:val="00F04175"/>
    <w:rsid w:val="00F054E5"/>
    <w:rsid w:val="00F0678A"/>
    <w:rsid w:val="00F074BF"/>
    <w:rsid w:val="00F077A8"/>
    <w:rsid w:val="00F07B5E"/>
    <w:rsid w:val="00F102CD"/>
    <w:rsid w:val="00F1043C"/>
    <w:rsid w:val="00F1048B"/>
    <w:rsid w:val="00F10951"/>
    <w:rsid w:val="00F10B61"/>
    <w:rsid w:val="00F12FD7"/>
    <w:rsid w:val="00F132A8"/>
    <w:rsid w:val="00F1394D"/>
    <w:rsid w:val="00F142FD"/>
    <w:rsid w:val="00F15947"/>
    <w:rsid w:val="00F177C2"/>
    <w:rsid w:val="00F201B9"/>
    <w:rsid w:val="00F2111F"/>
    <w:rsid w:val="00F217A4"/>
    <w:rsid w:val="00F218B7"/>
    <w:rsid w:val="00F21A48"/>
    <w:rsid w:val="00F236AE"/>
    <w:rsid w:val="00F24978"/>
    <w:rsid w:val="00F24E6F"/>
    <w:rsid w:val="00F250C0"/>
    <w:rsid w:val="00F25928"/>
    <w:rsid w:val="00F25BBC"/>
    <w:rsid w:val="00F25E2F"/>
    <w:rsid w:val="00F26294"/>
    <w:rsid w:val="00F31BDD"/>
    <w:rsid w:val="00F33550"/>
    <w:rsid w:val="00F338E7"/>
    <w:rsid w:val="00F33973"/>
    <w:rsid w:val="00F345D8"/>
    <w:rsid w:val="00F34ED6"/>
    <w:rsid w:val="00F3558C"/>
    <w:rsid w:val="00F35F68"/>
    <w:rsid w:val="00F3765A"/>
    <w:rsid w:val="00F40413"/>
    <w:rsid w:val="00F40E31"/>
    <w:rsid w:val="00F42E3D"/>
    <w:rsid w:val="00F43B23"/>
    <w:rsid w:val="00F4767B"/>
    <w:rsid w:val="00F5030C"/>
    <w:rsid w:val="00F52C95"/>
    <w:rsid w:val="00F5367B"/>
    <w:rsid w:val="00F5387B"/>
    <w:rsid w:val="00F5467E"/>
    <w:rsid w:val="00F54BA5"/>
    <w:rsid w:val="00F54BE0"/>
    <w:rsid w:val="00F54FF0"/>
    <w:rsid w:val="00F57CFE"/>
    <w:rsid w:val="00F60A49"/>
    <w:rsid w:val="00F60F45"/>
    <w:rsid w:val="00F63864"/>
    <w:rsid w:val="00F6407E"/>
    <w:rsid w:val="00F64D06"/>
    <w:rsid w:val="00F664C9"/>
    <w:rsid w:val="00F66D2D"/>
    <w:rsid w:val="00F67FB0"/>
    <w:rsid w:val="00F71596"/>
    <w:rsid w:val="00F7399D"/>
    <w:rsid w:val="00F73E5E"/>
    <w:rsid w:val="00F74C40"/>
    <w:rsid w:val="00F76033"/>
    <w:rsid w:val="00F7618B"/>
    <w:rsid w:val="00F7699A"/>
    <w:rsid w:val="00F80A86"/>
    <w:rsid w:val="00F80C72"/>
    <w:rsid w:val="00F81582"/>
    <w:rsid w:val="00F8252F"/>
    <w:rsid w:val="00F82EE6"/>
    <w:rsid w:val="00F8340D"/>
    <w:rsid w:val="00F8391F"/>
    <w:rsid w:val="00F83B13"/>
    <w:rsid w:val="00F84339"/>
    <w:rsid w:val="00F846A9"/>
    <w:rsid w:val="00F8554C"/>
    <w:rsid w:val="00F856E9"/>
    <w:rsid w:val="00F85F2D"/>
    <w:rsid w:val="00F862D0"/>
    <w:rsid w:val="00F86355"/>
    <w:rsid w:val="00F869A4"/>
    <w:rsid w:val="00F86D4B"/>
    <w:rsid w:val="00F873E4"/>
    <w:rsid w:val="00F905E4"/>
    <w:rsid w:val="00F90909"/>
    <w:rsid w:val="00F91B93"/>
    <w:rsid w:val="00F93B5C"/>
    <w:rsid w:val="00F93F21"/>
    <w:rsid w:val="00F94116"/>
    <w:rsid w:val="00F95126"/>
    <w:rsid w:val="00F95B7B"/>
    <w:rsid w:val="00F95D6A"/>
    <w:rsid w:val="00F962F3"/>
    <w:rsid w:val="00F96371"/>
    <w:rsid w:val="00F96718"/>
    <w:rsid w:val="00F97441"/>
    <w:rsid w:val="00FA04AD"/>
    <w:rsid w:val="00FA19CC"/>
    <w:rsid w:val="00FA1DC6"/>
    <w:rsid w:val="00FA2035"/>
    <w:rsid w:val="00FA296B"/>
    <w:rsid w:val="00FA2C37"/>
    <w:rsid w:val="00FA2C76"/>
    <w:rsid w:val="00FA2EDB"/>
    <w:rsid w:val="00FA41CF"/>
    <w:rsid w:val="00FA467D"/>
    <w:rsid w:val="00FA69A5"/>
    <w:rsid w:val="00FA6B86"/>
    <w:rsid w:val="00FA725E"/>
    <w:rsid w:val="00FA759D"/>
    <w:rsid w:val="00FB1E7A"/>
    <w:rsid w:val="00FB2C32"/>
    <w:rsid w:val="00FB37FF"/>
    <w:rsid w:val="00FB5436"/>
    <w:rsid w:val="00FB57A6"/>
    <w:rsid w:val="00FB5905"/>
    <w:rsid w:val="00FC0D89"/>
    <w:rsid w:val="00FC0FA3"/>
    <w:rsid w:val="00FC10F5"/>
    <w:rsid w:val="00FC1E77"/>
    <w:rsid w:val="00FC41C1"/>
    <w:rsid w:val="00FC4360"/>
    <w:rsid w:val="00FC5E2C"/>
    <w:rsid w:val="00FC6328"/>
    <w:rsid w:val="00FC6FB3"/>
    <w:rsid w:val="00FD0A14"/>
    <w:rsid w:val="00FD0B7B"/>
    <w:rsid w:val="00FD1787"/>
    <w:rsid w:val="00FD20F9"/>
    <w:rsid w:val="00FD2772"/>
    <w:rsid w:val="00FD31FF"/>
    <w:rsid w:val="00FD5E5E"/>
    <w:rsid w:val="00FE00B5"/>
    <w:rsid w:val="00FE027F"/>
    <w:rsid w:val="00FE0C52"/>
    <w:rsid w:val="00FE0D0D"/>
    <w:rsid w:val="00FE2EE5"/>
    <w:rsid w:val="00FE32C0"/>
    <w:rsid w:val="00FE3692"/>
    <w:rsid w:val="00FE49B0"/>
    <w:rsid w:val="00FE5E64"/>
    <w:rsid w:val="00FE6932"/>
    <w:rsid w:val="00FE6F63"/>
    <w:rsid w:val="00FE71B9"/>
    <w:rsid w:val="00FE76F1"/>
    <w:rsid w:val="00FE780A"/>
    <w:rsid w:val="00FF01BC"/>
    <w:rsid w:val="00FF08CF"/>
    <w:rsid w:val="00FF15AD"/>
    <w:rsid w:val="00FF1BB7"/>
    <w:rsid w:val="00FF2778"/>
    <w:rsid w:val="00FF2BC5"/>
    <w:rsid w:val="00FF3188"/>
    <w:rsid w:val="00FF41A7"/>
    <w:rsid w:val="00FF4AE2"/>
    <w:rsid w:val="00FF50FC"/>
    <w:rsid w:val="00FF62A1"/>
    <w:rsid w:val="00FF6828"/>
    <w:rsid w:val="00FF7058"/>
    <w:rsid w:val="00FF738C"/>
    <w:rsid w:val="00FF7B28"/>
    <w:rsid w:val="00FF7DEE"/>
    <w:rsid w:val="038E0087"/>
    <w:rsid w:val="059F7448"/>
    <w:rsid w:val="05A902E4"/>
    <w:rsid w:val="075575B7"/>
    <w:rsid w:val="0842283B"/>
    <w:rsid w:val="0A813900"/>
    <w:rsid w:val="0CC23B1D"/>
    <w:rsid w:val="0D446CBE"/>
    <w:rsid w:val="0D6B5AC3"/>
    <w:rsid w:val="11D50563"/>
    <w:rsid w:val="181ABF9C"/>
    <w:rsid w:val="1AC36C25"/>
    <w:rsid w:val="1B66A411"/>
    <w:rsid w:val="1BE2CA1F"/>
    <w:rsid w:val="1D19344E"/>
    <w:rsid w:val="1D854325"/>
    <w:rsid w:val="1DE3628E"/>
    <w:rsid w:val="2268C843"/>
    <w:rsid w:val="237450D9"/>
    <w:rsid w:val="2773EDED"/>
    <w:rsid w:val="28A47AF3"/>
    <w:rsid w:val="29C56292"/>
    <w:rsid w:val="2CAD1DF3"/>
    <w:rsid w:val="2CFCC592"/>
    <w:rsid w:val="2F944A2B"/>
    <w:rsid w:val="32CA4D5A"/>
    <w:rsid w:val="33CEE4FE"/>
    <w:rsid w:val="381D4657"/>
    <w:rsid w:val="3829C5D2"/>
    <w:rsid w:val="383DA91D"/>
    <w:rsid w:val="38F60616"/>
    <w:rsid w:val="3B35D1DC"/>
    <w:rsid w:val="3B5519C3"/>
    <w:rsid w:val="3B78B1AC"/>
    <w:rsid w:val="3BE0FE49"/>
    <w:rsid w:val="40A12BAE"/>
    <w:rsid w:val="438F16CF"/>
    <w:rsid w:val="43AD4754"/>
    <w:rsid w:val="4834AD8B"/>
    <w:rsid w:val="4A488747"/>
    <w:rsid w:val="4ACE70F9"/>
    <w:rsid w:val="4B0E736D"/>
    <w:rsid w:val="4B8329D4"/>
    <w:rsid w:val="4CAB9051"/>
    <w:rsid w:val="4EDA6623"/>
    <w:rsid w:val="523A1F8A"/>
    <w:rsid w:val="5334E37D"/>
    <w:rsid w:val="58194C36"/>
    <w:rsid w:val="59A69521"/>
    <w:rsid w:val="5A45F844"/>
    <w:rsid w:val="5BA69924"/>
    <w:rsid w:val="5ED68028"/>
    <w:rsid w:val="5FD91738"/>
    <w:rsid w:val="602877F2"/>
    <w:rsid w:val="6075FBA0"/>
    <w:rsid w:val="6688B1B8"/>
    <w:rsid w:val="6739FC19"/>
    <w:rsid w:val="69386116"/>
    <w:rsid w:val="696A1EC3"/>
    <w:rsid w:val="6A99354B"/>
    <w:rsid w:val="6C21B337"/>
    <w:rsid w:val="6F25B79C"/>
    <w:rsid w:val="718BD544"/>
    <w:rsid w:val="756C10DB"/>
    <w:rsid w:val="76D609A4"/>
    <w:rsid w:val="7BB103BB"/>
    <w:rsid w:val="7C627A8D"/>
    <w:rsid w:val="7D360271"/>
    <w:rsid w:val="7ECA1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22CA43E-B50A-4579-9DD3-4E65E84E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E04"/>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60129A"/>
    <w:pPr>
      <w:keepNext/>
      <w:keepLines/>
      <w:widowControl/>
      <w:autoSpaceDE/>
      <w:autoSpaceDN/>
      <w:adjustRightInd/>
      <w:spacing w:before="480" w:line="276" w:lineRule="auto"/>
      <w:outlineLvl w:val="0"/>
    </w:pPr>
    <w:rPr>
      <w:b/>
      <w:bCs/>
      <w:iCs/>
      <w:sz w:val="44"/>
      <w:szCs w:val="44"/>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605347"/>
    <w:pPr>
      <w:keepNext/>
      <w:keepLines/>
      <w:spacing w:before="40"/>
      <w:outlineLvl w:val="3"/>
    </w:pPr>
    <w:rPr>
      <w:rFonts w:eastAsiaTheme="majorEastAsia" w:cstheme="majorBidi"/>
      <w:b/>
      <w:iCs/>
      <w:sz w:val="28"/>
      <w:szCs w:val="28"/>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29A"/>
    <w:rPr>
      <w:b/>
      <w:bCs/>
      <w:iCs/>
      <w:sz w:val="44"/>
      <w:szCs w:val="44"/>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605347"/>
    <w:rPr>
      <w:rFonts w:eastAsiaTheme="majorEastAsia" w:cstheme="majorBidi"/>
      <w:b/>
      <w:iCs/>
      <w:sz w:val="28"/>
      <w:szCs w:val="28"/>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 w:type="table" w:customStyle="1" w:styleId="GridTable41">
    <w:name w:val="Grid Table 41"/>
    <w:basedOn w:val="TableNormal"/>
    <w:next w:val="GridTable4"/>
    <w:uiPriority w:val="49"/>
    <w:rsid w:val="005D711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tion">
    <w:name w:val="Mention"/>
    <w:basedOn w:val="DefaultParagraphFont"/>
    <w:uiPriority w:val="99"/>
    <w:unhideWhenUsed/>
    <w:rsid w:val="005732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9CC022DC1AB2B4CB8F9C42E55EA0D60" ma:contentTypeVersion="4" ma:contentTypeDescription="Create a new document." ma:contentTypeScope="" ma:versionID="5119628898d10db6220941a51c1af87a">
  <xsd:schema xmlns:xsd="http://www.w3.org/2001/XMLSchema" xmlns:xs="http://www.w3.org/2001/XMLSchema" xmlns:p="http://schemas.microsoft.com/office/2006/metadata/properties" xmlns:ns2="493bf9eb-dc93-4c32-824c-d26b0ef11370" targetNamespace="http://schemas.microsoft.com/office/2006/metadata/properties" ma:root="true" ma:fieldsID="588c09f33e72a4d0ba8cbe8991ba5b7f" ns2:_="">
    <xsd:import namespace="493bf9eb-dc93-4c32-824c-d26b0ef11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9eb-dc93-4c32-824c-d26b0ef1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3918C-D364-43EA-8005-A6264BD30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FB1B37-92B7-47FD-ADCE-CD00261B762E}">
  <ds:schemaRefs>
    <ds:schemaRef ds:uri="http://schemas.microsoft.com/sharepoint/v3/contenttype/forms"/>
  </ds:schemaRefs>
</ds:datastoreItem>
</file>

<file path=customXml/itemProps3.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customXml/itemProps4.xml><?xml version="1.0" encoding="utf-8"?>
<ds:datastoreItem xmlns:ds="http://schemas.openxmlformats.org/officeDocument/2006/customXml" ds:itemID="{9763607B-DE00-4868-B26A-23AE5ACE0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9eb-dc93-4c32-824c-d26b0ef11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3647</Words>
  <Characters>20650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24249</CharactersWithSpaces>
  <SharedDoc>false</SharedDoc>
  <HLinks>
    <vt:vector size="72" baseType="variant">
      <vt:variant>
        <vt:i4>1900607</vt:i4>
      </vt:variant>
      <vt:variant>
        <vt:i4>56</vt:i4>
      </vt:variant>
      <vt:variant>
        <vt:i4>0</vt:i4>
      </vt:variant>
      <vt:variant>
        <vt:i4>5</vt:i4>
      </vt:variant>
      <vt:variant>
        <vt:lpwstr/>
      </vt:variant>
      <vt:variant>
        <vt:lpwstr>_Toc119418672</vt:lpwstr>
      </vt:variant>
      <vt:variant>
        <vt:i4>1900607</vt:i4>
      </vt:variant>
      <vt:variant>
        <vt:i4>50</vt:i4>
      </vt:variant>
      <vt:variant>
        <vt:i4>0</vt:i4>
      </vt:variant>
      <vt:variant>
        <vt:i4>5</vt:i4>
      </vt:variant>
      <vt:variant>
        <vt:lpwstr/>
      </vt:variant>
      <vt:variant>
        <vt:lpwstr>_Toc119418671</vt:lpwstr>
      </vt:variant>
      <vt:variant>
        <vt:i4>1900607</vt:i4>
      </vt:variant>
      <vt:variant>
        <vt:i4>44</vt:i4>
      </vt:variant>
      <vt:variant>
        <vt:i4>0</vt:i4>
      </vt:variant>
      <vt:variant>
        <vt:i4>5</vt:i4>
      </vt:variant>
      <vt:variant>
        <vt:lpwstr/>
      </vt:variant>
      <vt:variant>
        <vt:lpwstr>_Toc119418670</vt:lpwstr>
      </vt:variant>
      <vt:variant>
        <vt:i4>1835071</vt:i4>
      </vt:variant>
      <vt:variant>
        <vt:i4>38</vt:i4>
      </vt:variant>
      <vt:variant>
        <vt:i4>0</vt:i4>
      </vt:variant>
      <vt:variant>
        <vt:i4>5</vt:i4>
      </vt:variant>
      <vt:variant>
        <vt:lpwstr/>
      </vt:variant>
      <vt:variant>
        <vt:lpwstr>_Toc119418669</vt:lpwstr>
      </vt:variant>
      <vt:variant>
        <vt:i4>1835071</vt:i4>
      </vt:variant>
      <vt:variant>
        <vt:i4>32</vt:i4>
      </vt:variant>
      <vt:variant>
        <vt:i4>0</vt:i4>
      </vt:variant>
      <vt:variant>
        <vt:i4>5</vt:i4>
      </vt:variant>
      <vt:variant>
        <vt:lpwstr/>
      </vt:variant>
      <vt:variant>
        <vt:lpwstr>_Toc119418668</vt:lpwstr>
      </vt:variant>
      <vt:variant>
        <vt:i4>1835071</vt:i4>
      </vt:variant>
      <vt:variant>
        <vt:i4>26</vt:i4>
      </vt:variant>
      <vt:variant>
        <vt:i4>0</vt:i4>
      </vt:variant>
      <vt:variant>
        <vt:i4>5</vt:i4>
      </vt:variant>
      <vt:variant>
        <vt:lpwstr/>
      </vt:variant>
      <vt:variant>
        <vt:lpwstr>_Toc119418667</vt:lpwstr>
      </vt:variant>
      <vt:variant>
        <vt:i4>1835071</vt:i4>
      </vt:variant>
      <vt:variant>
        <vt:i4>20</vt:i4>
      </vt:variant>
      <vt:variant>
        <vt:i4>0</vt:i4>
      </vt:variant>
      <vt:variant>
        <vt:i4>5</vt:i4>
      </vt:variant>
      <vt:variant>
        <vt:lpwstr/>
      </vt:variant>
      <vt:variant>
        <vt:lpwstr>_Toc119418666</vt:lpwstr>
      </vt:variant>
      <vt:variant>
        <vt:i4>1835071</vt:i4>
      </vt:variant>
      <vt:variant>
        <vt:i4>14</vt:i4>
      </vt:variant>
      <vt:variant>
        <vt:i4>0</vt:i4>
      </vt:variant>
      <vt:variant>
        <vt:i4>5</vt:i4>
      </vt:variant>
      <vt:variant>
        <vt:lpwstr/>
      </vt:variant>
      <vt:variant>
        <vt:lpwstr>_Toc119418665</vt:lpwstr>
      </vt:variant>
      <vt:variant>
        <vt:i4>1835071</vt:i4>
      </vt:variant>
      <vt:variant>
        <vt:i4>8</vt:i4>
      </vt:variant>
      <vt:variant>
        <vt:i4>0</vt:i4>
      </vt:variant>
      <vt:variant>
        <vt:i4>5</vt:i4>
      </vt:variant>
      <vt:variant>
        <vt:lpwstr/>
      </vt:variant>
      <vt:variant>
        <vt:lpwstr>_Toc119418664</vt:lpwstr>
      </vt:variant>
      <vt:variant>
        <vt:i4>1835071</vt:i4>
      </vt:variant>
      <vt:variant>
        <vt:i4>2</vt:i4>
      </vt:variant>
      <vt:variant>
        <vt:i4>0</vt:i4>
      </vt:variant>
      <vt:variant>
        <vt:i4>5</vt:i4>
      </vt:variant>
      <vt:variant>
        <vt:lpwstr/>
      </vt:variant>
      <vt:variant>
        <vt:lpwstr>_Toc119418663</vt:lpwstr>
      </vt:variant>
      <vt:variant>
        <vt:i4>2097243</vt:i4>
      </vt:variant>
      <vt:variant>
        <vt:i4>3</vt:i4>
      </vt:variant>
      <vt:variant>
        <vt:i4>0</vt:i4>
      </vt:variant>
      <vt:variant>
        <vt:i4>5</vt:i4>
      </vt:variant>
      <vt:variant>
        <vt:lpwstr>mailto:Delfin.Adriana@dol.gov</vt:lpwstr>
      </vt:variant>
      <vt:variant>
        <vt:lpwstr/>
      </vt:variant>
      <vt:variant>
        <vt:i4>4522042</vt:i4>
      </vt:variant>
      <vt:variant>
        <vt:i4>0</vt:i4>
      </vt:variant>
      <vt:variant>
        <vt:i4>0</vt:i4>
      </vt:variant>
      <vt:variant>
        <vt:i4>5</vt:i4>
      </vt:variant>
      <vt:variant>
        <vt:lpwstr>mailto:Tipton.Cecil@dol.gov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Tanner, Paul - OSHA</cp:lastModifiedBy>
  <cp:revision>2</cp:revision>
  <cp:lastPrinted>2025-03-04T23:06:00Z</cp:lastPrinted>
  <dcterms:created xsi:type="dcterms:W3CDTF">2025-06-11T15:32:00Z</dcterms:created>
  <dcterms:modified xsi:type="dcterms:W3CDTF">2025-06-11T15:32:00Z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0x01010009CC022DC1AB2B4CB8F9C42E55EA0D60</vt:lpwstr>
  </property>
</Properties>
</file>