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D7AB" w14:textId="150427CE" w:rsidR="000A134A" w:rsidRPr="00832772" w:rsidRDefault="002511E9" w:rsidP="00E44D46">
      <w:pPr>
        <w:pStyle w:val="Heading1"/>
        <w:rPr>
          <w:rFonts w:asciiTheme="minorHAnsi" w:hAnsiTheme="minorHAnsi" w:cstheme="minorHAnsi"/>
        </w:rPr>
      </w:pPr>
      <w:bookmarkStart w:id="0" w:name="_Toc118900169"/>
      <w:bookmarkStart w:id="1" w:name="_Toc118905008"/>
      <w:r w:rsidRPr="00832772">
        <w:rPr>
          <w:rFonts w:asciiTheme="minorHAnsi" w:hAnsiTheme="minorHAnsi" w:cstheme="minorHAnsi"/>
          <w:iCs/>
        </w:rPr>
        <w:t>FY 2</w:t>
      </w:r>
      <w:r w:rsidR="00BD0358" w:rsidRPr="00832772">
        <w:rPr>
          <w:rFonts w:asciiTheme="minorHAnsi" w:hAnsiTheme="minorHAnsi" w:cstheme="minorHAnsi"/>
          <w:iCs/>
        </w:rPr>
        <w:t>0</w:t>
      </w:r>
      <w:r w:rsidR="003B5805" w:rsidRPr="00DD431B">
        <w:rPr>
          <w:rFonts w:asciiTheme="minorHAnsi" w:hAnsiTheme="minorHAnsi" w:cstheme="minorHAnsi"/>
          <w:iCs/>
          <w:color w:val="000000" w:themeColor="text1"/>
        </w:rPr>
        <w:t>24</w:t>
      </w:r>
      <w:r w:rsidR="001C1E47" w:rsidRPr="00832772">
        <w:rPr>
          <w:rFonts w:asciiTheme="minorHAnsi" w:hAnsiTheme="minorHAnsi" w:cstheme="minorHAnsi"/>
          <w:iCs/>
        </w:rPr>
        <w:t xml:space="preserve"> </w:t>
      </w:r>
      <w:r w:rsidR="000A134A" w:rsidRPr="00832772">
        <w:rPr>
          <w:rFonts w:asciiTheme="minorHAnsi" w:hAnsiTheme="minorHAnsi" w:cstheme="minorHAnsi"/>
          <w:iCs/>
        </w:rPr>
        <w:t xml:space="preserve">Follow-up </w:t>
      </w:r>
      <w:r w:rsidR="00626033" w:rsidRPr="00832772">
        <w:rPr>
          <w:rFonts w:asciiTheme="minorHAnsi" w:hAnsiTheme="minorHAnsi" w:cstheme="minorHAnsi"/>
        </w:rPr>
        <w:t>Federal Annual Monitoring</w:t>
      </w:r>
      <w:r w:rsidR="000A134A" w:rsidRPr="00832772">
        <w:rPr>
          <w:rFonts w:asciiTheme="minorHAnsi" w:hAnsiTheme="minorHAnsi" w:cstheme="minorHAnsi"/>
        </w:rPr>
        <w:t xml:space="preserve"> Evaluation (FAME) Report</w:t>
      </w:r>
      <w:bookmarkEnd w:id="0"/>
      <w:bookmarkEnd w:id="1"/>
    </w:p>
    <w:p w14:paraId="5D01BB79" w14:textId="77777777" w:rsidR="000A134A" w:rsidRPr="00832772" w:rsidRDefault="000A134A" w:rsidP="0061177B">
      <w:pPr>
        <w:widowControl/>
        <w:autoSpaceDE/>
        <w:autoSpaceDN/>
        <w:adjustRightInd/>
        <w:rPr>
          <w:rFonts w:asciiTheme="minorHAnsi" w:hAnsiTheme="minorHAnsi" w:cstheme="minorHAnsi"/>
          <w:bCs/>
          <w:iCs/>
        </w:rPr>
      </w:pPr>
    </w:p>
    <w:p w14:paraId="2681F091" w14:textId="77777777" w:rsidR="000A134A" w:rsidRPr="00832772" w:rsidRDefault="000A134A" w:rsidP="007A71AC">
      <w:pPr>
        <w:widowControl/>
        <w:autoSpaceDE/>
        <w:autoSpaceDN/>
        <w:adjustRightInd/>
        <w:jc w:val="center"/>
        <w:rPr>
          <w:rFonts w:asciiTheme="minorHAnsi" w:hAnsiTheme="minorHAnsi" w:cstheme="minorHAnsi"/>
        </w:rPr>
      </w:pPr>
      <w:r w:rsidRPr="00832772">
        <w:rPr>
          <w:rFonts w:asciiTheme="minorHAnsi" w:hAnsiTheme="minorHAnsi" w:cstheme="minorHAnsi"/>
        </w:rPr>
        <w:t xml:space="preserve"> </w:t>
      </w:r>
    </w:p>
    <w:p w14:paraId="58B10E96" w14:textId="77777777" w:rsidR="008B6EB1" w:rsidRPr="008B6EB1" w:rsidRDefault="008B6EB1" w:rsidP="008B6EB1">
      <w:pPr>
        <w:widowControl/>
        <w:autoSpaceDE/>
        <w:autoSpaceDN/>
        <w:adjustRightInd/>
        <w:rPr>
          <w:rFonts w:asciiTheme="minorHAnsi" w:hAnsiTheme="minorHAnsi" w:cstheme="minorHAnsi"/>
          <w:b/>
          <w:bCs/>
          <w:sz w:val="28"/>
          <w:szCs w:val="28"/>
        </w:rPr>
      </w:pPr>
      <w:r w:rsidRPr="008B6EB1">
        <w:rPr>
          <w:rFonts w:asciiTheme="minorHAnsi" w:hAnsiTheme="minorHAnsi" w:cstheme="minorHAnsi"/>
          <w:b/>
          <w:bCs/>
          <w:sz w:val="28"/>
          <w:szCs w:val="28"/>
        </w:rPr>
        <w:t>State of Connecticut</w:t>
      </w:r>
    </w:p>
    <w:p w14:paraId="1B89646A" w14:textId="77777777" w:rsidR="008B6EB1" w:rsidRPr="008B6EB1" w:rsidRDefault="008B6EB1" w:rsidP="008B6EB1">
      <w:pPr>
        <w:widowControl/>
        <w:autoSpaceDE/>
        <w:autoSpaceDN/>
        <w:adjustRightInd/>
        <w:rPr>
          <w:rFonts w:asciiTheme="minorHAnsi" w:hAnsiTheme="minorHAnsi" w:cstheme="minorHAnsi"/>
          <w:b/>
          <w:bCs/>
          <w:sz w:val="28"/>
          <w:szCs w:val="28"/>
        </w:rPr>
      </w:pPr>
      <w:r w:rsidRPr="008B6EB1">
        <w:rPr>
          <w:rFonts w:asciiTheme="minorHAnsi" w:hAnsiTheme="minorHAnsi" w:cstheme="minorHAnsi"/>
          <w:b/>
          <w:bCs/>
          <w:sz w:val="28"/>
          <w:szCs w:val="28"/>
        </w:rPr>
        <w:t>Division of Occupational Safety and Health</w:t>
      </w:r>
    </w:p>
    <w:p w14:paraId="00DDFAC6" w14:textId="77777777" w:rsidR="008B6EB1" w:rsidRPr="008B6EB1" w:rsidRDefault="008B6EB1" w:rsidP="008B6EB1">
      <w:pPr>
        <w:widowControl/>
        <w:autoSpaceDE/>
        <w:autoSpaceDN/>
        <w:adjustRightInd/>
        <w:rPr>
          <w:rFonts w:asciiTheme="minorHAnsi" w:hAnsiTheme="minorHAnsi" w:cstheme="minorHAnsi"/>
          <w:bCs/>
          <w:sz w:val="28"/>
          <w:szCs w:val="28"/>
        </w:rPr>
      </w:pPr>
      <w:r w:rsidRPr="008B6EB1">
        <w:rPr>
          <w:rFonts w:asciiTheme="minorHAnsi" w:hAnsiTheme="minorHAnsi" w:cstheme="minorHAnsi"/>
          <w:b/>
          <w:bCs/>
          <w:sz w:val="28"/>
          <w:szCs w:val="28"/>
        </w:rPr>
        <w:t>(CONN-OSHA)</w:t>
      </w:r>
    </w:p>
    <w:p w14:paraId="61F6BBD2" w14:textId="77777777" w:rsidR="000A134A" w:rsidRPr="00832772" w:rsidRDefault="000A134A" w:rsidP="0061177B">
      <w:pPr>
        <w:widowControl/>
        <w:autoSpaceDE/>
        <w:autoSpaceDN/>
        <w:adjustRightInd/>
        <w:rPr>
          <w:rFonts w:asciiTheme="minorHAnsi" w:hAnsiTheme="minorHAnsi" w:cstheme="minorHAnsi"/>
          <w:b/>
        </w:rPr>
      </w:pPr>
    </w:p>
    <w:p w14:paraId="2A3E5133" w14:textId="77777777" w:rsidR="000A134A" w:rsidRPr="00832772" w:rsidRDefault="000A134A" w:rsidP="0061177B">
      <w:pPr>
        <w:widowControl/>
        <w:autoSpaceDE/>
        <w:autoSpaceDN/>
        <w:adjustRightInd/>
        <w:rPr>
          <w:rFonts w:asciiTheme="minorHAnsi" w:hAnsiTheme="minorHAnsi" w:cstheme="minorHAnsi"/>
          <w:bCs/>
        </w:rPr>
      </w:pPr>
    </w:p>
    <w:p w14:paraId="33BDDAA9" w14:textId="37BFB71B" w:rsidR="000A134A" w:rsidRPr="00832772" w:rsidRDefault="00A842F6" w:rsidP="0061177B">
      <w:pPr>
        <w:widowControl/>
        <w:autoSpaceDE/>
        <w:autoSpaceDN/>
        <w:adjustRightInd/>
        <w:rPr>
          <w:rFonts w:asciiTheme="minorHAnsi" w:hAnsiTheme="minorHAnsi" w:cstheme="minorHAnsi"/>
          <w:bCs/>
        </w:rPr>
      </w:pPr>
      <w:r>
        <w:rPr>
          <w:rFonts w:asciiTheme="minorHAnsi" w:hAnsiTheme="minorHAnsi" w:cstheme="minorHAnsi"/>
          <w:bCs/>
          <w:noProof/>
        </w:rPr>
        <w:drawing>
          <wp:inline distT="0" distB="0" distL="0" distR="0" wp14:anchorId="3EC35BA6" wp14:editId="79585773">
            <wp:extent cx="1676400" cy="1073150"/>
            <wp:effectExtent l="0" t="0" r="0" b="0"/>
            <wp:docPr id="116222923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229237"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073150"/>
                    </a:xfrm>
                    <a:prstGeom prst="rect">
                      <a:avLst/>
                    </a:prstGeom>
                    <a:noFill/>
                  </pic:spPr>
                </pic:pic>
              </a:graphicData>
            </a:graphic>
          </wp:inline>
        </w:drawing>
      </w:r>
    </w:p>
    <w:p w14:paraId="0E828210" w14:textId="77777777" w:rsidR="000A134A" w:rsidRPr="00832772" w:rsidRDefault="000A134A" w:rsidP="0061177B">
      <w:pPr>
        <w:widowControl/>
        <w:autoSpaceDE/>
        <w:autoSpaceDN/>
        <w:adjustRightInd/>
        <w:rPr>
          <w:rFonts w:asciiTheme="minorHAnsi" w:hAnsiTheme="minorHAnsi" w:cstheme="minorHAnsi"/>
          <w:bCs/>
        </w:rPr>
      </w:pPr>
    </w:p>
    <w:p w14:paraId="3FC46738" w14:textId="77777777" w:rsidR="000A134A" w:rsidRPr="00832772" w:rsidRDefault="000A134A" w:rsidP="0061177B">
      <w:pPr>
        <w:widowControl/>
        <w:autoSpaceDE/>
        <w:autoSpaceDN/>
        <w:adjustRightInd/>
        <w:rPr>
          <w:rFonts w:asciiTheme="minorHAnsi" w:hAnsiTheme="minorHAnsi" w:cstheme="minorHAnsi"/>
          <w:b/>
        </w:rPr>
      </w:pPr>
    </w:p>
    <w:p w14:paraId="6CB8AD27" w14:textId="1CBCCFC1" w:rsidR="000A134A" w:rsidRPr="00037DD0" w:rsidRDefault="000A134A" w:rsidP="001C1E47">
      <w:pPr>
        <w:widowControl/>
        <w:tabs>
          <w:tab w:val="left" w:pos="720"/>
          <w:tab w:val="left" w:pos="1440"/>
          <w:tab w:val="left" w:pos="2160"/>
        </w:tabs>
        <w:autoSpaceDE/>
        <w:autoSpaceDN/>
        <w:adjustRightInd/>
        <w:rPr>
          <w:rFonts w:asciiTheme="minorHAnsi" w:eastAsia="Batang" w:hAnsiTheme="minorHAnsi" w:cstheme="minorHAnsi"/>
          <w:b/>
          <w:color w:val="000000" w:themeColor="text1"/>
          <w:sz w:val="28"/>
          <w:szCs w:val="28"/>
        </w:rPr>
      </w:pPr>
      <w:r w:rsidRPr="00037DD0">
        <w:rPr>
          <w:rFonts w:asciiTheme="minorHAnsi" w:eastAsia="Batang" w:hAnsiTheme="minorHAnsi" w:cstheme="minorHAnsi"/>
          <w:b/>
          <w:color w:val="000000" w:themeColor="text1"/>
          <w:sz w:val="28"/>
          <w:szCs w:val="28"/>
        </w:rPr>
        <w:t>Ev</w:t>
      </w:r>
      <w:r w:rsidR="00882F2B" w:rsidRPr="00037DD0">
        <w:rPr>
          <w:rFonts w:asciiTheme="minorHAnsi" w:eastAsia="Batang" w:hAnsiTheme="minorHAnsi" w:cstheme="minorHAnsi"/>
          <w:b/>
          <w:color w:val="000000" w:themeColor="text1"/>
          <w:sz w:val="28"/>
          <w:szCs w:val="28"/>
        </w:rPr>
        <w:t>aluation Period: October 1, 20</w:t>
      </w:r>
      <w:r w:rsidR="00DD431B" w:rsidRPr="00037DD0">
        <w:rPr>
          <w:rFonts w:asciiTheme="minorHAnsi" w:eastAsia="Batang" w:hAnsiTheme="minorHAnsi" w:cstheme="minorHAnsi"/>
          <w:b/>
          <w:color w:val="000000" w:themeColor="text1"/>
          <w:sz w:val="28"/>
          <w:szCs w:val="28"/>
        </w:rPr>
        <w:t>23</w:t>
      </w:r>
      <w:r w:rsidRPr="00037DD0">
        <w:rPr>
          <w:rFonts w:asciiTheme="minorHAnsi" w:eastAsia="Batang" w:hAnsiTheme="minorHAnsi" w:cstheme="minorHAnsi"/>
          <w:b/>
          <w:color w:val="000000" w:themeColor="text1"/>
          <w:sz w:val="28"/>
          <w:szCs w:val="28"/>
        </w:rPr>
        <w:t xml:space="preserve"> –</w:t>
      </w:r>
      <w:r w:rsidR="00882F2B" w:rsidRPr="00037DD0">
        <w:rPr>
          <w:rFonts w:asciiTheme="minorHAnsi" w:eastAsia="Batang" w:hAnsiTheme="minorHAnsi" w:cstheme="minorHAnsi"/>
          <w:b/>
          <w:color w:val="000000" w:themeColor="text1"/>
          <w:sz w:val="28"/>
          <w:szCs w:val="28"/>
        </w:rPr>
        <w:t xml:space="preserve"> September 30, 20</w:t>
      </w:r>
      <w:r w:rsidR="00DD431B" w:rsidRPr="00037DD0">
        <w:rPr>
          <w:rFonts w:asciiTheme="minorHAnsi" w:eastAsia="Batang" w:hAnsiTheme="minorHAnsi" w:cstheme="minorHAnsi"/>
          <w:b/>
          <w:color w:val="000000" w:themeColor="text1"/>
          <w:sz w:val="28"/>
          <w:szCs w:val="28"/>
        </w:rPr>
        <w:t>24</w:t>
      </w:r>
    </w:p>
    <w:p w14:paraId="03D79AE5" w14:textId="77777777" w:rsidR="000A134A" w:rsidRPr="00832772" w:rsidRDefault="000A134A" w:rsidP="007A71AC">
      <w:pPr>
        <w:widowControl/>
        <w:autoSpaceDE/>
        <w:autoSpaceDN/>
        <w:adjustRightInd/>
        <w:jc w:val="center"/>
        <w:rPr>
          <w:rFonts w:asciiTheme="minorHAnsi" w:hAnsiTheme="minorHAnsi" w:cstheme="minorHAnsi"/>
        </w:rPr>
      </w:pPr>
    </w:p>
    <w:p w14:paraId="015E020F" w14:textId="77777777" w:rsidR="000A134A" w:rsidRPr="00832772"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rPr>
      </w:pPr>
    </w:p>
    <w:p w14:paraId="0E81BC24" w14:textId="77777777" w:rsidR="000A134A" w:rsidRPr="00832772"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rPr>
      </w:pPr>
    </w:p>
    <w:p w14:paraId="221B5785" w14:textId="77777777" w:rsidR="000A134A" w:rsidRPr="00832772"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b/>
        </w:rPr>
      </w:pPr>
    </w:p>
    <w:p w14:paraId="02F9F186" w14:textId="77777777" w:rsidR="00A3726D" w:rsidRPr="00A3726D" w:rsidRDefault="00A3726D" w:rsidP="00A3726D">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eastAsia="Batang" w:hAnsiTheme="minorHAnsi" w:cstheme="minorHAnsi"/>
          <w:b/>
        </w:rPr>
      </w:pPr>
      <w:r w:rsidRPr="00A3726D">
        <w:rPr>
          <w:rFonts w:asciiTheme="minorHAnsi" w:eastAsia="Batang" w:hAnsiTheme="minorHAnsi" w:cstheme="minorHAnsi"/>
          <w:b/>
        </w:rPr>
        <w:t>Initial Approval Date:  January 4, 1974</w:t>
      </w:r>
    </w:p>
    <w:p w14:paraId="49B356CE" w14:textId="77777777" w:rsidR="00A3726D" w:rsidRPr="00A3726D" w:rsidRDefault="00A3726D" w:rsidP="00A3726D">
      <w:pPr>
        <w:widowControl/>
        <w:autoSpaceDE/>
        <w:autoSpaceDN/>
        <w:adjustRightInd/>
        <w:rPr>
          <w:rFonts w:asciiTheme="minorHAnsi" w:hAnsiTheme="minorHAnsi" w:cstheme="minorHAnsi"/>
          <w:b/>
        </w:rPr>
      </w:pPr>
      <w:r w:rsidRPr="00A3726D">
        <w:rPr>
          <w:rFonts w:asciiTheme="minorHAnsi" w:hAnsiTheme="minorHAnsi" w:cstheme="minorHAnsi"/>
          <w:b/>
        </w:rPr>
        <w:t>Conversion to State and Local Government Plan: November 3, 1978</w:t>
      </w:r>
    </w:p>
    <w:p w14:paraId="0015EE5D" w14:textId="77777777" w:rsidR="00A3726D" w:rsidRPr="00A3726D" w:rsidRDefault="00A3726D" w:rsidP="00A3726D">
      <w:pPr>
        <w:widowControl/>
        <w:autoSpaceDE/>
        <w:autoSpaceDN/>
        <w:adjustRightInd/>
        <w:rPr>
          <w:rFonts w:asciiTheme="minorHAnsi" w:hAnsiTheme="minorHAnsi" w:cstheme="minorHAnsi"/>
          <w:b/>
        </w:rPr>
      </w:pPr>
      <w:r w:rsidRPr="00A3726D">
        <w:rPr>
          <w:rFonts w:asciiTheme="minorHAnsi" w:hAnsiTheme="minorHAnsi" w:cstheme="minorHAnsi"/>
          <w:b/>
        </w:rPr>
        <w:t>Program Certification Date: August 21, 1986</w:t>
      </w:r>
    </w:p>
    <w:p w14:paraId="646621E0" w14:textId="77777777" w:rsidR="00A3726D" w:rsidRPr="00A3726D" w:rsidRDefault="00A3726D" w:rsidP="00A3726D">
      <w:pPr>
        <w:widowControl/>
        <w:autoSpaceDE/>
        <w:autoSpaceDN/>
        <w:adjustRightInd/>
        <w:rPr>
          <w:rFonts w:asciiTheme="minorHAnsi" w:hAnsiTheme="minorHAnsi" w:cstheme="minorHAnsi"/>
          <w:b/>
        </w:rPr>
      </w:pPr>
    </w:p>
    <w:p w14:paraId="3D2E8224" w14:textId="77777777" w:rsidR="00A3726D" w:rsidRPr="00A3726D" w:rsidRDefault="00A3726D" w:rsidP="00A3726D">
      <w:pPr>
        <w:widowControl/>
        <w:autoSpaceDE/>
        <w:autoSpaceDN/>
        <w:adjustRightInd/>
        <w:jc w:val="center"/>
        <w:rPr>
          <w:rFonts w:asciiTheme="minorHAnsi" w:hAnsiTheme="minorHAnsi" w:cstheme="minorHAnsi"/>
          <w:b/>
        </w:rPr>
      </w:pPr>
    </w:p>
    <w:p w14:paraId="3C43788B" w14:textId="77777777" w:rsidR="00A3726D" w:rsidRPr="00A3726D" w:rsidRDefault="00A3726D" w:rsidP="00A3726D">
      <w:pPr>
        <w:widowControl/>
        <w:tabs>
          <w:tab w:val="right" w:pos="9720"/>
        </w:tabs>
        <w:autoSpaceDE/>
        <w:autoSpaceDN/>
        <w:adjustRightInd/>
        <w:rPr>
          <w:rFonts w:asciiTheme="minorHAnsi" w:hAnsiTheme="minorHAnsi" w:cstheme="minorHAnsi"/>
          <w:b/>
          <w:bCs/>
        </w:rPr>
      </w:pPr>
    </w:p>
    <w:p w14:paraId="037441B2" w14:textId="77777777" w:rsidR="00A3726D" w:rsidRPr="00A3726D" w:rsidRDefault="00A3726D" w:rsidP="00A3726D">
      <w:pPr>
        <w:widowControl/>
        <w:autoSpaceDE/>
        <w:autoSpaceDN/>
        <w:adjustRightInd/>
        <w:rPr>
          <w:rFonts w:asciiTheme="minorHAnsi" w:hAnsiTheme="minorHAnsi" w:cstheme="minorHAnsi"/>
          <w:b/>
        </w:rPr>
      </w:pPr>
      <w:r w:rsidRPr="00A3726D">
        <w:rPr>
          <w:rFonts w:asciiTheme="minorHAnsi" w:hAnsiTheme="minorHAnsi" w:cstheme="minorHAnsi"/>
          <w:b/>
        </w:rPr>
        <w:t>Prepared by:</w:t>
      </w:r>
    </w:p>
    <w:p w14:paraId="1E08EAEF" w14:textId="77777777" w:rsidR="00A3726D" w:rsidRPr="00A3726D" w:rsidRDefault="00A3726D" w:rsidP="00A3726D">
      <w:pPr>
        <w:widowControl/>
        <w:autoSpaceDE/>
        <w:autoSpaceDN/>
        <w:adjustRightInd/>
        <w:rPr>
          <w:rFonts w:asciiTheme="minorHAnsi" w:hAnsiTheme="minorHAnsi" w:cstheme="minorHAnsi"/>
          <w:b/>
        </w:rPr>
      </w:pPr>
      <w:r w:rsidRPr="00A3726D">
        <w:rPr>
          <w:rFonts w:asciiTheme="minorHAnsi" w:hAnsiTheme="minorHAnsi" w:cstheme="minorHAnsi"/>
          <w:b/>
        </w:rPr>
        <w:t xml:space="preserve">U. S. Department of Labor </w:t>
      </w:r>
    </w:p>
    <w:p w14:paraId="57299F2D" w14:textId="77777777" w:rsidR="00A3726D" w:rsidRPr="00A3726D" w:rsidRDefault="00A3726D" w:rsidP="00A3726D">
      <w:pPr>
        <w:widowControl/>
        <w:autoSpaceDE/>
        <w:autoSpaceDN/>
        <w:adjustRightInd/>
        <w:rPr>
          <w:rFonts w:asciiTheme="minorHAnsi" w:hAnsiTheme="minorHAnsi" w:cstheme="minorHAnsi"/>
          <w:b/>
        </w:rPr>
      </w:pPr>
      <w:r w:rsidRPr="00A3726D">
        <w:rPr>
          <w:rFonts w:asciiTheme="minorHAnsi" w:hAnsiTheme="minorHAnsi" w:cstheme="minorHAnsi"/>
          <w:b/>
        </w:rPr>
        <w:t>Occupational Safety and Health Administration</w:t>
      </w:r>
    </w:p>
    <w:p w14:paraId="72CC5EB5" w14:textId="31EFDD2B" w:rsidR="00A3726D" w:rsidRPr="00A3726D" w:rsidRDefault="00A3726D" w:rsidP="00A3726D">
      <w:pPr>
        <w:widowControl/>
        <w:autoSpaceDE/>
        <w:autoSpaceDN/>
        <w:adjustRightInd/>
        <w:rPr>
          <w:rFonts w:asciiTheme="minorHAnsi" w:hAnsiTheme="minorHAnsi" w:cstheme="minorHAnsi"/>
          <w:b/>
        </w:rPr>
      </w:pPr>
      <w:r>
        <w:rPr>
          <w:rFonts w:asciiTheme="minorHAnsi" w:hAnsiTheme="minorHAnsi" w:cstheme="minorHAnsi"/>
          <w:b/>
        </w:rPr>
        <w:t>Boston Region</w:t>
      </w:r>
    </w:p>
    <w:p w14:paraId="255A2C08" w14:textId="77777777" w:rsidR="00A3726D" w:rsidRPr="00A3726D" w:rsidRDefault="00A3726D" w:rsidP="00A3726D">
      <w:pPr>
        <w:widowControl/>
        <w:autoSpaceDE/>
        <w:autoSpaceDN/>
        <w:adjustRightInd/>
        <w:rPr>
          <w:rFonts w:asciiTheme="minorHAnsi" w:hAnsiTheme="minorHAnsi" w:cstheme="minorHAnsi"/>
          <w:b/>
        </w:rPr>
      </w:pPr>
      <w:r w:rsidRPr="00A3726D">
        <w:rPr>
          <w:rFonts w:asciiTheme="minorHAnsi" w:hAnsiTheme="minorHAnsi" w:cstheme="minorHAnsi"/>
          <w:b/>
        </w:rPr>
        <w:t>Boston, Massachusetts</w:t>
      </w:r>
    </w:p>
    <w:p w14:paraId="15F94D47" w14:textId="77777777" w:rsidR="000A134A" w:rsidRPr="00832772" w:rsidRDefault="000A134A" w:rsidP="007A71AC">
      <w:pPr>
        <w:widowControl/>
        <w:autoSpaceDE/>
        <w:autoSpaceDN/>
        <w:adjustRightInd/>
        <w:jc w:val="center"/>
        <w:rPr>
          <w:rFonts w:asciiTheme="minorHAnsi" w:hAnsiTheme="minorHAnsi" w:cstheme="minorHAnsi"/>
          <w:b/>
        </w:rPr>
      </w:pPr>
    </w:p>
    <w:p w14:paraId="18164B2D" w14:textId="77777777" w:rsidR="000A134A" w:rsidRPr="00832772" w:rsidRDefault="000A134A" w:rsidP="007A71AC">
      <w:pPr>
        <w:widowControl/>
        <w:autoSpaceDE/>
        <w:autoSpaceDN/>
        <w:adjustRightInd/>
        <w:jc w:val="center"/>
        <w:rPr>
          <w:rFonts w:asciiTheme="minorHAnsi" w:hAnsiTheme="minorHAnsi" w:cstheme="minorHAnsi"/>
          <w:b/>
        </w:rPr>
      </w:pPr>
    </w:p>
    <w:p w14:paraId="2A4EC189" w14:textId="77777777" w:rsidR="000A134A" w:rsidRPr="00832772" w:rsidRDefault="000A134A" w:rsidP="007A71AC">
      <w:pPr>
        <w:widowControl/>
        <w:autoSpaceDE/>
        <w:autoSpaceDN/>
        <w:adjustRightInd/>
        <w:jc w:val="center"/>
        <w:rPr>
          <w:rFonts w:asciiTheme="minorHAnsi" w:hAnsiTheme="minorHAnsi" w:cstheme="minorHAnsi"/>
          <w:b/>
        </w:rPr>
      </w:pPr>
    </w:p>
    <w:p w14:paraId="2A63637C" w14:textId="77777777" w:rsidR="000A134A" w:rsidRPr="00832772" w:rsidRDefault="000A134A" w:rsidP="007A71AC">
      <w:pPr>
        <w:widowControl/>
        <w:autoSpaceDE/>
        <w:autoSpaceDN/>
        <w:adjustRightInd/>
        <w:jc w:val="center"/>
        <w:rPr>
          <w:rFonts w:asciiTheme="minorHAnsi" w:hAnsiTheme="minorHAnsi" w:cstheme="minorHAnsi"/>
          <w:b/>
        </w:rPr>
      </w:pPr>
    </w:p>
    <w:p w14:paraId="41EC6729" w14:textId="77777777" w:rsidR="000A134A" w:rsidRPr="00832772" w:rsidRDefault="000A134A" w:rsidP="007A71AC">
      <w:pPr>
        <w:widowControl/>
        <w:autoSpaceDE/>
        <w:autoSpaceDN/>
        <w:adjustRightInd/>
        <w:jc w:val="center"/>
        <w:rPr>
          <w:rFonts w:asciiTheme="minorHAnsi" w:hAnsiTheme="minorHAnsi" w:cstheme="minorHAnsi"/>
          <w:b/>
          <w:sz w:val="40"/>
          <w:szCs w:val="40"/>
        </w:rPr>
      </w:pPr>
      <w:r w:rsidRPr="00832772">
        <w:rPr>
          <w:rFonts w:asciiTheme="minorHAnsi" w:hAnsiTheme="minorHAnsi" w:cstheme="minorHAnsi"/>
          <w:noProof/>
        </w:rPr>
        <w:drawing>
          <wp:inline distT="0" distB="0" distL="0" distR="0" wp14:anchorId="1D849888" wp14:editId="02DC62B1">
            <wp:extent cx="1600200" cy="1009650"/>
            <wp:effectExtent l="0" t="0" r="0" b="0"/>
            <wp:docPr id="4" name="Picture 4"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253E64F1" w14:textId="14AA218A" w:rsidR="002A6CAA" w:rsidRPr="002C0ED4" w:rsidRDefault="00F43B23">
      <w:pPr>
        <w:widowControl/>
        <w:autoSpaceDE/>
        <w:autoSpaceDN/>
        <w:adjustRightInd/>
        <w:rPr>
          <w:rFonts w:asciiTheme="minorHAnsi" w:hAnsiTheme="minorHAnsi" w:cstheme="minorHAnsi"/>
          <w:b/>
          <w:sz w:val="40"/>
          <w:szCs w:val="40"/>
        </w:rPr>
      </w:pPr>
      <w:r w:rsidRPr="00832772">
        <w:rPr>
          <w:rFonts w:asciiTheme="minorHAnsi" w:hAnsiTheme="minorHAnsi" w:cstheme="minorHAnsi"/>
          <w:b/>
          <w:sz w:val="40"/>
          <w:szCs w:val="40"/>
        </w:rPr>
        <w:br w:type="page"/>
      </w:r>
      <w:r w:rsidRPr="00832772">
        <w:rPr>
          <w:rFonts w:asciiTheme="minorHAnsi" w:hAnsiTheme="minorHAnsi" w:cstheme="minorHAnsi"/>
          <w:b/>
          <w:sz w:val="28"/>
          <w:szCs w:val="28"/>
        </w:rPr>
        <w:lastRenderedPageBreak/>
        <w:t>Table of Contents</w:t>
      </w:r>
    </w:p>
    <w:p w14:paraId="161B9969" w14:textId="35F1BB15" w:rsidR="000F63C1" w:rsidRPr="00832772" w:rsidRDefault="000F63C1">
      <w:pPr>
        <w:pStyle w:val="TOC2"/>
        <w:tabs>
          <w:tab w:val="left" w:pos="480"/>
          <w:tab w:val="right" w:leader="dot" w:pos="9530"/>
        </w:tabs>
        <w:rPr>
          <w:rFonts w:eastAsiaTheme="minorEastAsia"/>
          <w:b/>
          <w:bCs w:val="0"/>
          <w:noProof/>
          <w:sz w:val="22"/>
          <w:szCs w:val="22"/>
        </w:rPr>
      </w:pPr>
      <w:r w:rsidRPr="00832772">
        <w:fldChar w:fldCharType="begin"/>
      </w:r>
      <w:r w:rsidRPr="00832772">
        <w:instrText xml:space="preserve"> TOC \o "2-3" \h \z \u \t "Level 1,1" </w:instrText>
      </w:r>
      <w:r w:rsidRPr="00832772">
        <w:fldChar w:fldCharType="separate"/>
      </w:r>
      <w:hyperlink w:anchor="_Toc119418663" w:history="1">
        <w:r w:rsidRPr="00832772">
          <w:rPr>
            <w:rStyle w:val="Hyperlink"/>
            <w:rFonts w:cstheme="minorHAnsi"/>
            <w:noProof/>
          </w:rPr>
          <w:t>I.</w:t>
        </w:r>
        <w:r w:rsidRPr="00832772">
          <w:rPr>
            <w:rFonts w:eastAsiaTheme="minorEastAsia"/>
            <w:b/>
            <w:bCs w:val="0"/>
            <w:noProof/>
            <w:sz w:val="22"/>
            <w:szCs w:val="22"/>
          </w:rPr>
          <w:tab/>
        </w:r>
        <w:r w:rsidRPr="00832772">
          <w:rPr>
            <w:rStyle w:val="Hyperlink"/>
            <w:rFonts w:cstheme="minorHAnsi"/>
            <w:noProof/>
          </w:rPr>
          <w:t>Executive Summary</w:t>
        </w:r>
        <w:r w:rsidRPr="00832772">
          <w:rPr>
            <w:noProof/>
            <w:webHidden/>
          </w:rPr>
          <w:tab/>
        </w:r>
        <w:r w:rsidRPr="00832772">
          <w:rPr>
            <w:noProof/>
            <w:webHidden/>
          </w:rPr>
          <w:fldChar w:fldCharType="begin"/>
        </w:r>
        <w:r w:rsidRPr="00832772">
          <w:rPr>
            <w:noProof/>
            <w:webHidden/>
          </w:rPr>
          <w:instrText xml:space="preserve"> PAGEREF _Toc119418663 \h </w:instrText>
        </w:r>
        <w:r w:rsidRPr="00832772">
          <w:rPr>
            <w:noProof/>
            <w:webHidden/>
          </w:rPr>
        </w:r>
        <w:r w:rsidRPr="00832772">
          <w:rPr>
            <w:noProof/>
            <w:webHidden/>
          </w:rPr>
          <w:fldChar w:fldCharType="separate"/>
        </w:r>
        <w:r w:rsidRPr="00832772">
          <w:rPr>
            <w:noProof/>
            <w:webHidden/>
          </w:rPr>
          <w:t>3</w:t>
        </w:r>
        <w:r w:rsidRPr="00832772">
          <w:rPr>
            <w:noProof/>
            <w:webHidden/>
          </w:rPr>
          <w:fldChar w:fldCharType="end"/>
        </w:r>
      </w:hyperlink>
    </w:p>
    <w:p w14:paraId="3BD91ACD" w14:textId="2D9C603D" w:rsidR="000F63C1" w:rsidRPr="00832772" w:rsidRDefault="000F63C1">
      <w:pPr>
        <w:pStyle w:val="TOC2"/>
        <w:tabs>
          <w:tab w:val="left" w:pos="480"/>
          <w:tab w:val="right" w:leader="dot" w:pos="9530"/>
        </w:tabs>
        <w:rPr>
          <w:rFonts w:eastAsiaTheme="minorEastAsia"/>
          <w:b/>
          <w:bCs w:val="0"/>
          <w:noProof/>
          <w:sz w:val="22"/>
          <w:szCs w:val="22"/>
        </w:rPr>
      </w:pPr>
      <w:hyperlink w:anchor="_Toc119418664" w:history="1">
        <w:r w:rsidRPr="00832772">
          <w:rPr>
            <w:rStyle w:val="Hyperlink"/>
            <w:rFonts w:cstheme="minorHAnsi"/>
            <w:noProof/>
          </w:rPr>
          <w:t>II.</w:t>
        </w:r>
        <w:r w:rsidRPr="00832772">
          <w:rPr>
            <w:rFonts w:eastAsiaTheme="minorEastAsia"/>
            <w:b/>
            <w:bCs w:val="0"/>
            <w:noProof/>
            <w:sz w:val="22"/>
            <w:szCs w:val="22"/>
          </w:rPr>
          <w:tab/>
        </w:r>
        <w:r w:rsidRPr="00832772">
          <w:rPr>
            <w:rStyle w:val="Hyperlink"/>
            <w:rFonts w:cstheme="minorHAnsi"/>
            <w:noProof/>
          </w:rPr>
          <w:t>State Plan Background</w:t>
        </w:r>
        <w:r w:rsidRPr="00832772">
          <w:rPr>
            <w:noProof/>
            <w:webHidden/>
          </w:rPr>
          <w:tab/>
        </w:r>
        <w:r w:rsidR="006969F0">
          <w:rPr>
            <w:noProof/>
            <w:webHidden/>
          </w:rPr>
          <w:t>3</w:t>
        </w:r>
      </w:hyperlink>
    </w:p>
    <w:p w14:paraId="12E60A29" w14:textId="0E609E57" w:rsidR="000F63C1" w:rsidRPr="00832772" w:rsidRDefault="000F63C1">
      <w:pPr>
        <w:pStyle w:val="TOC2"/>
        <w:tabs>
          <w:tab w:val="left" w:pos="480"/>
          <w:tab w:val="right" w:leader="dot" w:pos="9530"/>
        </w:tabs>
        <w:rPr>
          <w:rFonts w:eastAsiaTheme="minorEastAsia"/>
          <w:b/>
          <w:bCs w:val="0"/>
          <w:noProof/>
          <w:sz w:val="22"/>
          <w:szCs w:val="22"/>
        </w:rPr>
      </w:pPr>
      <w:hyperlink w:anchor="_Toc119418665" w:history="1">
        <w:r w:rsidRPr="00832772">
          <w:rPr>
            <w:rStyle w:val="Hyperlink"/>
            <w:rFonts w:cstheme="minorHAnsi"/>
            <w:noProof/>
          </w:rPr>
          <w:t>III.</w:t>
        </w:r>
        <w:r w:rsidRPr="00832772">
          <w:rPr>
            <w:rFonts w:eastAsiaTheme="minorEastAsia"/>
            <w:b/>
            <w:bCs w:val="0"/>
            <w:noProof/>
            <w:sz w:val="22"/>
            <w:szCs w:val="22"/>
          </w:rPr>
          <w:tab/>
        </w:r>
        <w:r w:rsidRPr="00832772">
          <w:rPr>
            <w:rStyle w:val="Hyperlink"/>
            <w:rFonts w:cstheme="minorHAnsi"/>
            <w:noProof/>
          </w:rPr>
          <w:t>Assessment of State Plan Progress and Performance</w:t>
        </w:r>
        <w:r w:rsidRPr="00832772">
          <w:rPr>
            <w:noProof/>
            <w:webHidden/>
          </w:rPr>
          <w:tab/>
        </w:r>
        <w:r w:rsidRPr="00832772">
          <w:rPr>
            <w:noProof/>
            <w:webHidden/>
          </w:rPr>
          <w:fldChar w:fldCharType="begin"/>
        </w:r>
        <w:r w:rsidRPr="00832772">
          <w:rPr>
            <w:noProof/>
            <w:webHidden/>
          </w:rPr>
          <w:instrText xml:space="preserve"> PAGEREF _Toc119418665 \h </w:instrText>
        </w:r>
        <w:r w:rsidRPr="00832772">
          <w:rPr>
            <w:noProof/>
            <w:webHidden/>
          </w:rPr>
        </w:r>
        <w:r w:rsidRPr="00832772">
          <w:rPr>
            <w:noProof/>
            <w:webHidden/>
          </w:rPr>
          <w:fldChar w:fldCharType="separate"/>
        </w:r>
        <w:r w:rsidRPr="00832772">
          <w:rPr>
            <w:noProof/>
            <w:webHidden/>
          </w:rPr>
          <w:t>4</w:t>
        </w:r>
        <w:r w:rsidRPr="00832772">
          <w:rPr>
            <w:noProof/>
            <w:webHidden/>
          </w:rPr>
          <w:fldChar w:fldCharType="end"/>
        </w:r>
      </w:hyperlink>
    </w:p>
    <w:p w14:paraId="1E2078A6" w14:textId="79671C8E" w:rsidR="000F63C1" w:rsidRPr="00832772" w:rsidRDefault="000F63C1">
      <w:pPr>
        <w:pStyle w:val="TOC3"/>
        <w:tabs>
          <w:tab w:val="left" w:pos="720"/>
          <w:tab w:val="right" w:leader="dot" w:pos="9530"/>
        </w:tabs>
        <w:rPr>
          <w:rFonts w:eastAsiaTheme="minorEastAsia"/>
          <w:noProof/>
          <w:sz w:val="22"/>
          <w:szCs w:val="22"/>
        </w:rPr>
      </w:pPr>
      <w:hyperlink w:anchor="_Toc119418666" w:history="1">
        <w:r w:rsidRPr="00832772">
          <w:rPr>
            <w:rStyle w:val="Hyperlink"/>
            <w:rFonts w:cstheme="minorHAnsi"/>
            <w:noProof/>
          </w:rPr>
          <w:t>A.</w:t>
        </w:r>
        <w:r w:rsidRPr="00832772">
          <w:rPr>
            <w:rFonts w:eastAsiaTheme="minorEastAsia"/>
            <w:noProof/>
            <w:sz w:val="22"/>
            <w:szCs w:val="22"/>
          </w:rPr>
          <w:tab/>
        </w:r>
        <w:r w:rsidRPr="00832772">
          <w:rPr>
            <w:rStyle w:val="Hyperlink"/>
            <w:rFonts w:cstheme="minorHAnsi"/>
            <w:noProof/>
          </w:rPr>
          <w:t>Data and Methodology</w:t>
        </w:r>
        <w:r w:rsidRPr="00832772">
          <w:rPr>
            <w:noProof/>
            <w:webHidden/>
          </w:rPr>
          <w:tab/>
        </w:r>
        <w:r w:rsidRPr="00832772">
          <w:rPr>
            <w:noProof/>
            <w:webHidden/>
          </w:rPr>
          <w:fldChar w:fldCharType="begin"/>
        </w:r>
        <w:r w:rsidRPr="00832772">
          <w:rPr>
            <w:noProof/>
            <w:webHidden/>
          </w:rPr>
          <w:instrText xml:space="preserve"> PAGEREF _Toc119418666 \h </w:instrText>
        </w:r>
        <w:r w:rsidRPr="00832772">
          <w:rPr>
            <w:noProof/>
            <w:webHidden/>
          </w:rPr>
        </w:r>
        <w:r w:rsidRPr="00832772">
          <w:rPr>
            <w:noProof/>
            <w:webHidden/>
          </w:rPr>
          <w:fldChar w:fldCharType="separate"/>
        </w:r>
        <w:r w:rsidRPr="00832772">
          <w:rPr>
            <w:noProof/>
            <w:webHidden/>
          </w:rPr>
          <w:t>4</w:t>
        </w:r>
        <w:r w:rsidRPr="00832772">
          <w:rPr>
            <w:noProof/>
            <w:webHidden/>
          </w:rPr>
          <w:fldChar w:fldCharType="end"/>
        </w:r>
      </w:hyperlink>
    </w:p>
    <w:p w14:paraId="5EC14328" w14:textId="4D7AB1EE" w:rsidR="000F63C1" w:rsidRPr="00832772" w:rsidRDefault="000F63C1">
      <w:pPr>
        <w:pStyle w:val="TOC3"/>
        <w:tabs>
          <w:tab w:val="left" w:pos="720"/>
          <w:tab w:val="right" w:leader="dot" w:pos="9530"/>
        </w:tabs>
        <w:rPr>
          <w:rFonts w:eastAsiaTheme="minorEastAsia"/>
          <w:noProof/>
          <w:sz w:val="22"/>
          <w:szCs w:val="22"/>
        </w:rPr>
      </w:pPr>
      <w:hyperlink w:anchor="_Toc119418667" w:history="1">
        <w:r w:rsidRPr="00832772">
          <w:rPr>
            <w:rStyle w:val="Hyperlink"/>
            <w:rFonts w:cstheme="minorHAnsi"/>
            <w:noProof/>
          </w:rPr>
          <w:t>B.</w:t>
        </w:r>
        <w:r w:rsidRPr="00832772">
          <w:rPr>
            <w:rFonts w:eastAsiaTheme="minorEastAsia"/>
            <w:noProof/>
            <w:sz w:val="22"/>
            <w:szCs w:val="22"/>
          </w:rPr>
          <w:tab/>
        </w:r>
        <w:r w:rsidRPr="00832772">
          <w:rPr>
            <w:rStyle w:val="Hyperlink"/>
            <w:rFonts w:cstheme="minorHAnsi"/>
            <w:noProof/>
          </w:rPr>
          <w:t>Findings and Observations</w:t>
        </w:r>
        <w:r w:rsidRPr="00832772">
          <w:rPr>
            <w:noProof/>
            <w:webHidden/>
          </w:rPr>
          <w:tab/>
        </w:r>
        <w:r w:rsidR="00500F62">
          <w:rPr>
            <w:noProof/>
            <w:webHidden/>
          </w:rPr>
          <w:t>5</w:t>
        </w:r>
      </w:hyperlink>
    </w:p>
    <w:p w14:paraId="373A40FB" w14:textId="1CEDA2AC" w:rsidR="000F63C1" w:rsidRPr="00832772" w:rsidRDefault="000F63C1">
      <w:pPr>
        <w:pStyle w:val="TOC3"/>
        <w:tabs>
          <w:tab w:val="left" w:pos="720"/>
          <w:tab w:val="right" w:leader="dot" w:pos="9530"/>
        </w:tabs>
        <w:rPr>
          <w:rFonts w:eastAsiaTheme="minorEastAsia"/>
          <w:noProof/>
          <w:sz w:val="22"/>
          <w:szCs w:val="22"/>
        </w:rPr>
      </w:pPr>
      <w:hyperlink w:anchor="_Toc119418668" w:history="1">
        <w:r w:rsidRPr="00832772">
          <w:rPr>
            <w:rStyle w:val="Hyperlink"/>
            <w:rFonts w:cstheme="minorHAnsi"/>
            <w:noProof/>
          </w:rPr>
          <w:t>C.</w:t>
        </w:r>
        <w:r w:rsidRPr="00832772">
          <w:rPr>
            <w:rFonts w:eastAsiaTheme="minorEastAsia"/>
            <w:noProof/>
            <w:sz w:val="22"/>
            <w:szCs w:val="22"/>
          </w:rPr>
          <w:tab/>
        </w:r>
        <w:r w:rsidRPr="00832772">
          <w:rPr>
            <w:rStyle w:val="Hyperlink"/>
            <w:rFonts w:cstheme="minorHAnsi"/>
            <w:noProof/>
          </w:rPr>
          <w:t>State Activity Mandated Measures (SAMM) Highlights</w:t>
        </w:r>
        <w:r w:rsidRPr="00832772">
          <w:rPr>
            <w:noProof/>
            <w:webHidden/>
          </w:rPr>
          <w:tab/>
        </w:r>
      </w:hyperlink>
      <w:r w:rsidR="00823DE9">
        <w:t>6</w:t>
      </w:r>
    </w:p>
    <w:p w14:paraId="50DBA2CB" w14:textId="018241F3" w:rsidR="000F63C1" w:rsidRPr="00832772" w:rsidRDefault="000F63C1">
      <w:pPr>
        <w:pStyle w:val="TOC3"/>
        <w:tabs>
          <w:tab w:val="right" w:leader="dot" w:pos="9530"/>
        </w:tabs>
        <w:rPr>
          <w:rFonts w:eastAsiaTheme="minorEastAsia"/>
          <w:noProof/>
          <w:sz w:val="22"/>
          <w:szCs w:val="22"/>
        </w:rPr>
      </w:pPr>
      <w:hyperlink w:anchor="_Toc119418669" w:history="1">
        <w:r w:rsidRPr="00832772">
          <w:rPr>
            <w:rStyle w:val="Hyperlink"/>
            <w:rFonts w:cstheme="minorHAnsi"/>
            <w:noProof/>
          </w:rPr>
          <w:t>Appendix A – New and Continued Findings and Recommendations</w:t>
        </w:r>
        <w:r w:rsidRPr="00832772">
          <w:rPr>
            <w:noProof/>
            <w:webHidden/>
          </w:rPr>
          <w:tab/>
        </w:r>
      </w:hyperlink>
      <w:r w:rsidR="00823DE9">
        <w:t>7</w:t>
      </w:r>
    </w:p>
    <w:p w14:paraId="150115C6" w14:textId="055B26AB" w:rsidR="000F63C1" w:rsidRPr="00832772" w:rsidRDefault="000F63C1">
      <w:pPr>
        <w:pStyle w:val="TOC3"/>
        <w:tabs>
          <w:tab w:val="right" w:leader="dot" w:pos="9530"/>
        </w:tabs>
        <w:rPr>
          <w:rFonts w:eastAsiaTheme="minorEastAsia"/>
          <w:noProof/>
          <w:sz w:val="22"/>
          <w:szCs w:val="22"/>
        </w:rPr>
      </w:pPr>
      <w:hyperlink w:anchor="_Toc119418670" w:history="1">
        <w:r w:rsidRPr="00832772">
          <w:rPr>
            <w:rStyle w:val="Hyperlink"/>
            <w:rFonts w:cstheme="minorHAnsi"/>
            <w:noProof/>
          </w:rPr>
          <w:t>Appendix B – Observations Subject to Continued Monitoring</w:t>
        </w:r>
        <w:r w:rsidRPr="00832772">
          <w:rPr>
            <w:noProof/>
            <w:webHidden/>
          </w:rPr>
          <w:tab/>
        </w:r>
      </w:hyperlink>
      <w:r w:rsidR="00823DE9">
        <w:t>8</w:t>
      </w:r>
    </w:p>
    <w:p w14:paraId="65AD001B" w14:textId="4250E723" w:rsidR="000F63C1" w:rsidRPr="00832772" w:rsidRDefault="000F63C1">
      <w:pPr>
        <w:pStyle w:val="TOC3"/>
        <w:tabs>
          <w:tab w:val="right" w:leader="dot" w:pos="9530"/>
        </w:tabs>
        <w:rPr>
          <w:rFonts w:eastAsiaTheme="minorEastAsia"/>
          <w:noProof/>
          <w:sz w:val="22"/>
          <w:szCs w:val="22"/>
        </w:rPr>
      </w:pPr>
      <w:hyperlink w:anchor="_Toc119418671" w:history="1">
        <w:r w:rsidRPr="00832772">
          <w:rPr>
            <w:rStyle w:val="Hyperlink"/>
            <w:rFonts w:cstheme="minorHAnsi"/>
            <w:noProof/>
          </w:rPr>
          <w:t>Appendix C - Status of FY 20</w:t>
        </w:r>
        <w:r w:rsidR="00436E9C">
          <w:rPr>
            <w:rStyle w:val="Hyperlink"/>
            <w:rFonts w:cstheme="minorHAnsi"/>
            <w:noProof/>
          </w:rPr>
          <w:t>23</w:t>
        </w:r>
        <w:r w:rsidRPr="00832772">
          <w:rPr>
            <w:rStyle w:val="Hyperlink"/>
            <w:rFonts w:cstheme="minorHAnsi"/>
            <w:noProof/>
          </w:rPr>
          <w:t xml:space="preserve"> Findings and Recommendations</w:t>
        </w:r>
        <w:r w:rsidRPr="00832772">
          <w:rPr>
            <w:noProof/>
            <w:webHidden/>
          </w:rPr>
          <w:tab/>
        </w:r>
        <w:r w:rsidRPr="00832772">
          <w:rPr>
            <w:noProof/>
            <w:webHidden/>
          </w:rPr>
          <w:fldChar w:fldCharType="begin"/>
        </w:r>
        <w:r w:rsidRPr="00832772">
          <w:rPr>
            <w:noProof/>
            <w:webHidden/>
          </w:rPr>
          <w:instrText xml:space="preserve"> PAGEREF _Toc119418671 \h </w:instrText>
        </w:r>
        <w:r w:rsidRPr="00832772">
          <w:rPr>
            <w:noProof/>
            <w:webHidden/>
          </w:rPr>
        </w:r>
        <w:r w:rsidRPr="00832772">
          <w:rPr>
            <w:noProof/>
            <w:webHidden/>
          </w:rPr>
          <w:fldChar w:fldCharType="separate"/>
        </w:r>
        <w:r w:rsidRPr="00832772">
          <w:rPr>
            <w:noProof/>
            <w:webHidden/>
          </w:rPr>
          <w:t>1</w:t>
        </w:r>
        <w:r w:rsidRPr="00832772">
          <w:rPr>
            <w:noProof/>
            <w:webHidden/>
          </w:rPr>
          <w:fldChar w:fldCharType="end"/>
        </w:r>
      </w:hyperlink>
      <w:r w:rsidR="00823DE9">
        <w:t>0</w:t>
      </w:r>
    </w:p>
    <w:p w14:paraId="38E9E7F9" w14:textId="44133EBE" w:rsidR="000F63C1" w:rsidRPr="00832772" w:rsidRDefault="000F63C1">
      <w:pPr>
        <w:pStyle w:val="TOC3"/>
        <w:tabs>
          <w:tab w:val="right" w:leader="dot" w:pos="9530"/>
        </w:tabs>
        <w:rPr>
          <w:rFonts w:eastAsiaTheme="minorEastAsia"/>
          <w:noProof/>
          <w:sz w:val="22"/>
          <w:szCs w:val="22"/>
        </w:rPr>
      </w:pPr>
      <w:hyperlink w:anchor="_Toc119418672" w:history="1">
        <w:r w:rsidRPr="00832772">
          <w:rPr>
            <w:rStyle w:val="Hyperlink"/>
            <w:rFonts w:cstheme="minorHAnsi"/>
            <w:noProof/>
          </w:rPr>
          <w:t>Appendix D – FY 20</w:t>
        </w:r>
        <w:r w:rsidR="00436E9C" w:rsidRPr="008D4883">
          <w:rPr>
            <w:rStyle w:val="Hyperlink"/>
            <w:rFonts w:cstheme="minorHAnsi"/>
            <w:noProof/>
            <w:color w:val="auto"/>
          </w:rPr>
          <w:t xml:space="preserve">24 </w:t>
        </w:r>
        <w:r w:rsidRPr="00832772">
          <w:rPr>
            <w:rStyle w:val="Hyperlink"/>
            <w:rFonts w:cstheme="minorHAnsi"/>
            <w:noProof/>
          </w:rPr>
          <w:t>State Activity Mandated Measures (SAMM) Report</w:t>
        </w:r>
        <w:r w:rsidRPr="00832772">
          <w:rPr>
            <w:noProof/>
            <w:webHidden/>
          </w:rPr>
          <w:tab/>
        </w:r>
        <w:r w:rsidRPr="00832772">
          <w:rPr>
            <w:noProof/>
            <w:webHidden/>
          </w:rPr>
          <w:fldChar w:fldCharType="begin"/>
        </w:r>
        <w:r w:rsidRPr="00832772">
          <w:rPr>
            <w:noProof/>
            <w:webHidden/>
          </w:rPr>
          <w:instrText xml:space="preserve"> PAGEREF _Toc119418672 \h </w:instrText>
        </w:r>
        <w:r w:rsidRPr="00832772">
          <w:rPr>
            <w:noProof/>
            <w:webHidden/>
          </w:rPr>
        </w:r>
        <w:r w:rsidRPr="00832772">
          <w:rPr>
            <w:noProof/>
            <w:webHidden/>
          </w:rPr>
          <w:fldChar w:fldCharType="separate"/>
        </w:r>
        <w:r w:rsidRPr="00832772">
          <w:rPr>
            <w:noProof/>
            <w:webHidden/>
          </w:rPr>
          <w:t>1</w:t>
        </w:r>
        <w:r w:rsidRPr="00832772">
          <w:rPr>
            <w:noProof/>
            <w:webHidden/>
          </w:rPr>
          <w:fldChar w:fldCharType="end"/>
        </w:r>
      </w:hyperlink>
      <w:r w:rsidR="00823DE9">
        <w:t>1</w:t>
      </w:r>
    </w:p>
    <w:p w14:paraId="2A952C03" w14:textId="0074FEF9" w:rsidR="00B823A3" w:rsidRPr="00832772" w:rsidRDefault="000F63C1" w:rsidP="000F63C1">
      <w:pPr>
        <w:rPr>
          <w:rFonts w:asciiTheme="minorHAnsi" w:hAnsiTheme="minorHAnsi" w:cstheme="minorHAnsi"/>
        </w:rPr>
      </w:pPr>
      <w:r w:rsidRPr="00832772">
        <w:rPr>
          <w:rFonts w:asciiTheme="minorHAnsi" w:hAnsiTheme="minorHAnsi" w:cstheme="minorHAnsi"/>
        </w:rPr>
        <w:fldChar w:fldCharType="end"/>
      </w:r>
      <w:r w:rsidR="00B823A3" w:rsidRPr="00832772">
        <w:rPr>
          <w:rFonts w:asciiTheme="minorHAnsi" w:hAnsiTheme="minorHAnsi" w:cstheme="minorHAnsi"/>
        </w:rPr>
        <w:br w:type="page"/>
      </w:r>
    </w:p>
    <w:p w14:paraId="57C8B837" w14:textId="77777777" w:rsidR="000A134A" w:rsidRPr="00832772" w:rsidRDefault="000A134A" w:rsidP="00476C08">
      <w:pPr>
        <w:pStyle w:val="Heading2"/>
      </w:pPr>
      <w:bookmarkStart w:id="2" w:name="_Toc338764303"/>
      <w:bookmarkStart w:id="3" w:name="_Toc118900170"/>
      <w:bookmarkStart w:id="4" w:name="_Toc118905009"/>
      <w:bookmarkStart w:id="5" w:name="_Toc119418663"/>
      <w:r w:rsidRPr="00832772">
        <w:lastRenderedPageBreak/>
        <w:t>Executive Summary</w:t>
      </w:r>
      <w:bookmarkEnd w:id="2"/>
      <w:bookmarkEnd w:id="3"/>
      <w:bookmarkEnd w:id="4"/>
      <w:bookmarkEnd w:id="5"/>
    </w:p>
    <w:p w14:paraId="4A4FF058" w14:textId="77777777" w:rsidR="000A134A" w:rsidRPr="00832772" w:rsidRDefault="000A134A" w:rsidP="00783189">
      <w:pPr>
        <w:widowControl/>
        <w:autoSpaceDE/>
        <w:autoSpaceDN/>
        <w:adjustRightInd/>
        <w:rPr>
          <w:rFonts w:asciiTheme="minorHAnsi" w:hAnsiTheme="minorHAnsi" w:cstheme="minorHAnsi"/>
          <w:b/>
        </w:rPr>
      </w:pPr>
    </w:p>
    <w:p w14:paraId="1415871D" w14:textId="07A64595" w:rsidR="002639D0" w:rsidRPr="00832772" w:rsidRDefault="00050FEB" w:rsidP="00783189">
      <w:pPr>
        <w:rPr>
          <w:rFonts w:asciiTheme="minorHAnsi" w:hAnsiTheme="minorHAnsi" w:cstheme="minorHAnsi"/>
        </w:rPr>
      </w:pPr>
      <w:r w:rsidRPr="00832772">
        <w:rPr>
          <w:rFonts w:asciiTheme="minorHAnsi" w:hAnsiTheme="minorHAnsi" w:cstheme="minorHAnsi"/>
        </w:rPr>
        <w:t xml:space="preserve">The </w:t>
      </w:r>
      <w:r w:rsidR="00F85F2D" w:rsidRPr="00832772">
        <w:rPr>
          <w:rFonts w:asciiTheme="minorHAnsi" w:hAnsiTheme="minorHAnsi" w:cstheme="minorHAnsi"/>
        </w:rPr>
        <w:t xml:space="preserve">primary </w:t>
      </w:r>
      <w:r w:rsidRPr="00832772">
        <w:rPr>
          <w:rFonts w:asciiTheme="minorHAnsi" w:hAnsiTheme="minorHAnsi" w:cstheme="minorHAnsi"/>
        </w:rPr>
        <w:t xml:space="preserve">purpose of this report is to assess the </w:t>
      </w:r>
      <w:r w:rsidR="002F73FB" w:rsidRPr="00832772">
        <w:rPr>
          <w:rFonts w:asciiTheme="minorHAnsi" w:hAnsiTheme="minorHAnsi" w:cstheme="minorHAnsi"/>
        </w:rPr>
        <w:t xml:space="preserve">Connecticut </w:t>
      </w:r>
      <w:r w:rsidRPr="00832772">
        <w:rPr>
          <w:rFonts w:asciiTheme="minorHAnsi" w:hAnsiTheme="minorHAnsi" w:cstheme="minorHAnsi"/>
        </w:rPr>
        <w:t>State Plan’s</w:t>
      </w:r>
      <w:r w:rsidR="002F73FB" w:rsidRPr="00832772">
        <w:rPr>
          <w:rFonts w:asciiTheme="minorHAnsi" w:hAnsiTheme="minorHAnsi" w:cstheme="minorHAnsi"/>
        </w:rPr>
        <w:t xml:space="preserve"> (CONN-OSHA</w:t>
      </w:r>
      <w:r w:rsidR="00DF444A">
        <w:rPr>
          <w:rFonts w:asciiTheme="minorHAnsi" w:hAnsiTheme="minorHAnsi" w:cstheme="minorHAnsi"/>
        </w:rPr>
        <w:t>’s</w:t>
      </w:r>
      <w:r w:rsidR="003F7A6E">
        <w:rPr>
          <w:rFonts w:asciiTheme="minorHAnsi" w:hAnsiTheme="minorHAnsi" w:cstheme="minorHAnsi"/>
        </w:rPr>
        <w:t>)</w:t>
      </w:r>
      <w:r w:rsidRPr="00832772">
        <w:rPr>
          <w:rFonts w:asciiTheme="minorHAnsi" w:hAnsiTheme="minorHAnsi" w:cstheme="minorHAnsi"/>
        </w:rPr>
        <w:t xml:space="preserve"> </w:t>
      </w:r>
      <w:r w:rsidR="00F85F2D" w:rsidRPr="00832772">
        <w:rPr>
          <w:rFonts w:asciiTheme="minorHAnsi" w:hAnsiTheme="minorHAnsi" w:cstheme="minorHAnsi"/>
        </w:rPr>
        <w:t>progress in</w:t>
      </w:r>
      <w:r w:rsidRPr="00832772">
        <w:rPr>
          <w:rFonts w:asciiTheme="minorHAnsi" w:hAnsiTheme="minorHAnsi" w:cstheme="minorHAnsi"/>
        </w:rPr>
        <w:t xml:space="preserve"> Fiscal Year (FY) 20</w:t>
      </w:r>
      <w:r w:rsidR="002F73FB" w:rsidRPr="00832772">
        <w:rPr>
          <w:rFonts w:asciiTheme="minorHAnsi" w:hAnsiTheme="minorHAnsi" w:cstheme="minorHAnsi"/>
        </w:rPr>
        <w:t>24</w:t>
      </w:r>
      <w:r w:rsidRPr="00832772">
        <w:rPr>
          <w:rFonts w:asciiTheme="minorHAnsi" w:hAnsiTheme="minorHAnsi" w:cstheme="minorHAnsi"/>
        </w:rPr>
        <w:t xml:space="preserve"> in resolving outstanding findings from </w:t>
      </w:r>
      <w:r w:rsidR="005837BD" w:rsidRPr="00832772">
        <w:rPr>
          <w:rFonts w:asciiTheme="minorHAnsi" w:hAnsiTheme="minorHAnsi" w:cstheme="minorHAnsi"/>
        </w:rPr>
        <w:t xml:space="preserve">the </w:t>
      </w:r>
      <w:r w:rsidRPr="00832772">
        <w:rPr>
          <w:rFonts w:asciiTheme="minorHAnsi" w:hAnsiTheme="minorHAnsi" w:cstheme="minorHAnsi"/>
        </w:rPr>
        <w:t>previous FY 20</w:t>
      </w:r>
      <w:r w:rsidR="002639D0" w:rsidRPr="00810318">
        <w:rPr>
          <w:rFonts w:asciiTheme="minorHAnsi" w:hAnsiTheme="minorHAnsi" w:cstheme="minorHAnsi"/>
        </w:rPr>
        <w:t>23</w:t>
      </w:r>
      <w:r w:rsidRPr="00832772">
        <w:rPr>
          <w:rFonts w:asciiTheme="minorHAnsi" w:hAnsiTheme="minorHAnsi" w:cstheme="minorHAnsi"/>
          <w:color w:val="0070C0"/>
        </w:rPr>
        <w:t xml:space="preserve"> </w:t>
      </w:r>
      <w:r w:rsidRPr="00832772">
        <w:rPr>
          <w:rFonts w:asciiTheme="minorHAnsi" w:hAnsiTheme="minorHAnsi" w:cstheme="minorHAnsi"/>
        </w:rPr>
        <w:t>Comprehensive F</w:t>
      </w:r>
      <w:r w:rsidR="00626033" w:rsidRPr="00832772">
        <w:rPr>
          <w:rFonts w:asciiTheme="minorHAnsi" w:hAnsiTheme="minorHAnsi" w:cstheme="minorHAnsi"/>
        </w:rPr>
        <w:t>ederal Annual Monitoring Evaluation (F</w:t>
      </w:r>
      <w:r w:rsidRPr="00832772">
        <w:rPr>
          <w:rFonts w:asciiTheme="minorHAnsi" w:hAnsiTheme="minorHAnsi" w:cstheme="minorHAnsi"/>
        </w:rPr>
        <w:t>AME</w:t>
      </w:r>
      <w:r w:rsidR="00626033" w:rsidRPr="00832772">
        <w:rPr>
          <w:rFonts w:asciiTheme="minorHAnsi" w:hAnsiTheme="minorHAnsi" w:cstheme="minorHAnsi"/>
        </w:rPr>
        <w:t>)</w:t>
      </w:r>
      <w:r w:rsidRPr="00832772">
        <w:rPr>
          <w:rFonts w:asciiTheme="minorHAnsi" w:hAnsiTheme="minorHAnsi" w:cstheme="minorHAnsi"/>
        </w:rPr>
        <w:t xml:space="preserve"> Report. </w:t>
      </w:r>
    </w:p>
    <w:p w14:paraId="5E4D3515" w14:textId="5B77CD32" w:rsidR="002639D0" w:rsidRPr="00832772" w:rsidRDefault="003B5805" w:rsidP="00783189">
      <w:pPr>
        <w:rPr>
          <w:rFonts w:asciiTheme="minorHAnsi" w:hAnsiTheme="minorHAnsi" w:cstheme="minorHAnsi"/>
        </w:rPr>
      </w:pPr>
      <w:r w:rsidRPr="00832772">
        <w:rPr>
          <w:rFonts w:asciiTheme="minorHAnsi" w:hAnsiTheme="minorHAnsi" w:cstheme="minorHAnsi"/>
        </w:rPr>
        <w:t xml:space="preserve"> </w:t>
      </w:r>
    </w:p>
    <w:p w14:paraId="48E3528C" w14:textId="10C828A4" w:rsidR="00322041" w:rsidRPr="00832772" w:rsidRDefault="00322041" w:rsidP="00322041">
      <w:pPr>
        <w:rPr>
          <w:rFonts w:asciiTheme="minorHAnsi" w:hAnsiTheme="minorHAnsi" w:cstheme="minorHAnsi"/>
          <w:iCs/>
          <w:color w:val="0070C0"/>
        </w:rPr>
      </w:pPr>
      <w:r w:rsidRPr="00832772">
        <w:rPr>
          <w:rFonts w:asciiTheme="minorHAnsi" w:hAnsiTheme="minorHAnsi" w:cstheme="minorHAnsi"/>
        </w:rPr>
        <w:t xml:space="preserve">In FY 2024, CONN-OSHA continued to operate at a high level. </w:t>
      </w:r>
      <w:r w:rsidR="003B5805" w:rsidRPr="00832772">
        <w:rPr>
          <w:rFonts w:asciiTheme="minorHAnsi" w:hAnsiTheme="minorHAnsi" w:cstheme="minorHAnsi"/>
        </w:rPr>
        <w:t xml:space="preserve"> </w:t>
      </w:r>
      <w:r w:rsidR="00437624">
        <w:rPr>
          <w:rFonts w:asciiTheme="minorHAnsi" w:hAnsiTheme="minorHAnsi" w:cstheme="minorHAnsi"/>
        </w:rPr>
        <w:t xml:space="preserve">No major issues </w:t>
      </w:r>
      <w:r w:rsidR="004054E2">
        <w:rPr>
          <w:rFonts w:asciiTheme="minorHAnsi" w:hAnsiTheme="minorHAnsi" w:cstheme="minorHAnsi"/>
        </w:rPr>
        <w:t xml:space="preserve">or staffing changes arose, </w:t>
      </w:r>
      <w:r w:rsidR="00437624">
        <w:rPr>
          <w:rFonts w:asciiTheme="minorHAnsi" w:hAnsiTheme="minorHAnsi" w:cstheme="minorHAnsi"/>
        </w:rPr>
        <w:t xml:space="preserve">and </w:t>
      </w:r>
      <w:r w:rsidR="00950BAB">
        <w:rPr>
          <w:rFonts w:asciiTheme="minorHAnsi" w:hAnsiTheme="minorHAnsi" w:cstheme="minorHAnsi"/>
        </w:rPr>
        <w:t xml:space="preserve">as in prior years, </w:t>
      </w:r>
      <w:r w:rsidR="00437624">
        <w:rPr>
          <w:rFonts w:asciiTheme="minorHAnsi" w:hAnsiTheme="minorHAnsi" w:cstheme="minorHAnsi"/>
        </w:rPr>
        <w:t>t</w:t>
      </w:r>
      <w:r w:rsidRPr="00832772">
        <w:rPr>
          <w:rFonts w:asciiTheme="minorHAnsi" w:hAnsiTheme="minorHAnsi" w:cstheme="minorHAnsi"/>
        </w:rPr>
        <w:t xml:space="preserve">he State Plan met all performance metrics.  Furthermore, </w:t>
      </w:r>
      <w:r w:rsidR="00FA7D2B">
        <w:rPr>
          <w:rFonts w:asciiTheme="minorHAnsi" w:hAnsiTheme="minorHAnsi" w:cstheme="minorHAnsi"/>
        </w:rPr>
        <w:t>CONN-OSHA</w:t>
      </w:r>
      <w:r w:rsidRPr="00832772">
        <w:rPr>
          <w:rFonts w:asciiTheme="minorHAnsi" w:hAnsiTheme="minorHAnsi" w:cstheme="minorHAnsi"/>
        </w:rPr>
        <w:t xml:space="preserve"> accomplished all long-term goals even though its five-year strategic plan does</w:t>
      </w:r>
      <w:r w:rsidR="00AB01A9">
        <w:rPr>
          <w:rFonts w:asciiTheme="minorHAnsi" w:hAnsiTheme="minorHAnsi" w:cstheme="minorHAnsi"/>
        </w:rPr>
        <w:t xml:space="preserve"> </w:t>
      </w:r>
      <w:r w:rsidRPr="00832772">
        <w:rPr>
          <w:rFonts w:asciiTheme="minorHAnsi" w:hAnsiTheme="minorHAnsi" w:cstheme="minorHAnsi"/>
        </w:rPr>
        <w:t>n</w:t>
      </w:r>
      <w:r w:rsidR="00AB01A9">
        <w:rPr>
          <w:rFonts w:asciiTheme="minorHAnsi" w:hAnsiTheme="minorHAnsi" w:cstheme="minorHAnsi"/>
        </w:rPr>
        <w:t>o</w:t>
      </w:r>
      <w:r w:rsidRPr="00832772">
        <w:rPr>
          <w:rFonts w:asciiTheme="minorHAnsi" w:hAnsiTheme="minorHAnsi" w:cstheme="minorHAnsi"/>
        </w:rPr>
        <w:t>t expire until the end of FY 2025.</w:t>
      </w:r>
    </w:p>
    <w:p w14:paraId="621049CC" w14:textId="77777777" w:rsidR="00322041" w:rsidRPr="00832772" w:rsidRDefault="00322041" w:rsidP="00322041">
      <w:pPr>
        <w:rPr>
          <w:rFonts w:asciiTheme="minorHAnsi" w:hAnsiTheme="minorHAnsi" w:cstheme="minorHAnsi"/>
        </w:rPr>
      </w:pPr>
    </w:p>
    <w:p w14:paraId="25CDE728" w14:textId="4E9BD22D" w:rsidR="00723C94" w:rsidRPr="00723C94" w:rsidRDefault="004B65EC" w:rsidP="00723C94">
      <w:pPr>
        <w:widowControl/>
        <w:autoSpaceDE/>
        <w:autoSpaceDN/>
        <w:adjustRightInd/>
        <w:rPr>
          <w:rFonts w:ascii="Times New Roman" w:hAnsi="Times New Roman"/>
        </w:rPr>
      </w:pPr>
      <w:r>
        <w:rPr>
          <w:rFonts w:asciiTheme="minorHAnsi" w:hAnsiTheme="minorHAnsi" w:cstheme="minorHAnsi"/>
        </w:rPr>
        <w:t>Thus, the State Plan fo</w:t>
      </w:r>
      <w:r w:rsidR="0087732A" w:rsidRPr="00832772">
        <w:rPr>
          <w:rFonts w:asciiTheme="minorHAnsi" w:hAnsiTheme="minorHAnsi" w:cstheme="minorHAnsi"/>
        </w:rPr>
        <w:t xml:space="preserve">cused on </w:t>
      </w:r>
      <w:r w:rsidR="00B368AC">
        <w:rPr>
          <w:rFonts w:asciiTheme="minorHAnsi" w:hAnsiTheme="minorHAnsi" w:cstheme="minorHAnsi"/>
        </w:rPr>
        <w:t xml:space="preserve">the </w:t>
      </w:r>
      <w:r w:rsidR="002C3E0C">
        <w:rPr>
          <w:rFonts w:asciiTheme="minorHAnsi" w:hAnsiTheme="minorHAnsi" w:cstheme="minorHAnsi"/>
        </w:rPr>
        <w:t>four</w:t>
      </w:r>
      <w:r w:rsidR="0087732A" w:rsidRPr="00832772">
        <w:rPr>
          <w:rFonts w:asciiTheme="minorHAnsi" w:hAnsiTheme="minorHAnsi" w:cstheme="minorHAnsi"/>
        </w:rPr>
        <w:t xml:space="preserve"> </w:t>
      </w:r>
      <w:r w:rsidR="006D623C" w:rsidRPr="00832772">
        <w:rPr>
          <w:rFonts w:asciiTheme="minorHAnsi" w:hAnsiTheme="minorHAnsi" w:cstheme="minorHAnsi"/>
        </w:rPr>
        <w:t>observations</w:t>
      </w:r>
      <w:r w:rsidR="00B368AC">
        <w:rPr>
          <w:rFonts w:asciiTheme="minorHAnsi" w:hAnsiTheme="minorHAnsi" w:cstheme="minorHAnsi"/>
        </w:rPr>
        <w:t xml:space="preserve"> from the previous FAME </w:t>
      </w:r>
      <w:r w:rsidR="000D07A0">
        <w:rPr>
          <w:rFonts w:asciiTheme="minorHAnsi" w:hAnsiTheme="minorHAnsi" w:cstheme="minorHAnsi"/>
        </w:rPr>
        <w:t>R</w:t>
      </w:r>
      <w:r w:rsidR="00B368AC">
        <w:rPr>
          <w:rFonts w:asciiTheme="minorHAnsi" w:hAnsiTheme="minorHAnsi" w:cstheme="minorHAnsi"/>
        </w:rPr>
        <w:t>eport</w:t>
      </w:r>
      <w:r w:rsidR="0087732A" w:rsidRPr="00832772">
        <w:rPr>
          <w:rFonts w:asciiTheme="minorHAnsi" w:hAnsiTheme="minorHAnsi" w:cstheme="minorHAnsi"/>
        </w:rPr>
        <w:t xml:space="preserve">, </w:t>
      </w:r>
      <w:r w:rsidR="00C043F2">
        <w:rPr>
          <w:rFonts w:asciiTheme="minorHAnsi" w:hAnsiTheme="minorHAnsi" w:cstheme="minorHAnsi"/>
        </w:rPr>
        <w:t xml:space="preserve">including </w:t>
      </w:r>
      <w:r w:rsidR="0087732A" w:rsidRPr="00832772">
        <w:rPr>
          <w:rFonts w:asciiTheme="minorHAnsi" w:hAnsiTheme="minorHAnsi" w:cstheme="minorHAnsi"/>
        </w:rPr>
        <w:t xml:space="preserve">three </w:t>
      </w:r>
      <w:r w:rsidR="00E2702D">
        <w:rPr>
          <w:rFonts w:asciiTheme="minorHAnsi" w:hAnsiTheme="minorHAnsi" w:cstheme="minorHAnsi"/>
        </w:rPr>
        <w:t xml:space="preserve">pertaining </w:t>
      </w:r>
      <w:r w:rsidR="0087732A" w:rsidRPr="00832772">
        <w:rPr>
          <w:rFonts w:asciiTheme="minorHAnsi" w:hAnsiTheme="minorHAnsi" w:cstheme="minorHAnsi"/>
        </w:rPr>
        <w:t xml:space="preserve">to </w:t>
      </w:r>
      <w:r w:rsidR="000742EB">
        <w:rPr>
          <w:rFonts w:asciiTheme="minorHAnsi" w:hAnsiTheme="minorHAnsi" w:cstheme="minorHAnsi"/>
        </w:rPr>
        <w:t>case</w:t>
      </w:r>
      <w:r w:rsidR="000D07A0">
        <w:rPr>
          <w:rFonts w:asciiTheme="minorHAnsi" w:hAnsiTheme="minorHAnsi" w:cstheme="minorHAnsi"/>
        </w:rPr>
        <w:t xml:space="preserve"> </w:t>
      </w:r>
      <w:r w:rsidR="000742EB">
        <w:rPr>
          <w:rFonts w:asciiTheme="minorHAnsi" w:hAnsiTheme="minorHAnsi" w:cstheme="minorHAnsi"/>
        </w:rPr>
        <w:t>file documentation</w:t>
      </w:r>
      <w:r w:rsidR="0087732A" w:rsidRPr="00832772">
        <w:rPr>
          <w:rFonts w:asciiTheme="minorHAnsi" w:hAnsiTheme="minorHAnsi" w:cstheme="minorHAnsi"/>
        </w:rPr>
        <w:t xml:space="preserve"> and one </w:t>
      </w:r>
      <w:r w:rsidR="00404051">
        <w:rPr>
          <w:rFonts w:asciiTheme="minorHAnsi" w:hAnsiTheme="minorHAnsi" w:cstheme="minorHAnsi"/>
        </w:rPr>
        <w:t>to</w:t>
      </w:r>
      <w:r w:rsidR="0087732A" w:rsidRPr="00832772">
        <w:rPr>
          <w:rFonts w:asciiTheme="minorHAnsi" w:hAnsiTheme="minorHAnsi" w:cstheme="minorHAnsi"/>
        </w:rPr>
        <w:t xml:space="preserve"> </w:t>
      </w:r>
      <w:r w:rsidR="000742EB">
        <w:rPr>
          <w:rFonts w:asciiTheme="minorHAnsi" w:hAnsiTheme="minorHAnsi" w:cstheme="minorHAnsi"/>
        </w:rPr>
        <w:t>abatement.</w:t>
      </w:r>
      <w:r w:rsidR="0087732A" w:rsidRPr="00832772">
        <w:rPr>
          <w:rFonts w:asciiTheme="minorHAnsi" w:hAnsiTheme="minorHAnsi" w:cstheme="minorHAnsi"/>
        </w:rPr>
        <w:t xml:space="preserve"> </w:t>
      </w:r>
      <w:r w:rsidR="00531377">
        <w:rPr>
          <w:rFonts w:asciiTheme="minorHAnsi" w:hAnsiTheme="minorHAnsi" w:cstheme="minorHAnsi"/>
        </w:rPr>
        <w:t xml:space="preserve"> </w:t>
      </w:r>
      <w:r w:rsidR="003451E7">
        <w:rPr>
          <w:rFonts w:asciiTheme="minorHAnsi" w:hAnsiTheme="minorHAnsi" w:cstheme="minorHAnsi"/>
        </w:rPr>
        <w:t>During FY 2024, CONN-OSHA</w:t>
      </w:r>
      <w:r w:rsidR="00655337">
        <w:rPr>
          <w:rFonts w:asciiTheme="minorHAnsi" w:hAnsiTheme="minorHAnsi" w:cstheme="minorHAnsi"/>
        </w:rPr>
        <w:t xml:space="preserve"> took proactive measures to resolve these </w:t>
      </w:r>
      <w:r w:rsidR="00705024">
        <w:rPr>
          <w:rFonts w:asciiTheme="minorHAnsi" w:hAnsiTheme="minorHAnsi" w:cstheme="minorHAnsi"/>
        </w:rPr>
        <w:t>issues</w:t>
      </w:r>
      <w:r w:rsidR="00DB5238">
        <w:rPr>
          <w:rFonts w:asciiTheme="minorHAnsi" w:hAnsiTheme="minorHAnsi" w:cstheme="minorHAnsi"/>
        </w:rPr>
        <w:t xml:space="preserve"> </w:t>
      </w:r>
      <w:r w:rsidR="00655337">
        <w:rPr>
          <w:rFonts w:asciiTheme="minorHAnsi" w:hAnsiTheme="minorHAnsi" w:cstheme="minorHAnsi"/>
        </w:rPr>
        <w:t xml:space="preserve">by reaching out to </w:t>
      </w:r>
      <w:r w:rsidR="003C06A1">
        <w:rPr>
          <w:rFonts w:asciiTheme="minorHAnsi" w:hAnsiTheme="minorHAnsi" w:cstheme="minorHAnsi"/>
        </w:rPr>
        <w:t xml:space="preserve">one of OSHA’s </w:t>
      </w:r>
      <w:r w:rsidR="003451E7">
        <w:rPr>
          <w:rFonts w:asciiTheme="minorHAnsi" w:hAnsiTheme="minorHAnsi" w:cstheme="minorHAnsi"/>
        </w:rPr>
        <w:t>assistant area director</w:t>
      </w:r>
      <w:r w:rsidR="00291806">
        <w:rPr>
          <w:rFonts w:asciiTheme="minorHAnsi" w:hAnsiTheme="minorHAnsi" w:cstheme="minorHAnsi"/>
        </w:rPr>
        <w:t xml:space="preserve">s </w:t>
      </w:r>
      <w:r w:rsidR="005336ED">
        <w:rPr>
          <w:rFonts w:asciiTheme="minorHAnsi" w:hAnsiTheme="minorHAnsi" w:cstheme="minorHAnsi"/>
        </w:rPr>
        <w:t xml:space="preserve">for </w:t>
      </w:r>
      <w:r w:rsidR="00341AED">
        <w:rPr>
          <w:rFonts w:asciiTheme="minorHAnsi" w:hAnsiTheme="minorHAnsi" w:cstheme="minorHAnsi"/>
        </w:rPr>
        <w:t>refresher</w:t>
      </w:r>
      <w:r w:rsidR="00BE3D19">
        <w:rPr>
          <w:rFonts w:asciiTheme="minorHAnsi" w:hAnsiTheme="minorHAnsi" w:cstheme="minorHAnsi"/>
        </w:rPr>
        <w:t xml:space="preserve"> training.</w:t>
      </w:r>
      <w:r w:rsidR="005336ED">
        <w:rPr>
          <w:rFonts w:asciiTheme="minorHAnsi" w:hAnsiTheme="minorHAnsi" w:cstheme="minorHAnsi"/>
        </w:rPr>
        <w:t xml:space="preserve"> </w:t>
      </w:r>
      <w:r w:rsidR="00F80137">
        <w:rPr>
          <w:rFonts w:asciiTheme="minorHAnsi" w:hAnsiTheme="minorHAnsi" w:cstheme="minorHAnsi"/>
        </w:rPr>
        <w:t xml:space="preserve"> However, </w:t>
      </w:r>
      <w:r w:rsidR="00723C94" w:rsidRPr="00723C94">
        <w:rPr>
          <w:rFonts w:asciiTheme="minorHAnsi" w:hAnsiTheme="minorHAnsi" w:cstheme="minorHAnsi"/>
        </w:rPr>
        <w:t xml:space="preserve">a case file review is necessary to fully evaluate performance </w:t>
      </w:r>
      <w:r w:rsidR="003B3EEF">
        <w:rPr>
          <w:rFonts w:asciiTheme="minorHAnsi" w:hAnsiTheme="minorHAnsi" w:cstheme="minorHAnsi"/>
        </w:rPr>
        <w:t xml:space="preserve">on these </w:t>
      </w:r>
      <w:r w:rsidR="00705024">
        <w:rPr>
          <w:rFonts w:asciiTheme="minorHAnsi" w:hAnsiTheme="minorHAnsi" w:cstheme="minorHAnsi"/>
        </w:rPr>
        <w:t>observations</w:t>
      </w:r>
      <w:r w:rsidR="00625806">
        <w:rPr>
          <w:rFonts w:asciiTheme="minorHAnsi" w:hAnsiTheme="minorHAnsi" w:cstheme="minorHAnsi"/>
        </w:rPr>
        <w:t>;</w:t>
      </w:r>
      <w:r w:rsidR="00723C94" w:rsidRPr="00723C94">
        <w:rPr>
          <w:rFonts w:asciiTheme="minorHAnsi" w:hAnsiTheme="minorHAnsi" w:cstheme="minorHAnsi"/>
        </w:rPr>
        <w:t xml:space="preserve"> </w:t>
      </w:r>
      <w:r w:rsidR="00F80137">
        <w:rPr>
          <w:rFonts w:asciiTheme="minorHAnsi" w:hAnsiTheme="minorHAnsi" w:cstheme="minorHAnsi"/>
        </w:rPr>
        <w:t>therefore</w:t>
      </w:r>
      <w:r w:rsidR="00625806">
        <w:rPr>
          <w:rFonts w:asciiTheme="minorHAnsi" w:hAnsiTheme="minorHAnsi" w:cstheme="minorHAnsi"/>
        </w:rPr>
        <w:t>,</w:t>
      </w:r>
      <w:r w:rsidR="00F80137">
        <w:rPr>
          <w:rFonts w:asciiTheme="minorHAnsi" w:hAnsiTheme="minorHAnsi" w:cstheme="minorHAnsi"/>
        </w:rPr>
        <w:t xml:space="preserve"> </w:t>
      </w:r>
      <w:r w:rsidR="00723C94" w:rsidRPr="00723C94">
        <w:rPr>
          <w:rFonts w:asciiTheme="minorHAnsi" w:hAnsiTheme="minorHAnsi" w:cstheme="minorHAnsi"/>
        </w:rPr>
        <w:t>all four have been continued in this report.</w:t>
      </w:r>
    </w:p>
    <w:p w14:paraId="7F0DAF95" w14:textId="6729B0A3" w:rsidR="009964B4" w:rsidRPr="009964B4" w:rsidRDefault="009964B4" w:rsidP="009964B4">
      <w:pPr>
        <w:widowControl/>
        <w:autoSpaceDE/>
        <w:autoSpaceDN/>
        <w:adjustRightInd/>
        <w:rPr>
          <w:rFonts w:asciiTheme="minorHAnsi" w:hAnsiTheme="minorHAnsi" w:cstheme="minorHAnsi"/>
        </w:rPr>
      </w:pPr>
    </w:p>
    <w:p w14:paraId="6A7D671B" w14:textId="24D6792E" w:rsidR="00783189" w:rsidRPr="00832772" w:rsidRDefault="00937AED" w:rsidP="00783189">
      <w:pPr>
        <w:widowControl/>
        <w:autoSpaceDE/>
        <w:autoSpaceDN/>
        <w:adjustRightInd/>
        <w:rPr>
          <w:rFonts w:asciiTheme="minorHAnsi" w:hAnsiTheme="minorHAnsi" w:cstheme="minorHAnsi"/>
        </w:rPr>
      </w:pPr>
      <w:r w:rsidRPr="009964B4">
        <w:rPr>
          <w:rFonts w:asciiTheme="minorHAnsi" w:hAnsiTheme="minorHAnsi" w:cstheme="minorHAnsi"/>
        </w:rPr>
        <w:t xml:space="preserve"> </w:t>
      </w:r>
    </w:p>
    <w:p w14:paraId="67E95E6F" w14:textId="6755D6C3" w:rsidR="000A134A" w:rsidRPr="00832772" w:rsidRDefault="001E71BA" w:rsidP="00476C08">
      <w:pPr>
        <w:pStyle w:val="Heading2"/>
      </w:pPr>
      <w:bookmarkStart w:id="6" w:name="_Toc118900171"/>
      <w:bookmarkStart w:id="7" w:name="_Toc118905010"/>
      <w:bookmarkStart w:id="8" w:name="_Toc119418664"/>
      <w:r w:rsidRPr="00832772">
        <w:t>State Plan Background</w:t>
      </w:r>
      <w:bookmarkEnd w:id="6"/>
      <w:bookmarkEnd w:id="7"/>
      <w:bookmarkEnd w:id="8"/>
    </w:p>
    <w:p w14:paraId="01DA9BB0" w14:textId="77777777" w:rsidR="00B80F58" w:rsidRPr="00832772" w:rsidRDefault="00B80F58" w:rsidP="00B80F58">
      <w:pPr>
        <w:rPr>
          <w:rFonts w:asciiTheme="minorHAnsi" w:hAnsiTheme="minorHAnsi" w:cstheme="minorHAnsi"/>
        </w:rPr>
      </w:pPr>
    </w:p>
    <w:p w14:paraId="1DF2D336" w14:textId="4ADADA05" w:rsidR="003F26BF" w:rsidRPr="00832772" w:rsidRDefault="003F26BF" w:rsidP="003F26BF">
      <w:pPr>
        <w:widowControl/>
        <w:rPr>
          <w:rFonts w:asciiTheme="minorHAnsi" w:hAnsiTheme="minorHAnsi" w:cstheme="minorHAnsi"/>
          <w:color w:val="000000"/>
        </w:rPr>
      </w:pPr>
      <w:r w:rsidRPr="00832772">
        <w:rPr>
          <w:rFonts w:asciiTheme="minorHAnsi" w:hAnsiTheme="minorHAnsi" w:cstheme="minorHAnsi"/>
          <w:color w:val="000000"/>
        </w:rPr>
        <w:t xml:space="preserve">CONN-OSHA became operational on January 4, 1974, and covered the private sector and state and local government.  It operated effectively in that manner until 1977 when the Connecticut State Labor Council sponsored a bill in the state legislature to restrict enforcement of Connecticut's safety and health program to state and local government only.  The bill was enacted with an effective date of June 30, 1978.  Connecticut’s previously approved 18(b) Plan was withdrawn on October 2, 1978, and officially converted to a State and Local Government Only State Plan on November 3, 1978. </w:t>
      </w:r>
    </w:p>
    <w:p w14:paraId="079D7E3C" w14:textId="77777777" w:rsidR="003F26BF" w:rsidRPr="00832772" w:rsidRDefault="003F26BF" w:rsidP="003F26BF">
      <w:pPr>
        <w:widowControl/>
        <w:rPr>
          <w:rFonts w:asciiTheme="minorHAnsi" w:hAnsiTheme="minorHAnsi" w:cstheme="minorHAnsi"/>
          <w:color w:val="000000"/>
        </w:rPr>
      </w:pPr>
    </w:p>
    <w:p w14:paraId="40007F71" w14:textId="48EACB35" w:rsidR="003F26BF" w:rsidRPr="00832772" w:rsidRDefault="003F26BF" w:rsidP="003F26BF">
      <w:pPr>
        <w:widowControl/>
        <w:rPr>
          <w:rFonts w:asciiTheme="minorHAnsi" w:hAnsiTheme="minorHAnsi" w:cstheme="minorHAnsi"/>
          <w:color w:val="000000"/>
        </w:rPr>
      </w:pPr>
      <w:bookmarkStart w:id="9" w:name="_Hlk160780995"/>
      <w:r w:rsidRPr="00832772">
        <w:rPr>
          <w:rFonts w:asciiTheme="minorHAnsi" w:hAnsiTheme="minorHAnsi" w:cstheme="minorHAnsi"/>
          <w:color w:val="000000"/>
        </w:rPr>
        <w:t xml:space="preserve">In August 1986, CONN-OSHA </w:t>
      </w:r>
      <w:bookmarkEnd w:id="9"/>
      <w:r w:rsidRPr="00832772">
        <w:rPr>
          <w:rFonts w:asciiTheme="minorHAnsi" w:hAnsiTheme="minorHAnsi" w:cstheme="minorHAnsi"/>
          <w:color w:val="000000"/>
        </w:rPr>
        <w:t xml:space="preserve">was officially recognized by the U.S. Department of Labor as having completed all structural and developmental aspects of its approved State and Local Government Only State Plan, giving CONN-OSHA the distinction of being the first State and Local Government Only State Plan in the nation.  CONN-OSHA is administered by the State of Connecticut, Department of Labor under the leadership of the Commissioner of Labor.  </w:t>
      </w:r>
      <w:r w:rsidRPr="00832772">
        <w:rPr>
          <w:rFonts w:asciiTheme="minorHAnsi" w:hAnsiTheme="minorHAnsi" w:cstheme="minorHAnsi"/>
        </w:rPr>
        <w:t>In FY 2023, CONN-OSHA covered approximately 6</w:t>
      </w:r>
      <w:r w:rsidR="007162DF" w:rsidRPr="00832772">
        <w:rPr>
          <w:rFonts w:asciiTheme="minorHAnsi" w:hAnsiTheme="minorHAnsi" w:cstheme="minorHAnsi"/>
        </w:rPr>
        <w:t>3,024</w:t>
      </w:r>
      <w:r w:rsidRPr="00832772">
        <w:rPr>
          <w:rFonts w:asciiTheme="minorHAnsi" w:hAnsiTheme="minorHAnsi" w:cstheme="minorHAnsi"/>
        </w:rPr>
        <w:t xml:space="preserve"> state government workers and 1</w:t>
      </w:r>
      <w:r w:rsidR="00C2685C" w:rsidRPr="00832772">
        <w:rPr>
          <w:rFonts w:asciiTheme="minorHAnsi" w:hAnsiTheme="minorHAnsi" w:cstheme="minorHAnsi"/>
        </w:rPr>
        <w:t>41,208</w:t>
      </w:r>
      <w:r w:rsidRPr="00832772">
        <w:rPr>
          <w:rFonts w:asciiTheme="minorHAnsi" w:hAnsiTheme="minorHAnsi" w:cstheme="minorHAnsi"/>
        </w:rPr>
        <w:t xml:space="preserve"> local government workers.</w:t>
      </w:r>
      <w:r w:rsidRPr="00832772">
        <w:rPr>
          <w:rFonts w:asciiTheme="minorHAnsi" w:hAnsiTheme="minorHAnsi" w:cstheme="minorHAnsi"/>
          <w:b/>
          <w:sz w:val="32"/>
          <w:szCs w:val="32"/>
          <w:vertAlign w:val="superscript"/>
        </w:rPr>
        <w:footnoteReference w:id="1"/>
      </w:r>
    </w:p>
    <w:p w14:paraId="6E25DC01" w14:textId="77777777" w:rsidR="003F26BF" w:rsidRPr="00832772" w:rsidRDefault="003F26BF" w:rsidP="003F26BF">
      <w:pPr>
        <w:widowControl/>
        <w:rPr>
          <w:rFonts w:asciiTheme="minorHAnsi" w:hAnsiTheme="minorHAnsi" w:cstheme="minorHAnsi"/>
          <w:color w:val="000000"/>
        </w:rPr>
      </w:pPr>
    </w:p>
    <w:p w14:paraId="3D75F6EB" w14:textId="77777777" w:rsidR="003F26BF" w:rsidRPr="00832772" w:rsidRDefault="003F26BF" w:rsidP="003F26BF">
      <w:pPr>
        <w:widowControl/>
        <w:rPr>
          <w:rFonts w:asciiTheme="minorHAnsi" w:hAnsiTheme="minorHAnsi" w:cstheme="minorHAnsi"/>
          <w:color w:val="000000"/>
        </w:rPr>
      </w:pPr>
      <w:r w:rsidRPr="00832772">
        <w:rPr>
          <w:rFonts w:asciiTheme="minorHAnsi" w:hAnsiTheme="minorHAnsi" w:cstheme="minorHAnsi"/>
          <w:color w:val="000000"/>
        </w:rPr>
        <w:t xml:space="preserve">The State Plan operates out of a state office building located in Wethersfield, Connecticut.  CONN-OSHA adopts and enforces safety and health standards and provides </w:t>
      </w:r>
      <w:r w:rsidRPr="00832772">
        <w:rPr>
          <w:rFonts w:asciiTheme="minorHAnsi" w:hAnsiTheme="minorHAnsi" w:cstheme="minorHAnsi"/>
        </w:rPr>
        <w:t xml:space="preserve">consultation and outreach services to the state and local government workforce.  </w:t>
      </w:r>
      <w:r w:rsidRPr="00832772">
        <w:rPr>
          <w:rFonts w:asciiTheme="minorHAnsi" w:hAnsiTheme="minorHAnsi" w:cstheme="minorHAnsi"/>
          <w:color w:val="000000"/>
        </w:rPr>
        <w:t xml:space="preserve">The Connecticut Occupational </w:t>
      </w:r>
      <w:r w:rsidRPr="00832772">
        <w:rPr>
          <w:rFonts w:asciiTheme="minorHAnsi" w:hAnsiTheme="minorHAnsi" w:cstheme="minorHAnsi"/>
          <w:color w:val="000000"/>
        </w:rPr>
        <w:lastRenderedPageBreak/>
        <w:t>Safety and Health Review Commission hears and rules on appeals from citations, notifications, and penalties issued by CONN-OSHA.</w:t>
      </w:r>
    </w:p>
    <w:p w14:paraId="718E6637" w14:textId="77777777" w:rsidR="003F26BF" w:rsidRPr="00832772" w:rsidRDefault="003F26BF" w:rsidP="003F26BF">
      <w:pPr>
        <w:widowControl/>
        <w:rPr>
          <w:rFonts w:asciiTheme="minorHAnsi" w:hAnsiTheme="minorHAnsi" w:cstheme="minorHAnsi"/>
          <w:color w:val="000000"/>
        </w:rPr>
      </w:pPr>
    </w:p>
    <w:p w14:paraId="7EF44BCE" w14:textId="0E232217" w:rsidR="003F26BF" w:rsidRPr="00832772" w:rsidRDefault="003F26BF" w:rsidP="003F26BF">
      <w:pPr>
        <w:widowControl/>
        <w:rPr>
          <w:rFonts w:asciiTheme="minorHAnsi" w:hAnsiTheme="minorHAnsi" w:cstheme="minorHAnsi"/>
          <w:color w:val="000000"/>
        </w:rPr>
      </w:pPr>
      <w:r w:rsidRPr="00832772">
        <w:rPr>
          <w:rFonts w:asciiTheme="minorHAnsi" w:hAnsiTheme="minorHAnsi" w:cstheme="minorHAnsi"/>
          <w:color w:val="000000"/>
        </w:rPr>
        <w:t>CONN-OSHA is staffed with a director, program manager, six compliance safety and health officers (CSHOs), two 23(g) consultants</w:t>
      </w:r>
      <w:r w:rsidR="000F400A">
        <w:rPr>
          <w:rFonts w:asciiTheme="minorHAnsi" w:hAnsiTheme="minorHAnsi" w:cstheme="minorHAnsi"/>
          <w:color w:val="000000"/>
        </w:rPr>
        <w:t>,</w:t>
      </w:r>
      <w:r w:rsidRPr="00832772">
        <w:rPr>
          <w:rFonts w:asciiTheme="minorHAnsi" w:hAnsiTheme="minorHAnsi" w:cstheme="minorHAnsi"/>
          <w:color w:val="000000"/>
        </w:rPr>
        <w:t xml:space="preserve"> and two compliance assistance specialists.  The Connecticut Department of Labor operates a Workplace Anti-Retaliation Program covering state and local government workers pursuant to the Connecticut Occupational Safety and Health Act of 1973 (Chapter 571, Sections 31-367 through 31-385).  Attorneys who administer the Workplace Anti-Retaliation Program are employed by the Legal Division, a separate division within the Connecticut Department of Labor.  </w:t>
      </w:r>
    </w:p>
    <w:p w14:paraId="7D0D198A" w14:textId="77777777" w:rsidR="003F26BF" w:rsidRPr="00832772" w:rsidRDefault="003F26BF" w:rsidP="003F26BF">
      <w:pPr>
        <w:widowControl/>
        <w:rPr>
          <w:rFonts w:asciiTheme="minorHAnsi" w:hAnsiTheme="minorHAnsi" w:cstheme="minorHAnsi"/>
          <w:color w:val="000000"/>
        </w:rPr>
      </w:pPr>
    </w:p>
    <w:p w14:paraId="7A99BF23" w14:textId="282D5490" w:rsidR="003F26BF" w:rsidRPr="00832772" w:rsidRDefault="003F26BF" w:rsidP="003F26BF">
      <w:pPr>
        <w:widowControl/>
        <w:rPr>
          <w:rFonts w:asciiTheme="minorHAnsi" w:hAnsiTheme="minorHAnsi" w:cstheme="minorHAnsi"/>
          <w:color w:val="000000" w:themeColor="text1"/>
        </w:rPr>
      </w:pPr>
      <w:r w:rsidRPr="00C3253A">
        <w:rPr>
          <w:rFonts w:asciiTheme="minorHAnsi" w:hAnsiTheme="minorHAnsi" w:cstheme="minorHAnsi"/>
          <w:color w:val="000000" w:themeColor="text1"/>
        </w:rPr>
        <w:t>Based on FY 202</w:t>
      </w:r>
      <w:r w:rsidR="00C3253A">
        <w:rPr>
          <w:rFonts w:asciiTheme="minorHAnsi" w:hAnsiTheme="minorHAnsi" w:cstheme="minorHAnsi"/>
          <w:color w:val="000000" w:themeColor="text1"/>
        </w:rPr>
        <w:t>4</w:t>
      </w:r>
      <w:r w:rsidRPr="00C3253A">
        <w:rPr>
          <w:rFonts w:asciiTheme="minorHAnsi" w:hAnsiTheme="minorHAnsi" w:cstheme="minorHAnsi"/>
          <w:color w:val="000000" w:themeColor="text1"/>
        </w:rPr>
        <w:t xml:space="preserve"> financial close-out forms, the State Plan’s total funding was $2,86</w:t>
      </w:r>
      <w:r w:rsidR="00C31BE0">
        <w:rPr>
          <w:rFonts w:asciiTheme="minorHAnsi" w:hAnsiTheme="minorHAnsi" w:cstheme="minorHAnsi"/>
          <w:color w:val="000000" w:themeColor="text1"/>
        </w:rPr>
        <w:t>7</w:t>
      </w:r>
      <w:r w:rsidRPr="00C3253A">
        <w:rPr>
          <w:rFonts w:asciiTheme="minorHAnsi" w:hAnsiTheme="minorHAnsi" w:cstheme="minorHAnsi"/>
          <w:color w:val="000000" w:themeColor="text1"/>
        </w:rPr>
        <w:t>,</w:t>
      </w:r>
      <w:r w:rsidR="00C31BE0">
        <w:rPr>
          <w:rFonts w:asciiTheme="minorHAnsi" w:hAnsiTheme="minorHAnsi" w:cstheme="minorHAnsi"/>
          <w:color w:val="000000" w:themeColor="text1"/>
        </w:rPr>
        <w:t>076</w:t>
      </w:r>
      <w:r w:rsidRPr="00C3253A">
        <w:rPr>
          <w:rFonts w:asciiTheme="minorHAnsi" w:hAnsiTheme="minorHAnsi" w:cstheme="minorHAnsi"/>
          <w:color w:val="000000" w:themeColor="text1"/>
        </w:rPr>
        <w:t>.  In FY 202</w:t>
      </w:r>
      <w:r w:rsidR="00C31BE0">
        <w:rPr>
          <w:rFonts w:asciiTheme="minorHAnsi" w:hAnsiTheme="minorHAnsi" w:cstheme="minorHAnsi"/>
          <w:color w:val="000000" w:themeColor="text1"/>
        </w:rPr>
        <w:t>4</w:t>
      </w:r>
      <w:r w:rsidRPr="00C3253A">
        <w:rPr>
          <w:rFonts w:asciiTheme="minorHAnsi" w:hAnsiTheme="minorHAnsi" w:cstheme="minorHAnsi"/>
          <w:color w:val="000000" w:themeColor="text1"/>
        </w:rPr>
        <w:t>, CONN-OSHA’s federal award was $</w:t>
      </w:r>
      <w:r w:rsidR="004A2B1F">
        <w:rPr>
          <w:rFonts w:asciiTheme="minorHAnsi" w:hAnsiTheme="minorHAnsi" w:cstheme="minorHAnsi"/>
          <w:color w:val="000000" w:themeColor="text1"/>
        </w:rPr>
        <w:t xml:space="preserve">931,116. </w:t>
      </w:r>
      <w:r w:rsidRPr="00C3253A">
        <w:rPr>
          <w:rFonts w:asciiTheme="minorHAnsi" w:hAnsiTheme="minorHAnsi" w:cstheme="minorHAnsi"/>
          <w:color w:val="000000" w:themeColor="text1"/>
        </w:rPr>
        <w:t xml:space="preserve"> The State Plan matched the federal award and contributed an additional $</w:t>
      </w:r>
      <w:r w:rsidR="004A2B1F">
        <w:rPr>
          <w:rFonts w:asciiTheme="minorHAnsi" w:hAnsiTheme="minorHAnsi" w:cstheme="minorHAnsi"/>
          <w:color w:val="000000" w:themeColor="text1"/>
        </w:rPr>
        <w:t>1,</w:t>
      </w:r>
      <w:r w:rsidR="00EF7F46">
        <w:rPr>
          <w:rFonts w:asciiTheme="minorHAnsi" w:hAnsiTheme="minorHAnsi" w:cstheme="minorHAnsi"/>
          <w:color w:val="000000" w:themeColor="text1"/>
        </w:rPr>
        <w:t>004,844</w:t>
      </w:r>
      <w:r w:rsidR="004A2B1F">
        <w:rPr>
          <w:rFonts w:asciiTheme="minorHAnsi" w:hAnsiTheme="minorHAnsi" w:cstheme="minorHAnsi"/>
          <w:color w:val="000000" w:themeColor="text1"/>
        </w:rPr>
        <w:t xml:space="preserve">. </w:t>
      </w:r>
      <w:r w:rsidRPr="00C3253A">
        <w:rPr>
          <w:rFonts w:asciiTheme="minorHAnsi" w:hAnsiTheme="minorHAnsi" w:cstheme="minorHAnsi"/>
          <w:color w:val="000000" w:themeColor="text1"/>
        </w:rPr>
        <w:t xml:space="preserve"> In summary, OSHA contributed $</w:t>
      </w:r>
      <w:r w:rsidR="004A2B1F">
        <w:rPr>
          <w:rFonts w:asciiTheme="minorHAnsi" w:hAnsiTheme="minorHAnsi" w:cstheme="minorHAnsi"/>
          <w:color w:val="000000" w:themeColor="text1"/>
        </w:rPr>
        <w:t>931,116</w:t>
      </w:r>
      <w:r w:rsidR="005D4CEB">
        <w:rPr>
          <w:rFonts w:asciiTheme="minorHAnsi" w:hAnsiTheme="minorHAnsi" w:cstheme="minorHAnsi"/>
          <w:color w:val="000000" w:themeColor="text1"/>
        </w:rPr>
        <w:t>,</w:t>
      </w:r>
      <w:r w:rsidR="004A2B1F">
        <w:rPr>
          <w:rFonts w:asciiTheme="minorHAnsi" w:hAnsiTheme="minorHAnsi" w:cstheme="minorHAnsi"/>
          <w:color w:val="000000" w:themeColor="text1"/>
        </w:rPr>
        <w:t xml:space="preserve"> </w:t>
      </w:r>
      <w:r w:rsidRPr="00C3253A">
        <w:rPr>
          <w:rFonts w:asciiTheme="minorHAnsi" w:hAnsiTheme="minorHAnsi" w:cstheme="minorHAnsi"/>
          <w:color w:val="000000" w:themeColor="text1"/>
        </w:rPr>
        <w:t>and CONN-OSHA contributed $1,</w:t>
      </w:r>
      <w:r w:rsidR="00CB3311">
        <w:rPr>
          <w:rFonts w:asciiTheme="minorHAnsi" w:hAnsiTheme="minorHAnsi" w:cstheme="minorHAnsi"/>
          <w:color w:val="000000" w:themeColor="text1"/>
        </w:rPr>
        <w:t>935,</w:t>
      </w:r>
      <w:r w:rsidR="00E9237B">
        <w:rPr>
          <w:rFonts w:asciiTheme="minorHAnsi" w:hAnsiTheme="minorHAnsi" w:cstheme="minorHAnsi"/>
          <w:color w:val="000000" w:themeColor="text1"/>
        </w:rPr>
        <w:t>9</w:t>
      </w:r>
      <w:r w:rsidR="00CB3311">
        <w:rPr>
          <w:rFonts w:asciiTheme="minorHAnsi" w:hAnsiTheme="minorHAnsi" w:cstheme="minorHAnsi"/>
          <w:color w:val="000000" w:themeColor="text1"/>
        </w:rPr>
        <w:t xml:space="preserve">60 </w:t>
      </w:r>
      <w:r w:rsidRPr="00C3253A">
        <w:rPr>
          <w:rFonts w:asciiTheme="minorHAnsi" w:hAnsiTheme="minorHAnsi" w:cstheme="minorHAnsi"/>
          <w:color w:val="000000" w:themeColor="text1"/>
        </w:rPr>
        <w:t>($</w:t>
      </w:r>
      <w:r w:rsidR="00EF7F46">
        <w:rPr>
          <w:rFonts w:asciiTheme="minorHAnsi" w:hAnsiTheme="minorHAnsi" w:cstheme="minorHAnsi"/>
          <w:color w:val="000000" w:themeColor="text1"/>
        </w:rPr>
        <w:t>931,116</w:t>
      </w:r>
      <w:r w:rsidRPr="00C3253A">
        <w:rPr>
          <w:rFonts w:asciiTheme="minorHAnsi" w:hAnsiTheme="minorHAnsi" w:cstheme="minorHAnsi"/>
          <w:color w:val="000000" w:themeColor="text1"/>
        </w:rPr>
        <w:t xml:space="preserve"> plus $</w:t>
      </w:r>
      <w:r w:rsidR="00EF7F46">
        <w:rPr>
          <w:rFonts w:asciiTheme="minorHAnsi" w:hAnsiTheme="minorHAnsi" w:cstheme="minorHAnsi"/>
          <w:color w:val="000000" w:themeColor="text1"/>
        </w:rPr>
        <w:t>1,004,844</w:t>
      </w:r>
      <w:r w:rsidRPr="00C3253A">
        <w:rPr>
          <w:rFonts w:asciiTheme="minorHAnsi" w:hAnsiTheme="minorHAnsi" w:cstheme="minorHAnsi"/>
          <w:color w:val="000000" w:themeColor="text1"/>
        </w:rPr>
        <w:t>) to the State Plan’s total funding.</w:t>
      </w:r>
      <w:r w:rsidRPr="00832772">
        <w:rPr>
          <w:rFonts w:asciiTheme="minorHAnsi" w:hAnsiTheme="minorHAnsi" w:cstheme="minorHAnsi"/>
          <w:color w:val="000000" w:themeColor="text1"/>
        </w:rPr>
        <w:t xml:space="preserve"> </w:t>
      </w:r>
    </w:p>
    <w:p w14:paraId="7746933A" w14:textId="77777777" w:rsidR="003F26BF" w:rsidRPr="00832772" w:rsidRDefault="003F26BF" w:rsidP="003F26BF">
      <w:pPr>
        <w:rPr>
          <w:rFonts w:asciiTheme="minorHAnsi" w:hAnsiTheme="minorHAnsi" w:cstheme="minorHAnsi"/>
        </w:rPr>
      </w:pPr>
    </w:p>
    <w:p w14:paraId="68FBAFD2" w14:textId="1F75C0F2" w:rsidR="00781312" w:rsidRPr="00832772" w:rsidRDefault="00781312" w:rsidP="00783189">
      <w:pPr>
        <w:widowControl/>
        <w:autoSpaceDE/>
        <w:autoSpaceDN/>
        <w:adjustRightInd/>
        <w:contextualSpacing/>
        <w:rPr>
          <w:rFonts w:asciiTheme="minorHAnsi" w:hAnsiTheme="minorHAnsi" w:cstheme="minorHAnsi"/>
          <w:b/>
        </w:rPr>
      </w:pPr>
      <w:r w:rsidRPr="00832772">
        <w:rPr>
          <w:rFonts w:asciiTheme="minorHAnsi" w:hAnsiTheme="minorHAnsi" w:cstheme="minorHAnsi"/>
          <w:b/>
        </w:rPr>
        <w:t>New Issues</w:t>
      </w:r>
    </w:p>
    <w:p w14:paraId="31C9964D" w14:textId="77777777" w:rsidR="00C2685C" w:rsidRPr="00832772" w:rsidRDefault="00C2685C" w:rsidP="00783189">
      <w:pPr>
        <w:widowControl/>
        <w:autoSpaceDE/>
        <w:autoSpaceDN/>
        <w:adjustRightInd/>
        <w:contextualSpacing/>
        <w:rPr>
          <w:rFonts w:asciiTheme="minorHAnsi" w:hAnsiTheme="minorHAnsi" w:cstheme="minorHAnsi"/>
          <w:b/>
        </w:rPr>
      </w:pPr>
    </w:p>
    <w:p w14:paraId="64AAF228" w14:textId="163238FD" w:rsidR="00C2685C" w:rsidRPr="00832772" w:rsidRDefault="00C2685C" w:rsidP="00783189">
      <w:pPr>
        <w:widowControl/>
        <w:autoSpaceDE/>
        <w:autoSpaceDN/>
        <w:adjustRightInd/>
        <w:contextualSpacing/>
        <w:rPr>
          <w:rFonts w:asciiTheme="minorHAnsi" w:hAnsiTheme="minorHAnsi" w:cstheme="minorHAnsi"/>
          <w:bCs/>
        </w:rPr>
      </w:pPr>
      <w:r w:rsidRPr="00832772">
        <w:rPr>
          <w:rFonts w:asciiTheme="minorHAnsi" w:hAnsiTheme="minorHAnsi" w:cstheme="minorHAnsi"/>
          <w:bCs/>
        </w:rPr>
        <w:t>None.</w:t>
      </w:r>
    </w:p>
    <w:p w14:paraId="1A950952" w14:textId="77777777" w:rsidR="00781312" w:rsidRPr="00832772" w:rsidRDefault="00781312" w:rsidP="00783189">
      <w:pPr>
        <w:ind w:left="720"/>
        <w:contextualSpacing/>
        <w:rPr>
          <w:rFonts w:asciiTheme="minorHAnsi" w:hAnsiTheme="minorHAnsi" w:cstheme="minorHAnsi"/>
          <w:sz w:val="28"/>
          <w:szCs w:val="28"/>
        </w:rPr>
      </w:pPr>
    </w:p>
    <w:p w14:paraId="4D45CF2E" w14:textId="77777777" w:rsidR="00780E29" w:rsidRPr="00832772" w:rsidRDefault="00780E29" w:rsidP="00783189">
      <w:pPr>
        <w:widowControl/>
        <w:autoSpaceDE/>
        <w:autoSpaceDN/>
        <w:adjustRightInd/>
        <w:rPr>
          <w:rFonts w:asciiTheme="minorHAnsi" w:hAnsiTheme="minorHAnsi" w:cstheme="minorHAnsi"/>
          <w:iCs/>
        </w:rPr>
      </w:pPr>
    </w:p>
    <w:p w14:paraId="0A29FCDE" w14:textId="40051B71" w:rsidR="00054900" w:rsidRPr="00832772" w:rsidRDefault="00054900" w:rsidP="00476C08">
      <w:pPr>
        <w:pStyle w:val="Heading2"/>
      </w:pPr>
      <w:bookmarkStart w:id="10" w:name="_Toc118900172"/>
      <w:bookmarkStart w:id="11" w:name="_Toc118905011"/>
      <w:bookmarkStart w:id="12" w:name="_Toc119418665"/>
      <w:r w:rsidRPr="00832772">
        <w:t xml:space="preserve">Assessment of State Plan </w:t>
      </w:r>
      <w:r w:rsidR="001E2FBB" w:rsidRPr="00832772">
        <w:t xml:space="preserve">Progress and </w:t>
      </w:r>
      <w:r w:rsidRPr="00832772">
        <w:t>Performance</w:t>
      </w:r>
      <w:bookmarkEnd w:id="10"/>
      <w:bookmarkEnd w:id="11"/>
      <w:bookmarkEnd w:id="12"/>
    </w:p>
    <w:p w14:paraId="07D68C5F" w14:textId="77777777" w:rsidR="00054900" w:rsidRPr="00832772" w:rsidRDefault="00054900" w:rsidP="00783189">
      <w:pPr>
        <w:widowControl/>
        <w:autoSpaceDE/>
        <w:autoSpaceDN/>
        <w:adjustRightInd/>
        <w:rPr>
          <w:rFonts w:asciiTheme="minorHAnsi" w:hAnsiTheme="minorHAnsi" w:cstheme="minorHAnsi"/>
        </w:rPr>
      </w:pPr>
    </w:p>
    <w:p w14:paraId="4CD3C312" w14:textId="77777777" w:rsidR="000A134A" w:rsidRPr="00832772" w:rsidRDefault="000A134A" w:rsidP="0061362E">
      <w:pPr>
        <w:pStyle w:val="Heading3"/>
      </w:pPr>
      <w:bookmarkStart w:id="13" w:name="_Toc118900173"/>
      <w:bookmarkStart w:id="14" w:name="_Toc118905012"/>
      <w:bookmarkStart w:id="15" w:name="_Toc119418666"/>
      <w:r w:rsidRPr="00832772">
        <w:t>Data and Methodology</w:t>
      </w:r>
      <w:bookmarkEnd w:id="13"/>
      <w:bookmarkEnd w:id="14"/>
      <w:bookmarkEnd w:id="15"/>
    </w:p>
    <w:p w14:paraId="72EF69F8" w14:textId="77777777" w:rsidR="000A134A" w:rsidRPr="00832772" w:rsidRDefault="000A134A" w:rsidP="00783189">
      <w:pPr>
        <w:widowControl/>
        <w:autoSpaceDE/>
        <w:autoSpaceDN/>
        <w:adjustRightInd/>
        <w:ind w:left="1440"/>
        <w:rPr>
          <w:rFonts w:asciiTheme="minorHAnsi" w:hAnsiTheme="minorHAnsi" w:cstheme="minorHAnsi"/>
          <w:bCs/>
        </w:rPr>
      </w:pPr>
    </w:p>
    <w:p w14:paraId="3EEE3A69" w14:textId="77777777" w:rsidR="005504BC" w:rsidRPr="00832772" w:rsidRDefault="000A134A" w:rsidP="00783189">
      <w:pPr>
        <w:widowControl/>
        <w:autoSpaceDE/>
        <w:autoSpaceDN/>
        <w:adjustRightInd/>
        <w:rPr>
          <w:rFonts w:asciiTheme="minorHAnsi" w:hAnsiTheme="minorHAnsi" w:cstheme="minorHAnsi"/>
          <w:bCs/>
        </w:rPr>
      </w:pPr>
      <w:r w:rsidRPr="00832772">
        <w:rPr>
          <w:rFonts w:asciiTheme="minorHAnsi" w:hAnsiTheme="minorHAnsi" w:cstheme="minorHAnsi"/>
          <w:bCs/>
        </w:rPr>
        <w:t>OSHA has established a two-year cycle for the FAME process.  This is the follow-up year</w:t>
      </w:r>
      <w:r w:rsidR="005E3EFB" w:rsidRPr="00832772">
        <w:rPr>
          <w:rFonts w:asciiTheme="minorHAnsi" w:hAnsiTheme="minorHAnsi" w:cstheme="minorHAnsi"/>
          <w:bCs/>
        </w:rPr>
        <w:t>,</w:t>
      </w:r>
      <w:r w:rsidRPr="00832772">
        <w:rPr>
          <w:rFonts w:asciiTheme="minorHAnsi" w:hAnsiTheme="minorHAnsi" w:cstheme="minorHAnsi"/>
          <w:bCs/>
        </w:rPr>
        <w:t xml:space="preserve"> and as such</w:t>
      </w:r>
      <w:r w:rsidR="005E3EFB" w:rsidRPr="00832772">
        <w:rPr>
          <w:rFonts w:asciiTheme="minorHAnsi" w:hAnsiTheme="minorHAnsi" w:cstheme="minorHAnsi"/>
          <w:bCs/>
        </w:rPr>
        <w:t>,</w:t>
      </w:r>
      <w:r w:rsidRPr="00832772">
        <w:rPr>
          <w:rFonts w:asciiTheme="minorHAnsi" w:hAnsiTheme="minorHAnsi" w:cstheme="minorHAnsi"/>
          <w:bCs/>
        </w:rPr>
        <w:t xml:space="preserve"> OSHA did not perform </w:t>
      </w:r>
      <w:r w:rsidR="00957E7E" w:rsidRPr="00832772">
        <w:rPr>
          <w:rFonts w:asciiTheme="minorHAnsi" w:hAnsiTheme="minorHAnsi" w:cstheme="minorHAnsi"/>
          <w:bCs/>
        </w:rPr>
        <w:t>an on</w:t>
      </w:r>
      <w:r w:rsidR="00DC6559" w:rsidRPr="00832772">
        <w:rPr>
          <w:rFonts w:asciiTheme="minorHAnsi" w:hAnsiTheme="minorHAnsi" w:cstheme="minorHAnsi"/>
          <w:bCs/>
        </w:rPr>
        <w:t>-</w:t>
      </w:r>
      <w:r w:rsidR="00957E7E" w:rsidRPr="00832772">
        <w:rPr>
          <w:rFonts w:asciiTheme="minorHAnsi" w:hAnsiTheme="minorHAnsi" w:cstheme="minorHAnsi"/>
          <w:bCs/>
        </w:rPr>
        <w:t>site</w:t>
      </w:r>
      <w:r w:rsidRPr="00832772">
        <w:rPr>
          <w:rFonts w:asciiTheme="minorHAnsi" w:hAnsiTheme="minorHAnsi" w:cstheme="minorHAnsi"/>
          <w:bCs/>
        </w:rPr>
        <w:t xml:space="preserve"> case file review associated with a comprehensive FAME.  This strategy allows the State Plan to focus on correcting deficiencies identified in the most recent comprehensive FAME</w:t>
      </w:r>
      <w:r w:rsidR="003A4F3E" w:rsidRPr="00832772">
        <w:rPr>
          <w:rFonts w:asciiTheme="minorHAnsi" w:hAnsiTheme="minorHAnsi" w:cstheme="minorHAnsi"/>
          <w:bCs/>
        </w:rPr>
        <w:t>.</w:t>
      </w:r>
      <w:r w:rsidR="00733729" w:rsidRPr="00832772">
        <w:rPr>
          <w:rFonts w:asciiTheme="minorHAnsi" w:hAnsiTheme="minorHAnsi" w:cstheme="minorHAnsi"/>
          <w:bCs/>
        </w:rPr>
        <w:t xml:space="preserve">  </w:t>
      </w:r>
      <w:r w:rsidR="005504BC" w:rsidRPr="00832772">
        <w:rPr>
          <w:rFonts w:asciiTheme="minorHAnsi" w:hAnsiTheme="minorHAnsi" w:cstheme="minorHAnsi"/>
          <w:bCs/>
        </w:rPr>
        <w:t>The analyses and conclusions described in this report are based on information obtained from a variety of monitoring sources, including:</w:t>
      </w:r>
    </w:p>
    <w:p w14:paraId="54439AF2" w14:textId="77777777" w:rsidR="005504BC" w:rsidRPr="00832772" w:rsidRDefault="005504BC" w:rsidP="007A71AC">
      <w:pPr>
        <w:widowControl/>
        <w:autoSpaceDE/>
        <w:autoSpaceDN/>
        <w:adjustRightInd/>
        <w:rPr>
          <w:rFonts w:asciiTheme="minorHAnsi" w:hAnsiTheme="minorHAnsi" w:cstheme="minorHAnsi"/>
          <w:bCs/>
        </w:rPr>
      </w:pPr>
    </w:p>
    <w:p w14:paraId="409C16B9" w14:textId="62BEE527" w:rsidR="005504BC" w:rsidRPr="00832772" w:rsidRDefault="005504BC" w:rsidP="008626CE">
      <w:pPr>
        <w:pStyle w:val="ListParagraph"/>
        <w:numPr>
          <w:ilvl w:val="0"/>
          <w:numId w:val="7"/>
        </w:numPr>
        <w:spacing w:after="0" w:line="240" w:lineRule="auto"/>
        <w:rPr>
          <w:rFonts w:asciiTheme="minorHAnsi" w:hAnsiTheme="minorHAnsi" w:cstheme="minorHAnsi"/>
          <w:bCs/>
        </w:rPr>
      </w:pPr>
      <w:r w:rsidRPr="00832772">
        <w:rPr>
          <w:rFonts w:asciiTheme="minorHAnsi" w:hAnsiTheme="minorHAnsi" w:cstheme="minorHAnsi"/>
          <w:bCs/>
          <w:sz w:val="24"/>
          <w:szCs w:val="24"/>
        </w:rPr>
        <w:t xml:space="preserve">State Activity Mandated Measures </w:t>
      </w:r>
      <w:r w:rsidR="00E7030A" w:rsidRPr="00832772">
        <w:rPr>
          <w:rFonts w:asciiTheme="minorHAnsi" w:hAnsiTheme="minorHAnsi" w:cstheme="minorHAnsi"/>
          <w:bCs/>
          <w:sz w:val="24"/>
          <w:szCs w:val="24"/>
        </w:rPr>
        <w:t xml:space="preserve">(SAMM) </w:t>
      </w:r>
      <w:r w:rsidRPr="00832772">
        <w:rPr>
          <w:rFonts w:asciiTheme="minorHAnsi" w:hAnsiTheme="minorHAnsi" w:cstheme="minorHAnsi"/>
          <w:bCs/>
          <w:sz w:val="24"/>
          <w:szCs w:val="24"/>
        </w:rPr>
        <w:t xml:space="preserve">Report </w:t>
      </w:r>
    </w:p>
    <w:p w14:paraId="5D91E03D" w14:textId="43728ADF" w:rsidR="00FF4AE2" w:rsidRPr="00832772" w:rsidRDefault="00FF4AE2" w:rsidP="008626CE">
      <w:pPr>
        <w:pStyle w:val="ListParagraph"/>
        <w:numPr>
          <w:ilvl w:val="0"/>
          <w:numId w:val="7"/>
        </w:numPr>
        <w:spacing w:after="0" w:line="240" w:lineRule="auto"/>
        <w:rPr>
          <w:rFonts w:asciiTheme="minorHAnsi" w:hAnsiTheme="minorHAnsi" w:cstheme="minorHAnsi"/>
          <w:bCs/>
        </w:rPr>
      </w:pPr>
      <w:r w:rsidRPr="00832772">
        <w:rPr>
          <w:rFonts w:asciiTheme="minorHAnsi" w:hAnsiTheme="minorHAnsi" w:cstheme="minorHAnsi"/>
          <w:bCs/>
          <w:sz w:val="24"/>
          <w:szCs w:val="24"/>
        </w:rPr>
        <w:t xml:space="preserve">Mandated Activities Report for Consultation </w:t>
      </w:r>
    </w:p>
    <w:p w14:paraId="4054753A" w14:textId="519A2540" w:rsidR="00FF4AE2" w:rsidRPr="00832772" w:rsidRDefault="00FF4AE2" w:rsidP="008626CE">
      <w:pPr>
        <w:pStyle w:val="ListParagraph"/>
        <w:numPr>
          <w:ilvl w:val="0"/>
          <w:numId w:val="7"/>
        </w:numPr>
        <w:spacing w:after="0" w:line="240" w:lineRule="auto"/>
        <w:rPr>
          <w:rFonts w:asciiTheme="minorHAnsi" w:hAnsiTheme="minorHAnsi" w:cstheme="minorHAnsi"/>
          <w:bCs/>
        </w:rPr>
      </w:pPr>
      <w:r w:rsidRPr="00832772">
        <w:rPr>
          <w:rFonts w:asciiTheme="minorHAnsi" w:hAnsiTheme="minorHAnsi" w:cstheme="minorHAnsi"/>
          <w:bCs/>
          <w:sz w:val="24"/>
          <w:szCs w:val="24"/>
        </w:rPr>
        <w:t xml:space="preserve">State OSHA Annual Report </w:t>
      </w:r>
    </w:p>
    <w:p w14:paraId="03220F96" w14:textId="169DEBFA" w:rsidR="00FF4AE2" w:rsidRPr="00832772" w:rsidRDefault="00FF4AE2" w:rsidP="008626CE">
      <w:pPr>
        <w:pStyle w:val="ListParagraph"/>
        <w:numPr>
          <w:ilvl w:val="0"/>
          <w:numId w:val="7"/>
        </w:numPr>
        <w:spacing w:after="0" w:line="240" w:lineRule="auto"/>
        <w:rPr>
          <w:rFonts w:asciiTheme="minorHAnsi" w:hAnsiTheme="minorHAnsi" w:cstheme="minorHAnsi"/>
          <w:bCs/>
        </w:rPr>
      </w:pPr>
      <w:r w:rsidRPr="00832772">
        <w:rPr>
          <w:rFonts w:asciiTheme="minorHAnsi" w:hAnsiTheme="minorHAnsi" w:cstheme="minorHAnsi"/>
          <w:bCs/>
          <w:sz w:val="24"/>
          <w:szCs w:val="24"/>
        </w:rPr>
        <w:t>State Plan Annual Performance Plan</w:t>
      </w:r>
      <w:r w:rsidR="0061362E" w:rsidRPr="00832772">
        <w:rPr>
          <w:rFonts w:asciiTheme="minorHAnsi" w:hAnsiTheme="minorHAnsi" w:cstheme="minorHAnsi"/>
          <w:bCs/>
          <w:sz w:val="24"/>
          <w:szCs w:val="24"/>
        </w:rPr>
        <w:t xml:space="preserve"> </w:t>
      </w:r>
    </w:p>
    <w:p w14:paraId="4CBC94FB" w14:textId="77777777" w:rsidR="00FF4AE2" w:rsidRPr="00832772" w:rsidRDefault="00FF4AE2" w:rsidP="008626CE">
      <w:pPr>
        <w:pStyle w:val="ListParagraph"/>
        <w:numPr>
          <w:ilvl w:val="0"/>
          <w:numId w:val="7"/>
        </w:numPr>
        <w:spacing w:after="0" w:line="240" w:lineRule="auto"/>
        <w:rPr>
          <w:rFonts w:asciiTheme="minorHAnsi" w:hAnsiTheme="minorHAnsi" w:cstheme="minorHAnsi"/>
          <w:bCs/>
        </w:rPr>
      </w:pPr>
      <w:r w:rsidRPr="00832772">
        <w:rPr>
          <w:rFonts w:asciiTheme="minorHAnsi" w:hAnsiTheme="minorHAnsi" w:cstheme="minorHAnsi"/>
          <w:bCs/>
          <w:sz w:val="24"/>
          <w:szCs w:val="24"/>
        </w:rPr>
        <w:t xml:space="preserve">State Plan Grant </w:t>
      </w:r>
      <w:r w:rsidR="00DC6559" w:rsidRPr="00832772">
        <w:rPr>
          <w:rFonts w:asciiTheme="minorHAnsi" w:hAnsiTheme="minorHAnsi" w:cstheme="minorHAnsi"/>
          <w:bCs/>
          <w:sz w:val="24"/>
          <w:szCs w:val="24"/>
        </w:rPr>
        <w:t>A</w:t>
      </w:r>
      <w:r w:rsidRPr="00832772">
        <w:rPr>
          <w:rFonts w:asciiTheme="minorHAnsi" w:hAnsiTheme="minorHAnsi" w:cstheme="minorHAnsi"/>
          <w:bCs/>
          <w:sz w:val="24"/>
          <w:szCs w:val="24"/>
        </w:rPr>
        <w:t xml:space="preserve">pplication </w:t>
      </w:r>
    </w:p>
    <w:p w14:paraId="79AC3075" w14:textId="77777777" w:rsidR="00FF4AE2" w:rsidRPr="00832772" w:rsidRDefault="00FF4AE2" w:rsidP="008626CE">
      <w:pPr>
        <w:pStyle w:val="ListParagraph"/>
        <w:numPr>
          <w:ilvl w:val="0"/>
          <w:numId w:val="7"/>
        </w:numPr>
        <w:spacing w:after="0" w:line="240" w:lineRule="auto"/>
        <w:rPr>
          <w:rFonts w:asciiTheme="minorHAnsi" w:hAnsiTheme="minorHAnsi" w:cstheme="minorHAnsi"/>
          <w:bCs/>
        </w:rPr>
      </w:pPr>
      <w:r w:rsidRPr="00832772">
        <w:rPr>
          <w:rFonts w:asciiTheme="minorHAnsi" w:hAnsiTheme="minorHAnsi" w:cstheme="minorHAnsi"/>
          <w:bCs/>
          <w:sz w:val="24"/>
          <w:szCs w:val="24"/>
        </w:rPr>
        <w:t>Quarterly monitoring meetings between OSHA and the State Plan</w:t>
      </w:r>
    </w:p>
    <w:p w14:paraId="5DCBF017" w14:textId="77777777" w:rsidR="00783189" w:rsidRDefault="00783189" w:rsidP="007A71AC">
      <w:pPr>
        <w:widowControl/>
        <w:autoSpaceDE/>
        <w:autoSpaceDN/>
        <w:adjustRightInd/>
        <w:rPr>
          <w:rFonts w:asciiTheme="minorHAnsi" w:hAnsiTheme="minorHAnsi" w:cstheme="minorHAnsi"/>
          <w:bCs/>
          <w:iCs/>
          <w:color w:val="0070C0"/>
        </w:rPr>
      </w:pPr>
    </w:p>
    <w:p w14:paraId="16F76091" w14:textId="77777777" w:rsidR="004B3038" w:rsidRDefault="004B3038" w:rsidP="007A71AC">
      <w:pPr>
        <w:widowControl/>
        <w:autoSpaceDE/>
        <w:autoSpaceDN/>
        <w:adjustRightInd/>
        <w:rPr>
          <w:rFonts w:asciiTheme="minorHAnsi" w:hAnsiTheme="minorHAnsi" w:cstheme="minorHAnsi"/>
          <w:bCs/>
          <w:iCs/>
          <w:color w:val="0070C0"/>
        </w:rPr>
      </w:pPr>
    </w:p>
    <w:p w14:paraId="37C73479" w14:textId="77777777" w:rsidR="004B3038" w:rsidRDefault="004B3038" w:rsidP="007A71AC">
      <w:pPr>
        <w:widowControl/>
        <w:autoSpaceDE/>
        <w:autoSpaceDN/>
        <w:adjustRightInd/>
        <w:rPr>
          <w:rFonts w:asciiTheme="minorHAnsi" w:hAnsiTheme="minorHAnsi" w:cstheme="minorHAnsi"/>
          <w:bCs/>
          <w:iCs/>
          <w:color w:val="0070C0"/>
        </w:rPr>
      </w:pPr>
    </w:p>
    <w:p w14:paraId="4079D327" w14:textId="77777777" w:rsidR="004B3038" w:rsidRPr="00832772" w:rsidRDefault="004B3038" w:rsidP="007A71AC">
      <w:pPr>
        <w:widowControl/>
        <w:autoSpaceDE/>
        <w:autoSpaceDN/>
        <w:adjustRightInd/>
        <w:rPr>
          <w:rFonts w:asciiTheme="minorHAnsi" w:hAnsiTheme="minorHAnsi" w:cstheme="minorHAnsi"/>
          <w:bCs/>
          <w:iCs/>
          <w:color w:val="0070C0"/>
        </w:rPr>
      </w:pPr>
    </w:p>
    <w:p w14:paraId="5E67DDEC" w14:textId="77777777" w:rsidR="000A134A" w:rsidRPr="00832772" w:rsidRDefault="000A134A" w:rsidP="0061362E">
      <w:pPr>
        <w:pStyle w:val="Heading3"/>
      </w:pPr>
      <w:bookmarkStart w:id="16" w:name="_Toc118900174"/>
      <w:bookmarkStart w:id="17" w:name="_Toc118905013"/>
      <w:bookmarkStart w:id="18" w:name="_Toc119418667"/>
      <w:r w:rsidRPr="00832772">
        <w:lastRenderedPageBreak/>
        <w:t>Findings and Observations</w:t>
      </w:r>
      <w:bookmarkEnd w:id="16"/>
      <w:bookmarkEnd w:id="17"/>
      <w:bookmarkEnd w:id="18"/>
    </w:p>
    <w:p w14:paraId="481E957D" w14:textId="77777777" w:rsidR="00B34326" w:rsidRPr="00832772" w:rsidRDefault="00B34326" w:rsidP="00B34326">
      <w:pPr>
        <w:rPr>
          <w:rFonts w:asciiTheme="minorHAnsi" w:hAnsiTheme="minorHAnsi" w:cstheme="minorHAnsi"/>
        </w:rPr>
      </w:pPr>
    </w:p>
    <w:p w14:paraId="56F5EE36" w14:textId="0D340A94" w:rsidR="0073135B" w:rsidRPr="00E2163F" w:rsidRDefault="00B34326" w:rsidP="00E2163F">
      <w:pPr>
        <w:widowControl/>
        <w:autoSpaceDE/>
        <w:autoSpaceDN/>
        <w:adjustRightInd/>
        <w:rPr>
          <w:rFonts w:asciiTheme="minorHAnsi" w:hAnsiTheme="minorHAnsi" w:cstheme="minorHAnsi"/>
        </w:rPr>
      </w:pPr>
      <w:r w:rsidRPr="00832772">
        <w:rPr>
          <w:rFonts w:asciiTheme="minorHAnsi" w:hAnsiTheme="minorHAnsi" w:cstheme="minorHAnsi"/>
        </w:rPr>
        <w:t xml:space="preserve">This report </w:t>
      </w:r>
      <w:r w:rsidR="00CF6949">
        <w:rPr>
          <w:rFonts w:asciiTheme="minorHAnsi" w:hAnsiTheme="minorHAnsi" w:cstheme="minorHAnsi"/>
        </w:rPr>
        <w:t xml:space="preserve">does not contain </w:t>
      </w:r>
      <w:r w:rsidRPr="00832772">
        <w:rPr>
          <w:rFonts w:asciiTheme="minorHAnsi" w:hAnsiTheme="minorHAnsi" w:cstheme="minorHAnsi"/>
        </w:rPr>
        <w:t xml:space="preserve">new or continued findings </w:t>
      </w:r>
      <w:r w:rsidR="003A421D">
        <w:rPr>
          <w:rFonts w:asciiTheme="minorHAnsi" w:hAnsiTheme="minorHAnsi" w:cstheme="minorHAnsi"/>
        </w:rPr>
        <w:t>or recommendations</w:t>
      </w:r>
      <w:r w:rsidR="004F13F9">
        <w:rPr>
          <w:rFonts w:asciiTheme="minorHAnsi" w:hAnsiTheme="minorHAnsi" w:cstheme="minorHAnsi"/>
        </w:rPr>
        <w:t>,</w:t>
      </w:r>
      <w:r w:rsidR="00817741">
        <w:rPr>
          <w:rFonts w:asciiTheme="minorHAnsi" w:hAnsiTheme="minorHAnsi" w:cstheme="minorHAnsi"/>
        </w:rPr>
        <w:t xml:space="preserve"> nor does it contain any new observations. </w:t>
      </w:r>
      <w:r w:rsidR="003A421D">
        <w:rPr>
          <w:rFonts w:asciiTheme="minorHAnsi" w:hAnsiTheme="minorHAnsi" w:cstheme="minorHAnsi"/>
        </w:rPr>
        <w:t xml:space="preserve"> </w:t>
      </w:r>
      <w:r w:rsidR="00EA03B6">
        <w:rPr>
          <w:rFonts w:asciiTheme="minorHAnsi" w:hAnsiTheme="minorHAnsi" w:cstheme="minorHAnsi"/>
        </w:rPr>
        <w:t xml:space="preserve">Thus, </w:t>
      </w:r>
      <w:r w:rsidR="0073135B" w:rsidRPr="00832772">
        <w:rPr>
          <w:rFonts w:asciiTheme="minorHAnsi" w:hAnsiTheme="minorHAnsi" w:cstheme="minorHAnsi"/>
        </w:rPr>
        <w:t>Appendix B</w:t>
      </w:r>
      <w:r w:rsidR="00EA03B6">
        <w:rPr>
          <w:rFonts w:asciiTheme="minorHAnsi" w:hAnsiTheme="minorHAnsi" w:cstheme="minorHAnsi"/>
        </w:rPr>
        <w:t>—which</w:t>
      </w:r>
      <w:r w:rsidR="0073135B" w:rsidRPr="00832772">
        <w:rPr>
          <w:rFonts w:asciiTheme="minorHAnsi" w:hAnsiTheme="minorHAnsi" w:cstheme="minorHAnsi"/>
        </w:rPr>
        <w:t xml:space="preserve"> describes observations</w:t>
      </w:r>
      <w:r w:rsidR="00C022C3">
        <w:rPr>
          <w:rFonts w:asciiTheme="minorHAnsi" w:hAnsiTheme="minorHAnsi" w:cstheme="minorHAnsi"/>
        </w:rPr>
        <w:t xml:space="preserve"> </w:t>
      </w:r>
      <w:r w:rsidR="0073135B" w:rsidRPr="00832772">
        <w:rPr>
          <w:rFonts w:asciiTheme="minorHAnsi" w:hAnsiTheme="minorHAnsi" w:cstheme="minorHAnsi"/>
        </w:rPr>
        <w:t>and related federal monitoring plans</w:t>
      </w:r>
      <w:r w:rsidR="00EA03B6">
        <w:rPr>
          <w:rFonts w:asciiTheme="minorHAnsi" w:hAnsiTheme="minorHAnsi" w:cstheme="minorHAnsi"/>
        </w:rPr>
        <w:t>—</w:t>
      </w:r>
      <w:r w:rsidR="0073135B" w:rsidRPr="00832772">
        <w:rPr>
          <w:rFonts w:asciiTheme="minorHAnsi" w:hAnsiTheme="minorHAnsi" w:cstheme="minorHAnsi"/>
        </w:rPr>
        <w:t>contains the four continued observations from FY 2023</w:t>
      </w:r>
      <w:r w:rsidR="0073135B">
        <w:rPr>
          <w:rFonts w:asciiTheme="minorHAnsi" w:hAnsiTheme="minorHAnsi" w:cstheme="minorHAnsi"/>
        </w:rPr>
        <w:t xml:space="preserve">.  </w:t>
      </w:r>
    </w:p>
    <w:p w14:paraId="2D0C820B" w14:textId="77777777" w:rsidR="005C1BFC" w:rsidRPr="00832772" w:rsidRDefault="005C1BFC" w:rsidP="00783189">
      <w:pPr>
        <w:widowControl/>
        <w:autoSpaceDE/>
        <w:autoSpaceDN/>
        <w:adjustRightInd/>
        <w:rPr>
          <w:rFonts w:asciiTheme="minorHAnsi" w:hAnsiTheme="minorHAnsi" w:cstheme="minorHAnsi"/>
          <w:bCs/>
          <w:highlight w:val="yellow"/>
          <w:u w:val="single"/>
        </w:rPr>
      </w:pPr>
    </w:p>
    <w:p w14:paraId="370CCAAD" w14:textId="7E12B925" w:rsidR="00602EF3" w:rsidRPr="00832772" w:rsidRDefault="004E505A" w:rsidP="00783189">
      <w:pPr>
        <w:widowControl/>
        <w:autoSpaceDE/>
        <w:autoSpaceDN/>
        <w:adjustRightInd/>
        <w:rPr>
          <w:rFonts w:asciiTheme="minorHAnsi" w:hAnsiTheme="minorHAnsi" w:cstheme="minorHAnsi"/>
          <w:b/>
        </w:rPr>
      </w:pPr>
      <w:r w:rsidRPr="00832772">
        <w:rPr>
          <w:rFonts w:asciiTheme="minorHAnsi" w:hAnsiTheme="minorHAnsi" w:cstheme="minorHAnsi"/>
          <w:b/>
        </w:rPr>
        <w:t xml:space="preserve">Continued </w:t>
      </w:r>
      <w:r w:rsidR="00054416" w:rsidRPr="00832772">
        <w:rPr>
          <w:rFonts w:asciiTheme="minorHAnsi" w:hAnsiTheme="minorHAnsi" w:cstheme="minorHAnsi"/>
          <w:b/>
        </w:rPr>
        <w:t xml:space="preserve">FY </w:t>
      </w:r>
      <w:r w:rsidR="007C0A36" w:rsidRPr="00832772">
        <w:rPr>
          <w:rFonts w:asciiTheme="minorHAnsi" w:hAnsiTheme="minorHAnsi" w:cstheme="minorHAnsi"/>
          <w:b/>
        </w:rPr>
        <w:t>20</w:t>
      </w:r>
      <w:r w:rsidR="00CB03B1" w:rsidRPr="00832772">
        <w:rPr>
          <w:rFonts w:asciiTheme="minorHAnsi" w:hAnsiTheme="minorHAnsi" w:cstheme="minorHAnsi"/>
          <w:b/>
        </w:rPr>
        <w:t xml:space="preserve">23 </w:t>
      </w:r>
      <w:r w:rsidR="00443054" w:rsidRPr="00832772">
        <w:rPr>
          <w:rFonts w:asciiTheme="minorHAnsi" w:hAnsiTheme="minorHAnsi" w:cstheme="minorHAnsi"/>
          <w:b/>
        </w:rPr>
        <w:t>Observation</w:t>
      </w:r>
      <w:r w:rsidR="0061362E" w:rsidRPr="00832772">
        <w:rPr>
          <w:rFonts w:asciiTheme="minorHAnsi" w:hAnsiTheme="minorHAnsi" w:cstheme="minorHAnsi"/>
          <w:b/>
        </w:rPr>
        <w:t>s</w:t>
      </w:r>
    </w:p>
    <w:p w14:paraId="00C81835" w14:textId="77777777" w:rsidR="00602EF3" w:rsidRPr="00004F0B" w:rsidRDefault="00602EF3" w:rsidP="00783189">
      <w:pPr>
        <w:widowControl/>
        <w:autoSpaceDE/>
        <w:autoSpaceDN/>
        <w:adjustRightInd/>
        <w:rPr>
          <w:rFonts w:asciiTheme="minorHAnsi" w:hAnsiTheme="minorHAnsi" w:cstheme="minorHAnsi"/>
          <w:b/>
          <w:bCs/>
          <w:highlight w:val="yellow"/>
        </w:rPr>
      </w:pPr>
    </w:p>
    <w:p w14:paraId="12722E9A" w14:textId="0F344595" w:rsidR="00824836" w:rsidRPr="00832772" w:rsidRDefault="00824836" w:rsidP="00824836">
      <w:pPr>
        <w:pStyle w:val="Default"/>
        <w:rPr>
          <w:rFonts w:asciiTheme="minorHAnsi" w:hAnsiTheme="minorHAnsi" w:cstheme="minorHAnsi"/>
        </w:rPr>
      </w:pPr>
      <w:bookmarkStart w:id="19" w:name="_Hlk159318501"/>
      <w:r w:rsidRPr="00004F0B">
        <w:rPr>
          <w:rFonts w:asciiTheme="minorHAnsi" w:hAnsiTheme="minorHAnsi" w:cstheme="minorHAnsi"/>
          <w:b/>
          <w:bCs/>
        </w:rPr>
        <w:t>Observation FY 202</w:t>
      </w:r>
      <w:r w:rsidR="002A1692" w:rsidRPr="00004F0B">
        <w:rPr>
          <w:rFonts w:asciiTheme="minorHAnsi" w:hAnsiTheme="minorHAnsi" w:cstheme="minorHAnsi"/>
          <w:b/>
          <w:bCs/>
        </w:rPr>
        <w:t>4</w:t>
      </w:r>
      <w:r w:rsidRPr="00004F0B">
        <w:rPr>
          <w:rFonts w:asciiTheme="minorHAnsi" w:hAnsiTheme="minorHAnsi" w:cstheme="minorHAnsi"/>
          <w:b/>
          <w:bCs/>
        </w:rPr>
        <w:t>-OB-01</w:t>
      </w:r>
      <w:r w:rsidR="00DC6E17" w:rsidRPr="00004F0B">
        <w:rPr>
          <w:rFonts w:asciiTheme="minorHAnsi" w:hAnsiTheme="minorHAnsi" w:cstheme="minorHAnsi"/>
          <w:b/>
          <w:bCs/>
        </w:rPr>
        <w:t xml:space="preserve"> </w:t>
      </w:r>
      <w:r w:rsidR="002A1692" w:rsidRPr="00004F0B">
        <w:rPr>
          <w:rFonts w:asciiTheme="minorHAnsi" w:hAnsiTheme="minorHAnsi" w:cstheme="minorHAnsi"/>
          <w:b/>
          <w:bCs/>
        </w:rPr>
        <w:t xml:space="preserve">(formerly </w:t>
      </w:r>
      <w:r w:rsidR="00DC6E17" w:rsidRPr="00004F0B">
        <w:rPr>
          <w:rFonts w:asciiTheme="minorHAnsi" w:hAnsiTheme="minorHAnsi" w:cstheme="minorHAnsi"/>
          <w:b/>
          <w:bCs/>
        </w:rPr>
        <w:t xml:space="preserve">Observation </w:t>
      </w:r>
      <w:r w:rsidR="002A1692" w:rsidRPr="00004F0B">
        <w:rPr>
          <w:rFonts w:asciiTheme="minorHAnsi" w:hAnsiTheme="minorHAnsi" w:cstheme="minorHAnsi"/>
          <w:b/>
          <w:bCs/>
        </w:rPr>
        <w:t>FY 2023-OB</w:t>
      </w:r>
      <w:r w:rsidR="00DC6E17" w:rsidRPr="00004F0B">
        <w:rPr>
          <w:rFonts w:asciiTheme="minorHAnsi" w:hAnsiTheme="minorHAnsi" w:cstheme="minorHAnsi"/>
          <w:b/>
          <w:bCs/>
        </w:rPr>
        <w:t>-</w:t>
      </w:r>
      <w:r w:rsidR="002A1692" w:rsidRPr="00004F0B">
        <w:rPr>
          <w:rFonts w:asciiTheme="minorHAnsi" w:hAnsiTheme="minorHAnsi" w:cstheme="minorHAnsi"/>
          <w:b/>
          <w:bCs/>
        </w:rPr>
        <w:t>1)</w:t>
      </w:r>
      <w:r w:rsidRPr="00004F0B">
        <w:rPr>
          <w:rFonts w:asciiTheme="minorHAnsi" w:hAnsiTheme="minorHAnsi" w:cstheme="minorHAnsi"/>
          <w:b/>
          <w:bCs/>
        </w:rPr>
        <w:t>:</w:t>
      </w:r>
      <w:r w:rsidRPr="00832772">
        <w:rPr>
          <w:rFonts w:asciiTheme="minorHAnsi" w:hAnsiTheme="minorHAnsi" w:cstheme="minorHAnsi"/>
          <w:b/>
          <w:bCs/>
        </w:rPr>
        <w:t xml:space="preserve">  </w:t>
      </w:r>
      <w:r w:rsidRPr="00832772">
        <w:rPr>
          <w:rFonts w:asciiTheme="minorHAnsi" w:hAnsiTheme="minorHAnsi" w:cstheme="minorHAnsi"/>
        </w:rPr>
        <w:t>In FY 2023, in 26 (65 percent) of 44 inspection case files, worker interviews were not properly documented, as required in the CONN-OSHA FOM, Chapter 5.</w:t>
      </w:r>
    </w:p>
    <w:p w14:paraId="4172843D" w14:textId="77777777" w:rsidR="00824836" w:rsidRPr="00832772" w:rsidRDefault="00824836" w:rsidP="00824836">
      <w:pPr>
        <w:pStyle w:val="Default"/>
        <w:rPr>
          <w:rFonts w:asciiTheme="minorHAnsi" w:hAnsiTheme="minorHAnsi" w:cstheme="minorHAnsi"/>
          <w:b/>
          <w:bCs/>
          <w:u w:val="single"/>
        </w:rPr>
      </w:pPr>
    </w:p>
    <w:bookmarkEnd w:id="19"/>
    <w:p w14:paraId="41EACD85" w14:textId="44B1EB03" w:rsidR="00EA4B05" w:rsidRPr="00832772" w:rsidRDefault="00EA4B05" w:rsidP="00DC6E17">
      <w:pPr>
        <w:pStyle w:val="Default"/>
        <w:rPr>
          <w:rFonts w:asciiTheme="minorHAnsi" w:hAnsiTheme="minorHAnsi" w:cstheme="minorHAnsi"/>
          <w:color w:val="auto"/>
        </w:rPr>
      </w:pPr>
      <w:r w:rsidRPr="00832772">
        <w:rPr>
          <w:rFonts w:asciiTheme="minorHAnsi" w:hAnsiTheme="minorHAnsi" w:cstheme="minorHAnsi"/>
          <w:b/>
          <w:color w:val="auto"/>
        </w:rPr>
        <w:t xml:space="preserve">Status:  </w:t>
      </w:r>
      <w:r w:rsidRPr="00832772">
        <w:rPr>
          <w:rFonts w:asciiTheme="minorHAnsi" w:hAnsiTheme="minorHAnsi" w:cstheme="minorHAnsi"/>
          <w:color w:val="auto"/>
        </w:rPr>
        <w:t xml:space="preserve">A case file review is necessary to gather the facts needed to evaluate performance in relation to this observation. </w:t>
      </w:r>
      <w:r w:rsidR="00C271A7">
        <w:rPr>
          <w:rFonts w:asciiTheme="minorHAnsi" w:hAnsiTheme="minorHAnsi" w:cstheme="minorHAnsi"/>
          <w:color w:val="auto"/>
        </w:rPr>
        <w:t xml:space="preserve"> </w:t>
      </w:r>
      <w:r w:rsidRPr="00832772">
        <w:rPr>
          <w:rFonts w:asciiTheme="minorHAnsi" w:hAnsiTheme="minorHAnsi" w:cstheme="minorHAnsi"/>
          <w:color w:val="auto"/>
        </w:rPr>
        <w:t>This observation will be a focus of next year’s on</w:t>
      </w:r>
      <w:r w:rsidR="00976E27" w:rsidRPr="00832772">
        <w:rPr>
          <w:rFonts w:asciiTheme="minorHAnsi" w:hAnsiTheme="minorHAnsi" w:cstheme="minorHAnsi"/>
          <w:color w:val="auto"/>
        </w:rPr>
        <w:t>-</w:t>
      </w:r>
      <w:r w:rsidRPr="00832772">
        <w:rPr>
          <w:rFonts w:asciiTheme="minorHAnsi" w:hAnsiTheme="minorHAnsi" w:cstheme="minorHAnsi"/>
          <w:color w:val="auto"/>
        </w:rPr>
        <w:t>site case file review during the FY 20</w:t>
      </w:r>
      <w:r w:rsidR="00B108DA" w:rsidRPr="00832772">
        <w:rPr>
          <w:rFonts w:asciiTheme="minorHAnsi" w:hAnsiTheme="minorHAnsi" w:cstheme="minorHAnsi"/>
          <w:color w:val="auto"/>
        </w:rPr>
        <w:t>25</w:t>
      </w:r>
      <w:r w:rsidRPr="00832772">
        <w:rPr>
          <w:rFonts w:asciiTheme="minorHAnsi" w:hAnsiTheme="minorHAnsi" w:cstheme="minorHAnsi"/>
          <w:color w:val="auto"/>
        </w:rPr>
        <w:t xml:space="preserve"> </w:t>
      </w:r>
      <w:r w:rsidR="00F6562B">
        <w:rPr>
          <w:rFonts w:asciiTheme="minorHAnsi" w:hAnsiTheme="minorHAnsi" w:cstheme="minorHAnsi"/>
          <w:color w:val="auto"/>
        </w:rPr>
        <w:t>c</w:t>
      </w:r>
      <w:r w:rsidRPr="00832772">
        <w:rPr>
          <w:rFonts w:asciiTheme="minorHAnsi" w:hAnsiTheme="minorHAnsi" w:cstheme="minorHAnsi"/>
          <w:color w:val="auto"/>
        </w:rPr>
        <w:t>omprehensive FAME</w:t>
      </w:r>
      <w:r w:rsidR="00C271A7">
        <w:rPr>
          <w:rFonts w:asciiTheme="minorHAnsi" w:hAnsiTheme="minorHAnsi" w:cstheme="minorHAnsi"/>
          <w:color w:val="auto"/>
        </w:rPr>
        <w:t xml:space="preserve"> </w:t>
      </w:r>
      <w:r w:rsidR="00C538FA">
        <w:rPr>
          <w:rFonts w:asciiTheme="minorHAnsi" w:hAnsiTheme="minorHAnsi" w:cstheme="minorHAnsi"/>
          <w:color w:val="auto"/>
        </w:rPr>
        <w:t>and</w:t>
      </w:r>
      <w:r w:rsidR="00C271A7">
        <w:rPr>
          <w:rFonts w:asciiTheme="minorHAnsi" w:hAnsiTheme="minorHAnsi" w:cstheme="minorHAnsi"/>
          <w:color w:val="auto"/>
        </w:rPr>
        <w:t xml:space="preserve"> will be continued.</w:t>
      </w:r>
    </w:p>
    <w:p w14:paraId="458707B6" w14:textId="77777777" w:rsidR="005250F0" w:rsidRPr="00832772" w:rsidRDefault="005250F0" w:rsidP="00DC6E17">
      <w:pPr>
        <w:pStyle w:val="Default"/>
        <w:rPr>
          <w:rFonts w:asciiTheme="minorHAnsi" w:hAnsiTheme="minorHAnsi" w:cstheme="minorHAnsi"/>
          <w:color w:val="auto"/>
        </w:rPr>
      </w:pPr>
    </w:p>
    <w:p w14:paraId="4723778E" w14:textId="1E7BB840" w:rsidR="005250F0" w:rsidRPr="00832772" w:rsidRDefault="005250F0" w:rsidP="00DC6E17">
      <w:pPr>
        <w:pStyle w:val="Default"/>
        <w:rPr>
          <w:rFonts w:asciiTheme="minorHAnsi" w:hAnsiTheme="minorHAnsi" w:cstheme="minorHAnsi"/>
        </w:rPr>
      </w:pPr>
      <w:r w:rsidRPr="00004F0B">
        <w:rPr>
          <w:rFonts w:asciiTheme="minorHAnsi" w:hAnsiTheme="minorHAnsi" w:cstheme="minorHAnsi"/>
          <w:b/>
          <w:bCs/>
        </w:rPr>
        <w:t>Observation FY 2024-OB-02 (formerly Observation FY 2023-OB-02):</w:t>
      </w:r>
      <w:r w:rsidRPr="00832772">
        <w:rPr>
          <w:rFonts w:asciiTheme="minorHAnsi" w:hAnsiTheme="minorHAnsi" w:cstheme="minorHAnsi"/>
        </w:rPr>
        <w:t xml:space="preserve"> </w:t>
      </w:r>
      <w:r w:rsidR="00CE564A" w:rsidRPr="00832772">
        <w:rPr>
          <w:rFonts w:asciiTheme="minorHAnsi" w:hAnsiTheme="minorHAnsi" w:cstheme="minorHAnsi"/>
        </w:rPr>
        <w:t xml:space="preserve"> </w:t>
      </w:r>
      <w:r w:rsidRPr="00832772">
        <w:rPr>
          <w:rFonts w:asciiTheme="minorHAnsi" w:hAnsiTheme="minorHAnsi" w:cstheme="minorHAnsi"/>
        </w:rPr>
        <w:t>In FY 2023, in 13 (33 percent) of 40 case files that had violations cited, the violation worksheet did not adequately describe all relevant facts pertaining to the violation, as required in the CONN-OSHA FOM, Chapter 5.</w:t>
      </w:r>
    </w:p>
    <w:p w14:paraId="33B3F331" w14:textId="77777777" w:rsidR="00C0336F" w:rsidRPr="00832772" w:rsidRDefault="00C0336F" w:rsidP="00DC6E17">
      <w:pPr>
        <w:pStyle w:val="Default"/>
        <w:rPr>
          <w:rFonts w:asciiTheme="minorHAnsi" w:hAnsiTheme="minorHAnsi" w:cstheme="minorHAnsi"/>
        </w:rPr>
      </w:pPr>
    </w:p>
    <w:p w14:paraId="7CD867A2" w14:textId="07A01996" w:rsidR="00C0336F" w:rsidRPr="00832772" w:rsidRDefault="00C0336F" w:rsidP="00C0336F">
      <w:pPr>
        <w:pStyle w:val="Default"/>
        <w:rPr>
          <w:rFonts w:asciiTheme="minorHAnsi" w:hAnsiTheme="minorHAnsi" w:cstheme="minorHAnsi"/>
          <w:color w:val="auto"/>
        </w:rPr>
      </w:pPr>
      <w:r w:rsidRPr="00832772">
        <w:rPr>
          <w:rFonts w:asciiTheme="minorHAnsi" w:hAnsiTheme="minorHAnsi" w:cstheme="minorHAnsi"/>
          <w:b/>
          <w:color w:val="auto"/>
        </w:rPr>
        <w:t xml:space="preserve">Status:  </w:t>
      </w:r>
      <w:r w:rsidRPr="00832772">
        <w:rPr>
          <w:rFonts w:asciiTheme="minorHAnsi" w:hAnsiTheme="minorHAnsi" w:cstheme="minorHAnsi"/>
          <w:color w:val="auto"/>
        </w:rPr>
        <w:t xml:space="preserve">A case file review is necessary to gather the facts needed to evaluate performance in relation to this observation. </w:t>
      </w:r>
      <w:r w:rsidR="00C271A7">
        <w:rPr>
          <w:rFonts w:asciiTheme="minorHAnsi" w:hAnsiTheme="minorHAnsi" w:cstheme="minorHAnsi"/>
          <w:color w:val="auto"/>
        </w:rPr>
        <w:t xml:space="preserve"> </w:t>
      </w:r>
      <w:r w:rsidRPr="00832772">
        <w:rPr>
          <w:rFonts w:asciiTheme="minorHAnsi" w:hAnsiTheme="minorHAnsi" w:cstheme="minorHAnsi"/>
          <w:color w:val="auto"/>
        </w:rPr>
        <w:t xml:space="preserve">This observation will be a focus of next year’s on-site case file review during the FY 2025 </w:t>
      </w:r>
      <w:r w:rsidR="00F6562B">
        <w:rPr>
          <w:rFonts w:asciiTheme="minorHAnsi" w:hAnsiTheme="minorHAnsi" w:cstheme="minorHAnsi"/>
          <w:color w:val="auto"/>
        </w:rPr>
        <w:t>c</w:t>
      </w:r>
      <w:r w:rsidRPr="00832772">
        <w:rPr>
          <w:rFonts w:asciiTheme="minorHAnsi" w:hAnsiTheme="minorHAnsi" w:cstheme="minorHAnsi"/>
          <w:color w:val="auto"/>
        </w:rPr>
        <w:t>omprehensive FAME</w:t>
      </w:r>
      <w:r w:rsidR="00C271A7">
        <w:rPr>
          <w:rFonts w:asciiTheme="minorHAnsi" w:hAnsiTheme="minorHAnsi" w:cstheme="minorHAnsi"/>
          <w:color w:val="auto"/>
        </w:rPr>
        <w:t xml:space="preserve"> and</w:t>
      </w:r>
      <w:r w:rsidRPr="00832772">
        <w:rPr>
          <w:rFonts w:asciiTheme="minorHAnsi" w:hAnsiTheme="minorHAnsi" w:cstheme="minorHAnsi"/>
          <w:color w:val="auto"/>
        </w:rPr>
        <w:t xml:space="preserve"> will be continued.</w:t>
      </w:r>
    </w:p>
    <w:p w14:paraId="1E2BEC82" w14:textId="77777777" w:rsidR="00875A1A" w:rsidRPr="00832772" w:rsidRDefault="00875A1A" w:rsidP="00C0336F">
      <w:pPr>
        <w:pStyle w:val="Default"/>
        <w:rPr>
          <w:rFonts w:asciiTheme="minorHAnsi" w:hAnsiTheme="minorHAnsi" w:cstheme="minorHAnsi"/>
          <w:color w:val="auto"/>
        </w:rPr>
      </w:pPr>
    </w:p>
    <w:p w14:paraId="5F42795C" w14:textId="1DC8ACC1" w:rsidR="00875A1A" w:rsidRPr="00832772" w:rsidRDefault="00875A1A" w:rsidP="00875A1A">
      <w:pPr>
        <w:pStyle w:val="Default"/>
        <w:rPr>
          <w:rFonts w:asciiTheme="minorHAnsi" w:hAnsiTheme="minorHAnsi" w:cstheme="minorHAnsi"/>
        </w:rPr>
      </w:pPr>
      <w:r w:rsidRPr="00004F0B">
        <w:rPr>
          <w:rFonts w:asciiTheme="minorHAnsi" w:hAnsiTheme="minorHAnsi" w:cstheme="minorHAnsi"/>
          <w:b/>
          <w:bCs/>
        </w:rPr>
        <w:t>Observation FY 202</w:t>
      </w:r>
      <w:r w:rsidR="00737116" w:rsidRPr="00004F0B">
        <w:rPr>
          <w:rFonts w:asciiTheme="minorHAnsi" w:hAnsiTheme="minorHAnsi" w:cstheme="minorHAnsi"/>
          <w:b/>
          <w:bCs/>
        </w:rPr>
        <w:t>4</w:t>
      </w:r>
      <w:r w:rsidRPr="00004F0B">
        <w:rPr>
          <w:rFonts w:asciiTheme="minorHAnsi" w:hAnsiTheme="minorHAnsi" w:cstheme="minorHAnsi"/>
          <w:b/>
          <w:bCs/>
        </w:rPr>
        <w:t>-OB-03 (formerly Observation FY 2023-OB-03)</w:t>
      </w:r>
      <w:r w:rsidRPr="00004F0B">
        <w:rPr>
          <w:rFonts w:asciiTheme="minorHAnsi" w:hAnsiTheme="minorHAnsi" w:cstheme="minorHAnsi"/>
        </w:rPr>
        <w:t>:</w:t>
      </w:r>
      <w:r w:rsidRPr="00832772">
        <w:rPr>
          <w:rFonts w:asciiTheme="minorHAnsi" w:hAnsiTheme="minorHAnsi" w:cstheme="minorHAnsi"/>
        </w:rPr>
        <w:t xml:space="preserve"> In FY 2023, in 17 (47 percent) of 36 cases reviewed for abatement, CONN-OSHA did not follow its policy in the CONN-OSHA FOM, Chapter 5 for assigning the shortest interval within which the employer can reasonably be expected to abate the hazard and/or did not document the reason for granting abatement periods longer than 30 days.</w:t>
      </w:r>
    </w:p>
    <w:p w14:paraId="710F3220" w14:textId="77777777" w:rsidR="005F13A7" w:rsidRPr="00832772" w:rsidRDefault="005F13A7" w:rsidP="00875A1A">
      <w:pPr>
        <w:pStyle w:val="Default"/>
        <w:rPr>
          <w:rFonts w:asciiTheme="minorHAnsi" w:hAnsiTheme="minorHAnsi" w:cstheme="minorHAnsi"/>
        </w:rPr>
      </w:pPr>
    </w:p>
    <w:p w14:paraId="4821FA93" w14:textId="041B096D" w:rsidR="005F13A7" w:rsidRPr="00832772" w:rsidRDefault="005F13A7" w:rsidP="005F13A7">
      <w:pPr>
        <w:pStyle w:val="Default"/>
        <w:rPr>
          <w:rFonts w:asciiTheme="minorHAnsi" w:hAnsiTheme="minorHAnsi" w:cstheme="minorHAnsi"/>
          <w:color w:val="auto"/>
        </w:rPr>
      </w:pPr>
      <w:bookmarkStart w:id="20" w:name="_Hlk184631540"/>
      <w:r w:rsidRPr="00832772">
        <w:rPr>
          <w:rFonts w:asciiTheme="minorHAnsi" w:hAnsiTheme="minorHAnsi" w:cstheme="minorHAnsi"/>
          <w:b/>
          <w:color w:val="auto"/>
        </w:rPr>
        <w:t xml:space="preserve">Status:  </w:t>
      </w:r>
      <w:r w:rsidRPr="00832772">
        <w:rPr>
          <w:rFonts w:asciiTheme="minorHAnsi" w:hAnsiTheme="minorHAnsi" w:cstheme="minorHAnsi"/>
          <w:color w:val="auto"/>
        </w:rPr>
        <w:t xml:space="preserve">A case file review is necessary to gather the facts needed to evaluate performance in relation to this observation. </w:t>
      </w:r>
      <w:r w:rsidR="00C271A7">
        <w:rPr>
          <w:rFonts w:asciiTheme="minorHAnsi" w:hAnsiTheme="minorHAnsi" w:cstheme="minorHAnsi"/>
          <w:color w:val="auto"/>
        </w:rPr>
        <w:t xml:space="preserve"> </w:t>
      </w:r>
      <w:r w:rsidRPr="00832772">
        <w:rPr>
          <w:rFonts w:asciiTheme="minorHAnsi" w:hAnsiTheme="minorHAnsi" w:cstheme="minorHAnsi"/>
          <w:color w:val="auto"/>
        </w:rPr>
        <w:t xml:space="preserve">This observation will be a focus of next year’s on-site case file review during the FY 2025 </w:t>
      </w:r>
      <w:r w:rsidR="00F6562B">
        <w:rPr>
          <w:rFonts w:asciiTheme="minorHAnsi" w:hAnsiTheme="minorHAnsi" w:cstheme="minorHAnsi"/>
          <w:color w:val="auto"/>
        </w:rPr>
        <w:t>c</w:t>
      </w:r>
      <w:r w:rsidRPr="00832772">
        <w:rPr>
          <w:rFonts w:asciiTheme="minorHAnsi" w:hAnsiTheme="minorHAnsi" w:cstheme="minorHAnsi"/>
          <w:color w:val="auto"/>
        </w:rPr>
        <w:t>omprehensive FAME</w:t>
      </w:r>
      <w:r w:rsidR="00C271A7">
        <w:rPr>
          <w:rFonts w:asciiTheme="minorHAnsi" w:hAnsiTheme="minorHAnsi" w:cstheme="minorHAnsi"/>
          <w:color w:val="auto"/>
        </w:rPr>
        <w:t xml:space="preserve"> and </w:t>
      </w:r>
      <w:r w:rsidRPr="00832772">
        <w:rPr>
          <w:rFonts w:asciiTheme="minorHAnsi" w:hAnsiTheme="minorHAnsi" w:cstheme="minorHAnsi"/>
          <w:color w:val="auto"/>
        </w:rPr>
        <w:t>will be continued.</w:t>
      </w:r>
    </w:p>
    <w:bookmarkEnd w:id="20"/>
    <w:p w14:paraId="68C1A0FE" w14:textId="77777777" w:rsidR="00737116" w:rsidRPr="00832772" w:rsidRDefault="00737116" w:rsidP="005F13A7">
      <w:pPr>
        <w:pStyle w:val="Default"/>
        <w:rPr>
          <w:rFonts w:asciiTheme="minorHAnsi" w:hAnsiTheme="minorHAnsi" w:cstheme="minorHAnsi"/>
          <w:color w:val="auto"/>
        </w:rPr>
      </w:pPr>
    </w:p>
    <w:p w14:paraId="3475551C" w14:textId="7179EA42" w:rsidR="00737116" w:rsidRPr="00832772" w:rsidRDefault="00737116" w:rsidP="00737116">
      <w:pPr>
        <w:pStyle w:val="Default"/>
        <w:rPr>
          <w:rFonts w:asciiTheme="minorHAnsi" w:hAnsiTheme="minorHAnsi" w:cstheme="minorHAnsi"/>
        </w:rPr>
      </w:pPr>
      <w:r w:rsidRPr="00004F0B">
        <w:rPr>
          <w:rFonts w:asciiTheme="minorHAnsi" w:hAnsiTheme="minorHAnsi" w:cstheme="minorHAnsi"/>
          <w:b/>
          <w:bCs/>
        </w:rPr>
        <w:t>Observation FY 2024-OB-04 (formerly FY 2023-OB-04)</w:t>
      </w:r>
      <w:r w:rsidR="00DB5A3C" w:rsidRPr="00004F0B">
        <w:rPr>
          <w:rFonts w:asciiTheme="minorHAnsi" w:hAnsiTheme="minorHAnsi" w:cstheme="minorHAnsi"/>
          <w:b/>
          <w:bCs/>
        </w:rPr>
        <w:t>:</w:t>
      </w:r>
      <w:r w:rsidRPr="00832772">
        <w:rPr>
          <w:rFonts w:asciiTheme="minorHAnsi" w:hAnsiTheme="minorHAnsi" w:cstheme="minorHAnsi"/>
        </w:rPr>
        <w:t xml:space="preserve"> In FY 2023, in 12 (39 percent) of 31 case files reviewed for informal conferences, there were no summaries or notes on the main issues discussed, as required by the CONN-OSHA FOM, Chapter 7. </w:t>
      </w:r>
    </w:p>
    <w:p w14:paraId="6FE28646" w14:textId="77777777" w:rsidR="00737116" w:rsidRPr="00832772" w:rsidRDefault="00737116" w:rsidP="00737116">
      <w:pPr>
        <w:pStyle w:val="Default"/>
        <w:rPr>
          <w:rFonts w:asciiTheme="minorHAnsi" w:hAnsiTheme="minorHAnsi" w:cstheme="minorHAnsi"/>
        </w:rPr>
      </w:pPr>
    </w:p>
    <w:p w14:paraId="76C2911F" w14:textId="6D504C51" w:rsidR="00181365" w:rsidRPr="00832772" w:rsidRDefault="00737116" w:rsidP="00DC6E17">
      <w:pPr>
        <w:pStyle w:val="Default"/>
        <w:rPr>
          <w:rFonts w:asciiTheme="minorHAnsi" w:hAnsiTheme="minorHAnsi" w:cstheme="minorHAnsi"/>
          <w:color w:val="auto"/>
        </w:rPr>
      </w:pPr>
      <w:r w:rsidRPr="00832772">
        <w:rPr>
          <w:rFonts w:asciiTheme="minorHAnsi" w:hAnsiTheme="minorHAnsi" w:cstheme="minorHAnsi"/>
          <w:b/>
          <w:color w:val="auto"/>
        </w:rPr>
        <w:t xml:space="preserve">Status:  </w:t>
      </w:r>
      <w:r w:rsidRPr="00832772">
        <w:rPr>
          <w:rFonts w:asciiTheme="minorHAnsi" w:hAnsiTheme="minorHAnsi" w:cstheme="minorHAnsi"/>
          <w:color w:val="auto"/>
        </w:rPr>
        <w:t xml:space="preserve">A case file review is necessary to gather the facts needed to evaluate performance in relation to this observation. </w:t>
      </w:r>
      <w:r w:rsidR="00C271A7">
        <w:rPr>
          <w:rFonts w:asciiTheme="minorHAnsi" w:hAnsiTheme="minorHAnsi" w:cstheme="minorHAnsi"/>
          <w:color w:val="auto"/>
        </w:rPr>
        <w:t xml:space="preserve"> </w:t>
      </w:r>
      <w:r w:rsidRPr="00832772">
        <w:rPr>
          <w:rFonts w:asciiTheme="minorHAnsi" w:hAnsiTheme="minorHAnsi" w:cstheme="minorHAnsi"/>
          <w:color w:val="auto"/>
        </w:rPr>
        <w:t xml:space="preserve">This observation will be a focus of next year’s on-site case file review during the FY 2025 </w:t>
      </w:r>
      <w:r w:rsidR="00F6562B">
        <w:rPr>
          <w:rFonts w:asciiTheme="minorHAnsi" w:hAnsiTheme="minorHAnsi" w:cstheme="minorHAnsi"/>
          <w:color w:val="auto"/>
        </w:rPr>
        <w:t>c</w:t>
      </w:r>
      <w:r w:rsidRPr="00832772">
        <w:rPr>
          <w:rFonts w:asciiTheme="minorHAnsi" w:hAnsiTheme="minorHAnsi" w:cstheme="minorHAnsi"/>
          <w:color w:val="auto"/>
        </w:rPr>
        <w:t>omprehensive FAME</w:t>
      </w:r>
      <w:r w:rsidR="00C271A7">
        <w:rPr>
          <w:rFonts w:asciiTheme="minorHAnsi" w:hAnsiTheme="minorHAnsi" w:cstheme="minorHAnsi"/>
          <w:color w:val="auto"/>
        </w:rPr>
        <w:t xml:space="preserve"> and </w:t>
      </w:r>
      <w:r w:rsidRPr="00832772">
        <w:rPr>
          <w:rFonts w:asciiTheme="minorHAnsi" w:hAnsiTheme="minorHAnsi" w:cstheme="minorHAnsi"/>
          <w:color w:val="auto"/>
        </w:rPr>
        <w:t>will be continued.</w:t>
      </w:r>
    </w:p>
    <w:p w14:paraId="7C2F3EA1" w14:textId="77777777" w:rsidR="005E038B" w:rsidRPr="00832772" w:rsidRDefault="005E038B" w:rsidP="00783189">
      <w:pPr>
        <w:widowControl/>
        <w:autoSpaceDE/>
        <w:autoSpaceDN/>
        <w:adjustRightInd/>
        <w:rPr>
          <w:rFonts w:asciiTheme="minorHAnsi" w:hAnsiTheme="minorHAnsi" w:cstheme="minorHAnsi"/>
          <w:bCs/>
        </w:rPr>
      </w:pPr>
    </w:p>
    <w:p w14:paraId="3B828F9D" w14:textId="6C45BA5D" w:rsidR="00F132A8" w:rsidRPr="00832772" w:rsidRDefault="00F132A8" w:rsidP="0061362E">
      <w:pPr>
        <w:pStyle w:val="Heading3"/>
      </w:pPr>
      <w:bookmarkStart w:id="21" w:name="_Toc118900177"/>
      <w:bookmarkStart w:id="22" w:name="_Toc118905016"/>
      <w:bookmarkStart w:id="23" w:name="_Toc119418668"/>
      <w:r w:rsidRPr="00832772">
        <w:lastRenderedPageBreak/>
        <w:t>State Activity Mandated Measures (SAMM)</w:t>
      </w:r>
      <w:r w:rsidR="00A243D6" w:rsidRPr="00832772">
        <w:t xml:space="preserve"> Highlights</w:t>
      </w:r>
      <w:bookmarkEnd w:id="21"/>
      <w:bookmarkEnd w:id="22"/>
      <w:bookmarkEnd w:id="23"/>
    </w:p>
    <w:p w14:paraId="4A271990" w14:textId="77777777" w:rsidR="000A25BF" w:rsidRPr="00832772" w:rsidRDefault="000A25BF" w:rsidP="000A25BF">
      <w:pPr>
        <w:rPr>
          <w:rFonts w:asciiTheme="minorHAnsi" w:hAnsiTheme="minorHAnsi" w:cstheme="minorHAnsi"/>
        </w:rPr>
      </w:pPr>
    </w:p>
    <w:p w14:paraId="5337FC80" w14:textId="77777777" w:rsidR="000A25BF" w:rsidRPr="00832772" w:rsidRDefault="000A25BF" w:rsidP="000A25BF">
      <w:pPr>
        <w:rPr>
          <w:rFonts w:asciiTheme="minorHAnsi" w:hAnsiTheme="minorHAnsi" w:cstheme="minorHAnsi"/>
        </w:rPr>
      </w:pPr>
    </w:p>
    <w:p w14:paraId="067BCFF0" w14:textId="7B955834" w:rsidR="000D1F1F" w:rsidRPr="00832772" w:rsidRDefault="000A25BF" w:rsidP="000D1F1F">
      <w:pPr>
        <w:widowControl/>
        <w:autoSpaceDE/>
        <w:adjustRightInd/>
        <w:rPr>
          <w:rFonts w:asciiTheme="minorHAnsi" w:hAnsiTheme="minorHAnsi" w:cstheme="minorHAnsi"/>
        </w:rPr>
      </w:pPr>
      <w:r w:rsidRPr="00832772">
        <w:rPr>
          <w:rFonts w:asciiTheme="minorHAnsi" w:hAnsiTheme="minorHAnsi" w:cstheme="minorHAnsi"/>
        </w:rPr>
        <w:t xml:space="preserve">Each SAMM has an agreed upon </w:t>
      </w:r>
      <w:r w:rsidR="00FB6567">
        <w:rPr>
          <w:rFonts w:asciiTheme="minorHAnsi" w:hAnsiTheme="minorHAnsi" w:cstheme="minorHAnsi"/>
        </w:rPr>
        <w:t>further review level (</w:t>
      </w:r>
      <w:r w:rsidRPr="00832772">
        <w:rPr>
          <w:rFonts w:asciiTheme="minorHAnsi" w:hAnsiTheme="minorHAnsi" w:cstheme="minorHAnsi"/>
        </w:rPr>
        <w:t>FRL</w:t>
      </w:r>
      <w:r w:rsidR="00FB6567">
        <w:rPr>
          <w:rFonts w:asciiTheme="minorHAnsi" w:hAnsiTheme="minorHAnsi" w:cstheme="minorHAnsi"/>
        </w:rPr>
        <w:t>)</w:t>
      </w:r>
      <w:r w:rsidRPr="00832772">
        <w:rPr>
          <w:rFonts w:asciiTheme="minorHAnsi" w:hAnsiTheme="minorHAnsi" w:cstheme="minorHAnsi"/>
        </w:rPr>
        <w:t xml:space="preserve"> which can be either a single number or a range of numbers above and below the national average.  State Plan SAMM data that falls outside the FRL triggers a closer look at the underlying performance of the mandatory activity.  Appendix D presents the State Plan’s FY 2024 </w:t>
      </w:r>
      <w:r w:rsidR="00A54140">
        <w:rPr>
          <w:rFonts w:asciiTheme="minorHAnsi" w:hAnsiTheme="minorHAnsi" w:cstheme="minorHAnsi"/>
        </w:rPr>
        <w:t xml:space="preserve">SAMM </w:t>
      </w:r>
      <w:r w:rsidRPr="00832772">
        <w:rPr>
          <w:rFonts w:asciiTheme="minorHAnsi" w:hAnsiTheme="minorHAnsi" w:cstheme="minorHAnsi"/>
        </w:rPr>
        <w:t xml:space="preserve">Report and includes the FRL for each measure. </w:t>
      </w:r>
      <w:r w:rsidR="00B053C6" w:rsidRPr="00832772">
        <w:rPr>
          <w:rFonts w:asciiTheme="minorHAnsi" w:hAnsiTheme="minorHAnsi" w:cstheme="minorHAnsi"/>
        </w:rPr>
        <w:t xml:space="preserve"> </w:t>
      </w:r>
      <w:r w:rsidR="000D1F1F" w:rsidRPr="00832772">
        <w:rPr>
          <w:rFonts w:asciiTheme="minorHAnsi" w:hAnsiTheme="minorHAnsi" w:cstheme="minorHAnsi"/>
        </w:rPr>
        <w:t>In FY 202</w:t>
      </w:r>
      <w:r w:rsidRPr="00832772">
        <w:rPr>
          <w:rFonts w:asciiTheme="minorHAnsi" w:hAnsiTheme="minorHAnsi" w:cstheme="minorHAnsi"/>
        </w:rPr>
        <w:t>4</w:t>
      </w:r>
      <w:r w:rsidR="000D1F1F" w:rsidRPr="00832772">
        <w:rPr>
          <w:rFonts w:asciiTheme="minorHAnsi" w:hAnsiTheme="minorHAnsi" w:cstheme="minorHAnsi"/>
        </w:rPr>
        <w:t>, CONN-OSHA performed satisfactorily on all SAMMs.</w:t>
      </w:r>
    </w:p>
    <w:p w14:paraId="4DD4CBB7" w14:textId="77777777" w:rsidR="000A134A" w:rsidRPr="00832772" w:rsidRDefault="000A134A" w:rsidP="007A71AC">
      <w:pPr>
        <w:widowControl/>
        <w:autoSpaceDE/>
        <w:autoSpaceDN/>
        <w:adjustRightInd/>
        <w:rPr>
          <w:rFonts w:asciiTheme="minorHAnsi" w:hAnsiTheme="minorHAnsi" w:cstheme="minorHAnsi"/>
        </w:rPr>
        <w:sectPr w:rsidR="000A134A" w:rsidRPr="00832772" w:rsidSect="00783189">
          <w:footerReference w:type="default" r:id="rId10"/>
          <w:footerReference w:type="first" r:id="rId11"/>
          <w:pgSz w:w="12240" w:h="15840"/>
          <w:pgMar w:top="1440" w:right="1260" w:bottom="1260" w:left="1440" w:header="720" w:footer="526" w:gutter="0"/>
          <w:pgNumType w:start="1"/>
          <w:cols w:space="720"/>
          <w:titlePg/>
          <w:docGrid w:linePitch="360"/>
        </w:sectPr>
      </w:pPr>
    </w:p>
    <w:p w14:paraId="516D3ECD" w14:textId="77777777" w:rsidR="00B6741C" w:rsidRPr="00832772" w:rsidRDefault="00B6741C" w:rsidP="000F63C1">
      <w:pPr>
        <w:pStyle w:val="Heading3"/>
        <w:numPr>
          <w:ilvl w:val="0"/>
          <w:numId w:val="0"/>
        </w:numPr>
      </w:pPr>
      <w:bookmarkStart w:id="24" w:name="_Toc118905017"/>
      <w:bookmarkStart w:id="25" w:name="_Toc119418669"/>
      <w:r w:rsidRPr="00832772">
        <w:lastRenderedPageBreak/>
        <w:t>Appendix A – New and Continued Findings and Recommendations</w:t>
      </w:r>
      <w:bookmarkEnd w:id="24"/>
      <w:bookmarkEnd w:id="25"/>
    </w:p>
    <w:p w14:paraId="77980CE2" w14:textId="49F7FE50" w:rsidR="000A134A" w:rsidRPr="000D25DD" w:rsidRDefault="00B6741C" w:rsidP="005112D7">
      <w:pPr>
        <w:rPr>
          <w:rFonts w:asciiTheme="minorHAnsi" w:hAnsiTheme="minorHAnsi" w:cstheme="minorHAnsi"/>
        </w:rPr>
      </w:pPr>
      <w:r w:rsidRPr="000D25DD">
        <w:rPr>
          <w:rFonts w:asciiTheme="minorHAnsi" w:hAnsiTheme="minorHAnsi" w:cstheme="minorHAnsi"/>
        </w:rPr>
        <w:t>FY 20</w:t>
      </w:r>
      <w:r w:rsidR="005112D7" w:rsidRPr="000D25DD">
        <w:rPr>
          <w:rFonts w:asciiTheme="minorHAnsi" w:hAnsiTheme="minorHAnsi" w:cstheme="minorHAnsi"/>
        </w:rPr>
        <w:t>24</w:t>
      </w:r>
      <w:r w:rsidRPr="000D25DD">
        <w:rPr>
          <w:rFonts w:asciiTheme="minorHAnsi" w:hAnsiTheme="minorHAnsi" w:cstheme="minorHAnsi"/>
        </w:rPr>
        <w:t xml:space="preserve"> </w:t>
      </w:r>
      <w:r w:rsidR="00D62722" w:rsidRPr="000D25DD">
        <w:rPr>
          <w:rFonts w:asciiTheme="minorHAnsi" w:hAnsiTheme="minorHAnsi" w:cstheme="minorHAnsi"/>
        </w:rPr>
        <w:t>CONN-OSHA</w:t>
      </w:r>
      <w:r w:rsidRPr="000D25DD">
        <w:rPr>
          <w:rFonts w:asciiTheme="minorHAnsi" w:hAnsiTheme="minorHAnsi" w:cstheme="minorHAnsi"/>
        </w:rPr>
        <w:t xml:space="preserve"> Follow-up FAME Repo</w:t>
      </w:r>
      <w:r w:rsidR="00D62722" w:rsidRPr="000D25DD">
        <w:rPr>
          <w:rFonts w:asciiTheme="minorHAnsi" w:hAnsiTheme="minorHAnsi" w:cstheme="minorHAnsi"/>
        </w:rPr>
        <w:t>rt</w:t>
      </w:r>
    </w:p>
    <w:p w14:paraId="4A703A94" w14:textId="77777777" w:rsidR="00D62722" w:rsidRPr="00832772" w:rsidRDefault="00D62722" w:rsidP="005112D7">
      <w:pPr>
        <w:rPr>
          <w:rFonts w:asciiTheme="minorHAnsi" w:hAnsiTheme="minorHAnsi" w:cstheme="minorHAns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832772" w14:paraId="0F6BB42C" w14:textId="77777777" w:rsidTr="00185C7D">
        <w:trPr>
          <w:trHeight w:val="350"/>
        </w:trPr>
        <w:tc>
          <w:tcPr>
            <w:tcW w:w="1440" w:type="dxa"/>
          </w:tcPr>
          <w:p w14:paraId="1F333F67" w14:textId="603711DE" w:rsidR="000A134A" w:rsidRPr="00832772" w:rsidRDefault="000A134A" w:rsidP="007A71AC">
            <w:pPr>
              <w:widowControl/>
              <w:autoSpaceDE/>
              <w:autoSpaceDN/>
              <w:adjustRightInd/>
              <w:jc w:val="center"/>
              <w:rPr>
                <w:rFonts w:asciiTheme="minorHAnsi" w:hAnsiTheme="minorHAnsi" w:cstheme="minorHAnsi"/>
                <w:b/>
              </w:rPr>
            </w:pPr>
            <w:r w:rsidRPr="00832772">
              <w:rPr>
                <w:rFonts w:asciiTheme="minorHAnsi" w:hAnsiTheme="minorHAnsi" w:cstheme="minorHAnsi"/>
                <w:b/>
              </w:rPr>
              <w:t xml:space="preserve">FY </w:t>
            </w:r>
            <w:r w:rsidR="00DC4A62" w:rsidRPr="00832772">
              <w:rPr>
                <w:rFonts w:asciiTheme="minorHAnsi" w:hAnsiTheme="minorHAnsi" w:cstheme="minorHAnsi"/>
                <w:b/>
              </w:rPr>
              <w:t>20</w:t>
            </w:r>
            <w:r w:rsidR="000D25DD">
              <w:rPr>
                <w:rFonts w:asciiTheme="minorHAnsi" w:hAnsiTheme="minorHAnsi" w:cstheme="minorHAnsi"/>
                <w:b/>
              </w:rPr>
              <w:t>24</w:t>
            </w:r>
            <w:r w:rsidRPr="00832772">
              <w:rPr>
                <w:rFonts w:asciiTheme="minorHAnsi" w:hAnsiTheme="minorHAnsi" w:cstheme="minorHAnsi"/>
                <w:b/>
              </w:rPr>
              <w:t>-</w:t>
            </w:r>
            <w:r w:rsidR="00BB0343" w:rsidRPr="00832772">
              <w:rPr>
                <w:rFonts w:asciiTheme="minorHAnsi" w:hAnsiTheme="minorHAnsi" w:cstheme="minorHAnsi"/>
                <w:b/>
              </w:rPr>
              <w:t>#</w:t>
            </w:r>
          </w:p>
        </w:tc>
        <w:tc>
          <w:tcPr>
            <w:tcW w:w="4721" w:type="dxa"/>
          </w:tcPr>
          <w:p w14:paraId="0C140B4B" w14:textId="77777777" w:rsidR="000A134A" w:rsidRPr="00832772" w:rsidRDefault="000A134A" w:rsidP="007A71AC">
            <w:pPr>
              <w:widowControl/>
              <w:autoSpaceDE/>
              <w:autoSpaceDN/>
              <w:adjustRightInd/>
              <w:jc w:val="center"/>
              <w:rPr>
                <w:rFonts w:asciiTheme="minorHAnsi" w:hAnsiTheme="minorHAnsi" w:cstheme="minorHAnsi"/>
                <w:b/>
              </w:rPr>
            </w:pPr>
            <w:r w:rsidRPr="00832772">
              <w:rPr>
                <w:rFonts w:asciiTheme="minorHAnsi" w:hAnsiTheme="minorHAnsi" w:cstheme="minorHAnsi"/>
                <w:b/>
              </w:rPr>
              <w:t>Finding</w:t>
            </w:r>
          </w:p>
        </w:tc>
        <w:tc>
          <w:tcPr>
            <w:tcW w:w="4819" w:type="dxa"/>
          </w:tcPr>
          <w:p w14:paraId="7801EA8C" w14:textId="77777777" w:rsidR="000A134A" w:rsidRPr="00832772" w:rsidRDefault="000A134A" w:rsidP="007A71AC">
            <w:pPr>
              <w:widowControl/>
              <w:autoSpaceDE/>
              <w:autoSpaceDN/>
              <w:adjustRightInd/>
              <w:jc w:val="center"/>
              <w:rPr>
                <w:rFonts w:asciiTheme="minorHAnsi" w:hAnsiTheme="minorHAnsi" w:cstheme="minorHAnsi"/>
                <w:b/>
              </w:rPr>
            </w:pPr>
            <w:r w:rsidRPr="00832772">
              <w:rPr>
                <w:rFonts w:asciiTheme="minorHAnsi" w:hAnsiTheme="minorHAnsi" w:cstheme="minorHAnsi"/>
                <w:b/>
              </w:rPr>
              <w:t>Recommendation</w:t>
            </w:r>
          </w:p>
        </w:tc>
        <w:tc>
          <w:tcPr>
            <w:tcW w:w="1890" w:type="dxa"/>
          </w:tcPr>
          <w:p w14:paraId="7C9006CD" w14:textId="5DB53E55" w:rsidR="00BB0343" w:rsidRPr="00832772" w:rsidRDefault="00BB0343" w:rsidP="007A71AC">
            <w:pPr>
              <w:widowControl/>
              <w:autoSpaceDE/>
              <w:autoSpaceDN/>
              <w:adjustRightInd/>
              <w:jc w:val="center"/>
              <w:rPr>
                <w:rFonts w:asciiTheme="minorHAnsi" w:hAnsiTheme="minorHAnsi" w:cstheme="minorHAnsi"/>
                <w:b/>
              </w:rPr>
            </w:pPr>
            <w:r w:rsidRPr="00832772">
              <w:rPr>
                <w:rFonts w:asciiTheme="minorHAnsi" w:hAnsiTheme="minorHAnsi" w:cstheme="minorHAnsi"/>
                <w:b/>
              </w:rPr>
              <w:t xml:space="preserve">FY </w:t>
            </w:r>
            <w:r w:rsidR="00DC4A62" w:rsidRPr="00832772">
              <w:rPr>
                <w:rFonts w:asciiTheme="minorHAnsi" w:hAnsiTheme="minorHAnsi" w:cstheme="minorHAnsi"/>
                <w:b/>
              </w:rPr>
              <w:t>20</w:t>
            </w:r>
            <w:r w:rsidR="000D25DD">
              <w:rPr>
                <w:rFonts w:asciiTheme="minorHAnsi" w:hAnsiTheme="minorHAnsi" w:cstheme="minorHAnsi"/>
                <w:b/>
              </w:rPr>
              <w:t>23</w:t>
            </w:r>
            <w:r w:rsidRPr="00832772">
              <w:rPr>
                <w:rFonts w:asciiTheme="minorHAnsi" w:hAnsiTheme="minorHAnsi" w:cstheme="minorHAnsi"/>
                <w:b/>
              </w:rPr>
              <w:t xml:space="preserve">-# or </w:t>
            </w:r>
          </w:p>
          <w:p w14:paraId="3C61CFBF" w14:textId="5F5272E6" w:rsidR="000A134A" w:rsidRPr="00832772" w:rsidRDefault="00BB0343" w:rsidP="007A71AC">
            <w:pPr>
              <w:widowControl/>
              <w:autoSpaceDE/>
              <w:autoSpaceDN/>
              <w:adjustRightInd/>
              <w:jc w:val="center"/>
              <w:rPr>
                <w:rFonts w:asciiTheme="minorHAnsi" w:hAnsiTheme="minorHAnsi" w:cstheme="minorHAnsi"/>
                <w:b/>
              </w:rPr>
            </w:pPr>
            <w:r w:rsidRPr="00832772">
              <w:rPr>
                <w:rFonts w:asciiTheme="minorHAnsi" w:hAnsiTheme="minorHAnsi" w:cstheme="minorHAnsi"/>
                <w:b/>
              </w:rPr>
              <w:t xml:space="preserve">FY </w:t>
            </w:r>
            <w:r w:rsidR="00DC4A62" w:rsidRPr="00832772">
              <w:rPr>
                <w:rFonts w:asciiTheme="minorHAnsi" w:hAnsiTheme="minorHAnsi" w:cstheme="minorHAnsi"/>
                <w:b/>
              </w:rPr>
              <w:t>20</w:t>
            </w:r>
            <w:r w:rsidR="000D25DD">
              <w:rPr>
                <w:rFonts w:asciiTheme="minorHAnsi" w:hAnsiTheme="minorHAnsi" w:cstheme="minorHAnsi"/>
                <w:b/>
              </w:rPr>
              <w:t>23</w:t>
            </w:r>
            <w:r w:rsidRPr="00832772">
              <w:rPr>
                <w:rFonts w:asciiTheme="minorHAnsi" w:hAnsiTheme="minorHAnsi" w:cstheme="minorHAnsi"/>
                <w:b/>
              </w:rPr>
              <w:t>-OB-#</w:t>
            </w:r>
          </w:p>
        </w:tc>
      </w:tr>
      <w:tr w:rsidR="000A134A" w:rsidRPr="00832772" w14:paraId="5368CE16" w14:textId="77777777" w:rsidTr="00185C7D">
        <w:tc>
          <w:tcPr>
            <w:tcW w:w="1440" w:type="dxa"/>
          </w:tcPr>
          <w:p w14:paraId="31EBB109" w14:textId="77777777" w:rsidR="000A134A" w:rsidRPr="00832772" w:rsidRDefault="000A134A" w:rsidP="007A71AC">
            <w:pPr>
              <w:widowControl/>
              <w:autoSpaceDE/>
              <w:autoSpaceDN/>
              <w:adjustRightInd/>
              <w:rPr>
                <w:rFonts w:asciiTheme="minorHAnsi" w:hAnsiTheme="minorHAnsi" w:cstheme="minorHAnsi"/>
              </w:rPr>
            </w:pPr>
            <w:r w:rsidRPr="00832772">
              <w:rPr>
                <w:rFonts w:asciiTheme="minorHAnsi" w:hAnsiTheme="minorHAnsi" w:cstheme="minorHAnsi"/>
              </w:rPr>
              <w:t xml:space="preserve"> </w:t>
            </w:r>
          </w:p>
          <w:p w14:paraId="39F370D3" w14:textId="77777777" w:rsidR="000A134A" w:rsidRPr="00832772" w:rsidRDefault="000A134A" w:rsidP="007A71AC">
            <w:pPr>
              <w:widowControl/>
              <w:autoSpaceDE/>
              <w:autoSpaceDN/>
              <w:adjustRightInd/>
              <w:rPr>
                <w:rFonts w:asciiTheme="minorHAnsi" w:hAnsiTheme="minorHAnsi" w:cstheme="minorHAnsi"/>
              </w:rPr>
            </w:pPr>
          </w:p>
        </w:tc>
        <w:tc>
          <w:tcPr>
            <w:tcW w:w="4721" w:type="dxa"/>
          </w:tcPr>
          <w:p w14:paraId="4B3C1E3A" w14:textId="55847820" w:rsidR="000A134A" w:rsidRPr="00832772" w:rsidRDefault="007C0C4F" w:rsidP="007A71AC">
            <w:pPr>
              <w:widowControl/>
              <w:autoSpaceDE/>
              <w:autoSpaceDN/>
              <w:adjustRightInd/>
              <w:rPr>
                <w:rFonts w:asciiTheme="minorHAnsi" w:hAnsiTheme="minorHAnsi" w:cstheme="minorHAnsi"/>
              </w:rPr>
            </w:pPr>
            <w:r>
              <w:rPr>
                <w:rFonts w:asciiTheme="minorHAnsi" w:hAnsiTheme="minorHAnsi" w:cstheme="minorHAnsi"/>
              </w:rPr>
              <w:t>None.</w:t>
            </w:r>
          </w:p>
        </w:tc>
        <w:tc>
          <w:tcPr>
            <w:tcW w:w="4819" w:type="dxa"/>
          </w:tcPr>
          <w:p w14:paraId="5C606D29" w14:textId="77777777" w:rsidR="000A134A" w:rsidRPr="00832772" w:rsidRDefault="000A134A" w:rsidP="007A71AC">
            <w:pPr>
              <w:widowControl/>
              <w:autoSpaceDE/>
              <w:autoSpaceDN/>
              <w:adjustRightInd/>
              <w:rPr>
                <w:rFonts w:asciiTheme="minorHAnsi" w:hAnsiTheme="minorHAnsi" w:cstheme="minorHAnsi"/>
              </w:rPr>
            </w:pPr>
            <w:r w:rsidRPr="00832772">
              <w:rPr>
                <w:rFonts w:asciiTheme="minorHAnsi" w:hAnsiTheme="minorHAnsi" w:cstheme="minorHAnsi"/>
              </w:rPr>
              <w:t xml:space="preserve"> </w:t>
            </w:r>
          </w:p>
          <w:p w14:paraId="7A48B2C8" w14:textId="77777777" w:rsidR="000A134A" w:rsidRPr="00832772" w:rsidRDefault="000A134A" w:rsidP="007A71AC">
            <w:pPr>
              <w:widowControl/>
              <w:autoSpaceDE/>
              <w:autoSpaceDN/>
              <w:adjustRightInd/>
              <w:rPr>
                <w:rFonts w:asciiTheme="minorHAnsi" w:hAnsiTheme="minorHAnsi" w:cstheme="minorHAnsi"/>
              </w:rPr>
            </w:pPr>
          </w:p>
        </w:tc>
        <w:tc>
          <w:tcPr>
            <w:tcW w:w="1890" w:type="dxa"/>
          </w:tcPr>
          <w:p w14:paraId="51FF8A48" w14:textId="77777777" w:rsidR="000A134A" w:rsidRPr="00832772" w:rsidRDefault="000A134A" w:rsidP="007A71AC">
            <w:pPr>
              <w:widowControl/>
              <w:autoSpaceDE/>
              <w:autoSpaceDN/>
              <w:adjustRightInd/>
              <w:rPr>
                <w:rFonts w:asciiTheme="minorHAnsi" w:hAnsiTheme="minorHAnsi" w:cstheme="minorHAnsi"/>
              </w:rPr>
            </w:pPr>
            <w:r w:rsidRPr="00832772">
              <w:rPr>
                <w:rFonts w:asciiTheme="minorHAnsi" w:hAnsiTheme="minorHAnsi" w:cstheme="minorHAnsi"/>
              </w:rPr>
              <w:t xml:space="preserve"> </w:t>
            </w:r>
          </w:p>
        </w:tc>
      </w:tr>
    </w:tbl>
    <w:p w14:paraId="3C1E0E19" w14:textId="77777777" w:rsidR="000A134A" w:rsidRDefault="000A134A" w:rsidP="007A71AC">
      <w:pPr>
        <w:widowControl/>
        <w:autoSpaceDE/>
        <w:autoSpaceDN/>
        <w:adjustRightInd/>
        <w:rPr>
          <w:rFonts w:asciiTheme="minorHAnsi" w:hAnsiTheme="minorHAnsi" w:cstheme="minorHAnsi"/>
        </w:rPr>
      </w:pPr>
    </w:p>
    <w:p w14:paraId="436B80F5" w14:textId="77777777" w:rsidR="0041306D" w:rsidRDefault="0041306D" w:rsidP="007A71AC">
      <w:pPr>
        <w:widowControl/>
        <w:autoSpaceDE/>
        <w:autoSpaceDN/>
        <w:adjustRightInd/>
        <w:rPr>
          <w:rFonts w:asciiTheme="minorHAnsi" w:hAnsiTheme="minorHAnsi" w:cstheme="minorHAnsi"/>
        </w:rPr>
      </w:pPr>
    </w:p>
    <w:p w14:paraId="231FEF88" w14:textId="77777777" w:rsidR="0041306D" w:rsidRDefault="0041306D" w:rsidP="007A71AC">
      <w:pPr>
        <w:widowControl/>
        <w:autoSpaceDE/>
        <w:autoSpaceDN/>
        <w:adjustRightInd/>
        <w:rPr>
          <w:rFonts w:asciiTheme="minorHAnsi" w:hAnsiTheme="minorHAnsi" w:cstheme="minorHAnsi"/>
        </w:rPr>
      </w:pPr>
    </w:p>
    <w:p w14:paraId="5C2007B0" w14:textId="77777777" w:rsidR="0041306D" w:rsidRPr="00832772" w:rsidRDefault="0041306D" w:rsidP="007A71AC">
      <w:pPr>
        <w:widowControl/>
        <w:autoSpaceDE/>
        <w:autoSpaceDN/>
        <w:adjustRightInd/>
        <w:rPr>
          <w:rFonts w:asciiTheme="minorHAnsi" w:hAnsiTheme="minorHAnsi" w:cstheme="minorHAnsi"/>
        </w:rPr>
      </w:pPr>
    </w:p>
    <w:p w14:paraId="6630CD3E" w14:textId="77777777" w:rsidR="0041306D" w:rsidRDefault="0041306D" w:rsidP="007A71AC">
      <w:pPr>
        <w:widowControl/>
        <w:autoSpaceDE/>
        <w:autoSpaceDN/>
        <w:adjustRightInd/>
        <w:rPr>
          <w:rFonts w:asciiTheme="minorHAnsi" w:hAnsiTheme="minorHAnsi" w:cstheme="minorHAnsi"/>
          <w:iCs/>
          <w:color w:val="0070C0"/>
        </w:rPr>
      </w:pPr>
    </w:p>
    <w:p w14:paraId="73C5B7D5" w14:textId="77777777" w:rsidR="0041306D" w:rsidRDefault="0041306D" w:rsidP="007A71AC">
      <w:pPr>
        <w:widowControl/>
        <w:autoSpaceDE/>
        <w:autoSpaceDN/>
        <w:adjustRightInd/>
        <w:rPr>
          <w:rFonts w:asciiTheme="minorHAnsi" w:hAnsiTheme="minorHAnsi" w:cstheme="minorHAnsi"/>
          <w:iCs/>
          <w:color w:val="0070C0"/>
        </w:rPr>
      </w:pPr>
    </w:p>
    <w:p w14:paraId="09F0D36F" w14:textId="77777777" w:rsidR="0041306D" w:rsidRDefault="0041306D" w:rsidP="007A71AC">
      <w:pPr>
        <w:widowControl/>
        <w:autoSpaceDE/>
        <w:autoSpaceDN/>
        <w:adjustRightInd/>
        <w:rPr>
          <w:rFonts w:asciiTheme="minorHAnsi" w:hAnsiTheme="minorHAnsi" w:cstheme="minorHAnsi"/>
          <w:iCs/>
          <w:color w:val="0070C0"/>
        </w:rPr>
      </w:pPr>
    </w:p>
    <w:p w14:paraId="551B5356" w14:textId="77777777" w:rsidR="0041306D" w:rsidRDefault="0041306D" w:rsidP="007A71AC">
      <w:pPr>
        <w:widowControl/>
        <w:autoSpaceDE/>
        <w:autoSpaceDN/>
        <w:adjustRightInd/>
        <w:rPr>
          <w:rFonts w:asciiTheme="minorHAnsi" w:hAnsiTheme="minorHAnsi" w:cstheme="minorHAnsi"/>
          <w:iCs/>
          <w:color w:val="0070C0"/>
        </w:rPr>
      </w:pPr>
    </w:p>
    <w:p w14:paraId="32499EC2" w14:textId="77777777" w:rsidR="0041306D" w:rsidRDefault="0041306D" w:rsidP="007A71AC">
      <w:pPr>
        <w:widowControl/>
        <w:autoSpaceDE/>
        <w:autoSpaceDN/>
        <w:adjustRightInd/>
        <w:rPr>
          <w:rFonts w:asciiTheme="minorHAnsi" w:hAnsiTheme="minorHAnsi" w:cstheme="minorHAnsi"/>
          <w:iCs/>
          <w:color w:val="0070C0"/>
        </w:rPr>
      </w:pPr>
    </w:p>
    <w:p w14:paraId="67537BAD" w14:textId="77777777" w:rsidR="0041306D" w:rsidRDefault="0041306D" w:rsidP="007A71AC">
      <w:pPr>
        <w:widowControl/>
        <w:autoSpaceDE/>
        <w:autoSpaceDN/>
        <w:adjustRightInd/>
        <w:rPr>
          <w:rFonts w:asciiTheme="minorHAnsi" w:hAnsiTheme="minorHAnsi" w:cstheme="minorHAnsi"/>
          <w:iCs/>
          <w:color w:val="0070C0"/>
        </w:rPr>
      </w:pPr>
    </w:p>
    <w:p w14:paraId="452BE25F" w14:textId="77777777" w:rsidR="0041306D" w:rsidRDefault="0041306D" w:rsidP="007A71AC">
      <w:pPr>
        <w:widowControl/>
        <w:autoSpaceDE/>
        <w:autoSpaceDN/>
        <w:adjustRightInd/>
        <w:rPr>
          <w:rFonts w:asciiTheme="minorHAnsi" w:hAnsiTheme="minorHAnsi" w:cstheme="minorHAnsi"/>
          <w:iCs/>
          <w:color w:val="0070C0"/>
        </w:rPr>
      </w:pPr>
    </w:p>
    <w:p w14:paraId="68E44035" w14:textId="77777777" w:rsidR="0073502C" w:rsidRDefault="0073502C" w:rsidP="007A71AC">
      <w:pPr>
        <w:widowControl/>
        <w:autoSpaceDE/>
        <w:autoSpaceDN/>
        <w:adjustRightInd/>
        <w:rPr>
          <w:rFonts w:asciiTheme="minorHAnsi" w:hAnsiTheme="minorHAnsi" w:cstheme="minorHAnsi"/>
          <w:iCs/>
          <w:color w:val="0070C0"/>
        </w:rPr>
      </w:pPr>
    </w:p>
    <w:p w14:paraId="2A7D981E" w14:textId="77777777" w:rsidR="0073502C" w:rsidRDefault="0073502C" w:rsidP="007A71AC">
      <w:pPr>
        <w:widowControl/>
        <w:autoSpaceDE/>
        <w:autoSpaceDN/>
        <w:adjustRightInd/>
        <w:rPr>
          <w:rFonts w:asciiTheme="minorHAnsi" w:hAnsiTheme="minorHAnsi" w:cstheme="minorHAnsi"/>
          <w:iCs/>
          <w:color w:val="0070C0"/>
        </w:rPr>
      </w:pPr>
    </w:p>
    <w:p w14:paraId="01B39054" w14:textId="77777777" w:rsidR="0073502C" w:rsidRDefault="0073502C" w:rsidP="007A71AC">
      <w:pPr>
        <w:widowControl/>
        <w:autoSpaceDE/>
        <w:autoSpaceDN/>
        <w:adjustRightInd/>
        <w:rPr>
          <w:rFonts w:asciiTheme="minorHAnsi" w:hAnsiTheme="minorHAnsi" w:cstheme="minorHAnsi"/>
          <w:iCs/>
          <w:color w:val="0070C0"/>
        </w:rPr>
      </w:pPr>
    </w:p>
    <w:p w14:paraId="3AB3DC8E" w14:textId="77777777" w:rsidR="000A134A" w:rsidRPr="00832772" w:rsidRDefault="000A134A" w:rsidP="007A71AC">
      <w:pPr>
        <w:widowControl/>
        <w:autoSpaceDE/>
        <w:autoSpaceDN/>
        <w:adjustRightInd/>
        <w:rPr>
          <w:rFonts w:asciiTheme="minorHAnsi" w:hAnsiTheme="minorHAnsi" w:cstheme="minorHAnsi"/>
          <w:iCs/>
          <w:color w:val="0070C0"/>
        </w:rPr>
      </w:pPr>
    </w:p>
    <w:p w14:paraId="693D6D3C" w14:textId="77777777" w:rsidR="000A134A" w:rsidRPr="00832772" w:rsidRDefault="000A134A" w:rsidP="007A71AC">
      <w:pPr>
        <w:widowControl/>
        <w:autoSpaceDE/>
        <w:autoSpaceDN/>
        <w:adjustRightInd/>
        <w:rPr>
          <w:rFonts w:asciiTheme="minorHAnsi" w:hAnsiTheme="minorHAnsi" w:cstheme="minorHAnsi"/>
          <w:iCs/>
          <w:color w:val="0070C0"/>
        </w:rPr>
      </w:pPr>
    </w:p>
    <w:p w14:paraId="7C19C4AE" w14:textId="77777777" w:rsidR="00D86879" w:rsidRPr="00832772" w:rsidRDefault="00D86879" w:rsidP="007A71AC">
      <w:pPr>
        <w:widowControl/>
        <w:autoSpaceDE/>
        <w:autoSpaceDN/>
        <w:adjustRightInd/>
        <w:rPr>
          <w:rFonts w:asciiTheme="minorHAnsi" w:hAnsiTheme="minorHAnsi" w:cstheme="minorHAnsi"/>
          <w:i/>
        </w:rPr>
      </w:pPr>
    </w:p>
    <w:p w14:paraId="039B49D1" w14:textId="77777777" w:rsidR="00D86879" w:rsidRPr="00832772" w:rsidRDefault="00D86879" w:rsidP="007A71AC">
      <w:pPr>
        <w:widowControl/>
        <w:autoSpaceDE/>
        <w:autoSpaceDN/>
        <w:adjustRightInd/>
        <w:rPr>
          <w:rFonts w:asciiTheme="minorHAnsi" w:hAnsiTheme="minorHAnsi" w:cstheme="minorHAnsi"/>
          <w:i/>
        </w:rPr>
      </w:pPr>
    </w:p>
    <w:p w14:paraId="776B7B1D" w14:textId="77777777" w:rsidR="00D86879" w:rsidRDefault="00D86879" w:rsidP="007A71AC">
      <w:pPr>
        <w:widowControl/>
        <w:autoSpaceDE/>
        <w:autoSpaceDN/>
        <w:adjustRightInd/>
        <w:rPr>
          <w:rFonts w:asciiTheme="minorHAnsi" w:hAnsiTheme="minorHAnsi" w:cstheme="minorHAnsi"/>
          <w:i/>
        </w:rPr>
      </w:pPr>
    </w:p>
    <w:p w14:paraId="09AF138E" w14:textId="77777777" w:rsidR="00E40066" w:rsidRDefault="00E40066" w:rsidP="007A71AC">
      <w:pPr>
        <w:widowControl/>
        <w:autoSpaceDE/>
        <w:autoSpaceDN/>
        <w:adjustRightInd/>
        <w:rPr>
          <w:rFonts w:asciiTheme="minorHAnsi" w:hAnsiTheme="minorHAnsi" w:cstheme="minorHAnsi"/>
          <w:i/>
        </w:rPr>
      </w:pPr>
    </w:p>
    <w:p w14:paraId="0A5F506C" w14:textId="77777777" w:rsidR="00E40066" w:rsidRPr="00832772" w:rsidRDefault="00E40066" w:rsidP="007A71AC">
      <w:pPr>
        <w:widowControl/>
        <w:autoSpaceDE/>
        <w:autoSpaceDN/>
        <w:adjustRightInd/>
        <w:rPr>
          <w:rFonts w:asciiTheme="minorHAnsi" w:hAnsiTheme="minorHAnsi" w:cstheme="minorHAnsi"/>
          <w:i/>
        </w:rPr>
      </w:pPr>
    </w:p>
    <w:p w14:paraId="715EFD78" w14:textId="77777777" w:rsidR="00D86879" w:rsidRPr="00832772" w:rsidRDefault="00D86879" w:rsidP="007A71AC">
      <w:pPr>
        <w:widowControl/>
        <w:autoSpaceDE/>
        <w:autoSpaceDN/>
        <w:adjustRightInd/>
        <w:rPr>
          <w:rFonts w:asciiTheme="minorHAnsi" w:hAnsiTheme="minorHAnsi" w:cstheme="minorHAnsi"/>
          <w:i/>
        </w:rPr>
      </w:pPr>
    </w:p>
    <w:p w14:paraId="72DA695E" w14:textId="77777777" w:rsidR="00B6741C" w:rsidRPr="00832772" w:rsidRDefault="00B6741C" w:rsidP="000F63C1">
      <w:pPr>
        <w:pStyle w:val="Heading3"/>
        <w:numPr>
          <w:ilvl w:val="0"/>
          <w:numId w:val="0"/>
        </w:numPr>
      </w:pPr>
      <w:bookmarkStart w:id="26" w:name="_Toc118905018"/>
      <w:bookmarkStart w:id="27" w:name="_Toc119418670"/>
      <w:r w:rsidRPr="00832772">
        <w:lastRenderedPageBreak/>
        <w:t>Appendix B – Observations Subject to Continued Monitoring</w:t>
      </w:r>
      <w:bookmarkEnd w:id="26"/>
      <w:bookmarkEnd w:id="27"/>
    </w:p>
    <w:p w14:paraId="73014EBD" w14:textId="0BA3A98A" w:rsidR="00B6741C" w:rsidRPr="007424C3" w:rsidRDefault="00B6741C" w:rsidP="0002572C">
      <w:pPr>
        <w:rPr>
          <w:rFonts w:asciiTheme="minorHAnsi" w:hAnsiTheme="minorHAnsi" w:cstheme="minorHAnsi"/>
        </w:rPr>
      </w:pPr>
      <w:r w:rsidRPr="007424C3">
        <w:rPr>
          <w:rFonts w:asciiTheme="minorHAnsi" w:hAnsiTheme="minorHAnsi" w:cstheme="minorHAnsi"/>
        </w:rPr>
        <w:t>FY 20</w:t>
      </w:r>
      <w:r w:rsidR="000D25DD" w:rsidRPr="007424C3">
        <w:rPr>
          <w:rFonts w:asciiTheme="minorHAnsi" w:hAnsiTheme="minorHAnsi" w:cstheme="minorHAnsi"/>
        </w:rPr>
        <w:t>24</w:t>
      </w:r>
      <w:r w:rsidRPr="007424C3">
        <w:rPr>
          <w:rFonts w:asciiTheme="minorHAnsi" w:hAnsiTheme="minorHAnsi" w:cstheme="minorHAnsi"/>
        </w:rPr>
        <w:t xml:space="preserve"> </w:t>
      </w:r>
      <w:r w:rsidR="000D25DD" w:rsidRPr="007424C3">
        <w:rPr>
          <w:rFonts w:asciiTheme="minorHAnsi" w:hAnsiTheme="minorHAnsi" w:cstheme="minorHAnsi"/>
        </w:rPr>
        <w:t>CONN-OSHA</w:t>
      </w:r>
      <w:r w:rsidRPr="007424C3">
        <w:rPr>
          <w:rFonts w:asciiTheme="minorHAnsi" w:hAnsiTheme="minorHAnsi" w:cstheme="minorHAnsi"/>
        </w:rPr>
        <w:t xml:space="preserve"> Follow-up FAME Report</w:t>
      </w:r>
    </w:p>
    <w:p w14:paraId="75823E10" w14:textId="77777777" w:rsidR="00D86879" w:rsidRPr="00832772" w:rsidRDefault="00D86879" w:rsidP="007A71AC">
      <w:pPr>
        <w:widowControl/>
        <w:autoSpaceDE/>
        <w:autoSpaceDN/>
        <w:adjustRightInd/>
        <w:rPr>
          <w:rFonts w:asciiTheme="minorHAnsi" w:hAnsiTheme="minorHAnsi" w:cstheme="minorHAnsi"/>
          <w:i/>
        </w:rPr>
      </w:pPr>
    </w:p>
    <w:p w14:paraId="2093D22B" w14:textId="77777777" w:rsidR="00D86879" w:rsidRPr="00832772" w:rsidRDefault="00D86879" w:rsidP="007A71AC">
      <w:pPr>
        <w:widowControl/>
        <w:autoSpaceDE/>
        <w:autoSpaceDN/>
        <w:adjustRightInd/>
        <w:rPr>
          <w:rFonts w:asciiTheme="minorHAnsi" w:hAnsiTheme="minorHAnsi" w:cstheme="minorHAnsi"/>
          <w:i/>
        </w:rPr>
      </w:pPr>
    </w:p>
    <w:p w14:paraId="61F273E4" w14:textId="4BA1F7A9" w:rsidR="00492379" w:rsidRPr="00832772" w:rsidRDefault="00492379" w:rsidP="007A71AC">
      <w:pPr>
        <w:widowControl/>
        <w:autoSpaceDE/>
        <w:autoSpaceDN/>
        <w:adjustRightInd/>
        <w:rPr>
          <w:rFonts w:asciiTheme="minorHAnsi" w:hAnsiTheme="minorHAnsi" w:cstheme="minorHAnsi"/>
          <w:i/>
        </w:rPr>
        <w:sectPr w:rsidR="00492379" w:rsidRPr="00832772" w:rsidSect="00DD7206">
          <w:headerReference w:type="default" r:id="rId12"/>
          <w:footerReference w:type="default" r:id="rId13"/>
          <w:headerReference w:type="first" r:id="rId14"/>
          <w:footerReference w:type="first" r:id="rId15"/>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rsidRPr="00832772" w14:paraId="266E8016" w14:textId="4E26EFF8" w:rsidTr="00B6741C">
        <w:trPr>
          <w:cantSplit/>
          <w:tblHeader/>
        </w:trPr>
        <w:tc>
          <w:tcPr>
            <w:tcW w:w="2657" w:type="dxa"/>
          </w:tcPr>
          <w:p w14:paraId="5950BEA4" w14:textId="3B6A7AD6" w:rsidR="00B6741C" w:rsidRPr="00832772" w:rsidRDefault="00B6741C" w:rsidP="00B6741C">
            <w:pPr>
              <w:widowControl/>
              <w:autoSpaceDE/>
              <w:autoSpaceDN/>
              <w:adjustRightInd/>
              <w:rPr>
                <w:rFonts w:asciiTheme="minorHAnsi" w:hAnsiTheme="minorHAnsi" w:cstheme="minorHAnsi"/>
                <w:b/>
              </w:rPr>
            </w:pPr>
            <w:r w:rsidRPr="00832772">
              <w:rPr>
                <w:rFonts w:asciiTheme="minorHAnsi" w:hAnsiTheme="minorHAnsi" w:cstheme="minorHAnsi"/>
                <w:b/>
              </w:rPr>
              <w:t xml:space="preserve">Observation </w:t>
            </w:r>
            <w:r w:rsidR="006B41F6">
              <w:rPr>
                <w:rFonts w:asciiTheme="minorHAnsi" w:hAnsiTheme="minorHAnsi" w:cstheme="minorHAnsi"/>
                <w:b/>
              </w:rPr>
              <w:t>#</w:t>
            </w:r>
          </w:p>
          <w:p w14:paraId="09AE72D2" w14:textId="4A9D794C" w:rsidR="00B6741C" w:rsidRPr="00832772" w:rsidRDefault="00B6741C" w:rsidP="00B6741C">
            <w:pPr>
              <w:widowControl/>
              <w:autoSpaceDE/>
              <w:autoSpaceDN/>
              <w:adjustRightInd/>
              <w:rPr>
                <w:rFonts w:asciiTheme="minorHAnsi" w:hAnsiTheme="minorHAnsi" w:cstheme="minorHAnsi"/>
                <w:b/>
              </w:rPr>
            </w:pPr>
            <w:r w:rsidRPr="00832772">
              <w:rPr>
                <w:rFonts w:asciiTheme="minorHAnsi" w:hAnsiTheme="minorHAnsi" w:cstheme="minorHAnsi"/>
                <w:b/>
              </w:rPr>
              <w:t>FY 20</w:t>
            </w:r>
            <w:r w:rsidR="002F5CB2">
              <w:rPr>
                <w:rFonts w:asciiTheme="minorHAnsi" w:hAnsiTheme="minorHAnsi" w:cstheme="minorHAnsi"/>
                <w:b/>
              </w:rPr>
              <w:t>24</w:t>
            </w:r>
            <w:r w:rsidRPr="00832772">
              <w:rPr>
                <w:rFonts w:asciiTheme="minorHAnsi" w:hAnsiTheme="minorHAnsi" w:cstheme="minorHAnsi"/>
                <w:b/>
              </w:rPr>
              <w:t>-OB-</w:t>
            </w:r>
            <w:r w:rsidR="00FC4261">
              <w:rPr>
                <w:rFonts w:asciiTheme="minorHAnsi" w:hAnsiTheme="minorHAnsi" w:cstheme="minorHAnsi"/>
                <w:b/>
              </w:rPr>
              <w:t>#</w:t>
            </w:r>
          </w:p>
          <w:p w14:paraId="07702D17" w14:textId="77777777" w:rsidR="00B6741C" w:rsidRPr="00832772" w:rsidRDefault="00B6741C" w:rsidP="00B6741C">
            <w:pPr>
              <w:widowControl/>
              <w:autoSpaceDE/>
              <w:autoSpaceDN/>
              <w:adjustRightInd/>
              <w:rPr>
                <w:rFonts w:asciiTheme="minorHAnsi" w:hAnsiTheme="minorHAnsi" w:cstheme="minorHAnsi"/>
                <w:i/>
              </w:rPr>
            </w:pPr>
          </w:p>
        </w:tc>
        <w:tc>
          <w:tcPr>
            <w:tcW w:w="2690" w:type="dxa"/>
          </w:tcPr>
          <w:p w14:paraId="5B8F9311" w14:textId="6D3637FB" w:rsidR="00B6741C" w:rsidRPr="00832772" w:rsidRDefault="00B6741C" w:rsidP="00B6741C">
            <w:pPr>
              <w:widowControl/>
              <w:autoSpaceDE/>
              <w:autoSpaceDN/>
              <w:adjustRightInd/>
              <w:rPr>
                <w:rFonts w:asciiTheme="minorHAnsi" w:hAnsiTheme="minorHAnsi" w:cstheme="minorHAnsi"/>
                <w:b/>
              </w:rPr>
            </w:pPr>
            <w:r w:rsidRPr="00832772">
              <w:rPr>
                <w:rFonts w:asciiTheme="minorHAnsi" w:hAnsiTheme="minorHAnsi" w:cstheme="minorHAnsi"/>
                <w:b/>
              </w:rPr>
              <w:t>Observation</w:t>
            </w:r>
            <w:r w:rsidR="006B41F6">
              <w:rPr>
                <w:rFonts w:asciiTheme="minorHAnsi" w:hAnsiTheme="minorHAnsi" w:cstheme="minorHAnsi"/>
                <w:b/>
              </w:rPr>
              <w:t xml:space="preserve"> #</w:t>
            </w:r>
          </w:p>
          <w:p w14:paraId="0A8EA04C" w14:textId="01DE307B" w:rsidR="007A5C1F" w:rsidRDefault="00B6741C" w:rsidP="00B6741C">
            <w:pPr>
              <w:widowControl/>
              <w:autoSpaceDE/>
              <w:autoSpaceDN/>
              <w:adjustRightInd/>
              <w:rPr>
                <w:rFonts w:asciiTheme="minorHAnsi" w:hAnsiTheme="minorHAnsi" w:cstheme="minorHAnsi"/>
                <w:b/>
              </w:rPr>
            </w:pPr>
            <w:r w:rsidRPr="00832772">
              <w:rPr>
                <w:rFonts w:asciiTheme="minorHAnsi" w:hAnsiTheme="minorHAnsi" w:cstheme="minorHAnsi"/>
                <w:b/>
              </w:rPr>
              <w:t>FY 20</w:t>
            </w:r>
            <w:r w:rsidR="002F5CB2">
              <w:rPr>
                <w:rFonts w:asciiTheme="minorHAnsi" w:hAnsiTheme="minorHAnsi" w:cstheme="minorHAnsi"/>
                <w:b/>
              </w:rPr>
              <w:t>23</w:t>
            </w:r>
            <w:r w:rsidRPr="00832772">
              <w:rPr>
                <w:rFonts w:asciiTheme="minorHAnsi" w:hAnsiTheme="minorHAnsi" w:cstheme="minorHAnsi"/>
                <w:b/>
              </w:rPr>
              <w:t>-OB-</w:t>
            </w:r>
            <w:r w:rsidR="00532DAD">
              <w:rPr>
                <w:rFonts w:asciiTheme="minorHAnsi" w:hAnsiTheme="minorHAnsi" w:cstheme="minorHAnsi"/>
                <w:b/>
              </w:rPr>
              <w:t>#</w:t>
            </w:r>
          </w:p>
          <w:p w14:paraId="757E85A6" w14:textId="7827D1CB" w:rsidR="00B6741C" w:rsidRPr="00832772" w:rsidRDefault="007A5C1F" w:rsidP="00B6741C">
            <w:pPr>
              <w:widowControl/>
              <w:autoSpaceDE/>
              <w:autoSpaceDN/>
              <w:adjustRightInd/>
              <w:rPr>
                <w:rFonts w:asciiTheme="minorHAnsi" w:hAnsiTheme="minorHAnsi" w:cstheme="minorHAnsi"/>
                <w:i/>
              </w:rPr>
            </w:pPr>
            <w:r>
              <w:rPr>
                <w:rFonts w:asciiTheme="minorHAnsi" w:hAnsiTheme="minorHAnsi" w:cstheme="minorHAnsi"/>
                <w:b/>
              </w:rPr>
              <w:t>or FY 2023-#</w:t>
            </w:r>
          </w:p>
        </w:tc>
        <w:tc>
          <w:tcPr>
            <w:tcW w:w="2657" w:type="dxa"/>
          </w:tcPr>
          <w:p w14:paraId="11DA1749" w14:textId="7AE042CC" w:rsidR="00B6741C" w:rsidRPr="00832772" w:rsidRDefault="00B6741C" w:rsidP="00B6741C">
            <w:pPr>
              <w:widowControl/>
              <w:autoSpaceDE/>
              <w:autoSpaceDN/>
              <w:adjustRightInd/>
              <w:rPr>
                <w:rFonts w:asciiTheme="minorHAnsi" w:hAnsiTheme="minorHAnsi" w:cstheme="minorHAnsi"/>
                <w:i/>
              </w:rPr>
            </w:pPr>
            <w:r w:rsidRPr="00832772">
              <w:rPr>
                <w:rFonts w:asciiTheme="minorHAnsi" w:hAnsiTheme="minorHAnsi" w:cstheme="minorHAnsi"/>
                <w:b/>
              </w:rPr>
              <w:t>Observation</w:t>
            </w:r>
          </w:p>
        </w:tc>
        <w:tc>
          <w:tcPr>
            <w:tcW w:w="2630" w:type="dxa"/>
          </w:tcPr>
          <w:p w14:paraId="76BC073C" w14:textId="70BBC1B0" w:rsidR="00B6741C" w:rsidRPr="00832772" w:rsidRDefault="00B6741C" w:rsidP="00B6741C">
            <w:pPr>
              <w:widowControl/>
              <w:autoSpaceDE/>
              <w:autoSpaceDN/>
              <w:adjustRightInd/>
              <w:rPr>
                <w:rFonts w:asciiTheme="minorHAnsi" w:hAnsiTheme="minorHAnsi" w:cstheme="minorHAnsi"/>
                <w:i/>
              </w:rPr>
            </w:pPr>
            <w:r w:rsidRPr="00832772">
              <w:rPr>
                <w:rFonts w:asciiTheme="minorHAnsi" w:hAnsiTheme="minorHAnsi" w:cstheme="minorHAnsi"/>
                <w:b/>
              </w:rPr>
              <w:t>Federal Monitoring Plan</w:t>
            </w:r>
          </w:p>
        </w:tc>
        <w:tc>
          <w:tcPr>
            <w:tcW w:w="2316" w:type="dxa"/>
          </w:tcPr>
          <w:p w14:paraId="46D0EE63" w14:textId="4A2BA825" w:rsidR="00B6741C" w:rsidRPr="00832772" w:rsidRDefault="00B6741C" w:rsidP="00B6741C">
            <w:pPr>
              <w:widowControl/>
              <w:autoSpaceDE/>
              <w:autoSpaceDN/>
              <w:adjustRightInd/>
              <w:rPr>
                <w:rFonts w:asciiTheme="minorHAnsi" w:hAnsiTheme="minorHAnsi" w:cstheme="minorHAnsi"/>
                <w:b/>
              </w:rPr>
            </w:pPr>
            <w:r w:rsidRPr="00832772">
              <w:rPr>
                <w:rFonts w:asciiTheme="minorHAnsi" w:hAnsiTheme="minorHAnsi" w:cstheme="minorHAnsi"/>
                <w:b/>
              </w:rPr>
              <w:t>Current Status</w:t>
            </w:r>
          </w:p>
        </w:tc>
      </w:tr>
      <w:tr w:rsidR="007C0C4F" w:rsidRPr="007C0C4F" w14:paraId="715083EB" w14:textId="58561804" w:rsidTr="00B6741C">
        <w:trPr>
          <w:cantSplit/>
        </w:trPr>
        <w:tc>
          <w:tcPr>
            <w:tcW w:w="2657" w:type="dxa"/>
          </w:tcPr>
          <w:p w14:paraId="514C1621" w14:textId="6E873C3C"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iCs/>
              </w:rPr>
              <w:t>FY 2024-OB-01</w:t>
            </w:r>
          </w:p>
          <w:p w14:paraId="7834860F" w14:textId="77777777" w:rsidR="006F7D6E" w:rsidRPr="007C0C4F" w:rsidRDefault="006F7D6E" w:rsidP="006F7D6E">
            <w:pPr>
              <w:widowControl/>
              <w:autoSpaceDE/>
              <w:autoSpaceDN/>
              <w:adjustRightInd/>
              <w:rPr>
                <w:rFonts w:asciiTheme="minorHAnsi" w:hAnsiTheme="minorHAnsi" w:cstheme="minorHAnsi"/>
                <w:iCs/>
              </w:rPr>
            </w:pPr>
          </w:p>
        </w:tc>
        <w:tc>
          <w:tcPr>
            <w:tcW w:w="2690" w:type="dxa"/>
          </w:tcPr>
          <w:p w14:paraId="0E657848" w14:textId="6E17FF28"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iCs/>
              </w:rPr>
              <w:t>FY 2023-OB-01</w:t>
            </w:r>
          </w:p>
          <w:p w14:paraId="1207E4E3" w14:textId="77777777" w:rsidR="006F7D6E" w:rsidRPr="007C0C4F" w:rsidRDefault="006F7D6E" w:rsidP="006F7D6E">
            <w:pPr>
              <w:widowControl/>
              <w:autoSpaceDE/>
              <w:autoSpaceDN/>
              <w:adjustRightInd/>
              <w:rPr>
                <w:rFonts w:asciiTheme="minorHAnsi" w:hAnsiTheme="minorHAnsi" w:cstheme="minorHAnsi"/>
                <w:iCs/>
              </w:rPr>
            </w:pPr>
          </w:p>
        </w:tc>
        <w:tc>
          <w:tcPr>
            <w:tcW w:w="2657" w:type="dxa"/>
          </w:tcPr>
          <w:p w14:paraId="53E4A09F" w14:textId="277A2854"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rPr>
              <w:t>In FY 2023, in 26 (65 percent) of 44 inspection case files, worker interviews were not properly documented, as required in the CONN-OSHA FOM, Chapter 5.</w:t>
            </w:r>
          </w:p>
        </w:tc>
        <w:tc>
          <w:tcPr>
            <w:tcW w:w="2630" w:type="dxa"/>
          </w:tcPr>
          <w:p w14:paraId="04F2CA88" w14:textId="3F12C020"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rPr>
              <w:t>During quarterly meetings, OSHA will discuss</w:t>
            </w:r>
            <w:r w:rsidR="001D64F7">
              <w:rPr>
                <w:rFonts w:asciiTheme="minorHAnsi" w:hAnsiTheme="minorHAnsi" w:cstheme="minorHAnsi"/>
              </w:rPr>
              <w:t xml:space="preserve"> with the State </w:t>
            </w:r>
            <w:r w:rsidR="0059426C">
              <w:rPr>
                <w:rFonts w:asciiTheme="minorHAnsi" w:hAnsiTheme="minorHAnsi" w:cstheme="minorHAnsi"/>
              </w:rPr>
              <w:t>Plan</w:t>
            </w:r>
            <w:r w:rsidRPr="007C0C4F">
              <w:rPr>
                <w:rFonts w:asciiTheme="minorHAnsi" w:hAnsiTheme="minorHAnsi" w:cstheme="minorHAnsi"/>
              </w:rPr>
              <w:t xml:space="preserve"> the need for CONN-OSHA to follow the CONN-OSHA FOM, Chapter 5 guidance on worker interviews.</w:t>
            </w:r>
          </w:p>
        </w:tc>
        <w:tc>
          <w:tcPr>
            <w:tcW w:w="2316" w:type="dxa"/>
          </w:tcPr>
          <w:p w14:paraId="79E4394D" w14:textId="04CCEED3" w:rsidR="006F7D6E" w:rsidRPr="007C0C4F" w:rsidRDefault="00532DAD" w:rsidP="006F7D6E">
            <w:pPr>
              <w:widowControl/>
              <w:autoSpaceDE/>
              <w:autoSpaceDN/>
              <w:adjustRightInd/>
              <w:rPr>
                <w:rFonts w:asciiTheme="minorHAnsi" w:hAnsiTheme="minorHAnsi" w:cstheme="minorHAnsi"/>
                <w:iCs/>
              </w:rPr>
            </w:pPr>
            <w:r w:rsidRPr="007C0C4F">
              <w:rPr>
                <w:rFonts w:asciiTheme="minorHAnsi" w:hAnsiTheme="minorHAnsi" w:cstheme="minorHAnsi"/>
                <w:iCs/>
              </w:rPr>
              <w:t>Continued</w:t>
            </w:r>
          </w:p>
        </w:tc>
      </w:tr>
      <w:tr w:rsidR="007C0C4F" w:rsidRPr="007C0C4F" w14:paraId="414575F4" w14:textId="437735BC" w:rsidTr="00B6741C">
        <w:trPr>
          <w:cantSplit/>
        </w:trPr>
        <w:tc>
          <w:tcPr>
            <w:tcW w:w="2657" w:type="dxa"/>
          </w:tcPr>
          <w:p w14:paraId="6EF9BE70" w14:textId="2F60C484"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iCs/>
              </w:rPr>
              <w:t>FY 2024-OB-02</w:t>
            </w:r>
          </w:p>
          <w:p w14:paraId="38E1B745" w14:textId="77777777" w:rsidR="006F7D6E" w:rsidRPr="007C0C4F" w:rsidRDefault="006F7D6E" w:rsidP="006F7D6E">
            <w:pPr>
              <w:widowControl/>
              <w:autoSpaceDE/>
              <w:autoSpaceDN/>
              <w:adjustRightInd/>
              <w:rPr>
                <w:rFonts w:asciiTheme="minorHAnsi" w:hAnsiTheme="minorHAnsi" w:cstheme="minorHAnsi"/>
                <w:iCs/>
              </w:rPr>
            </w:pPr>
          </w:p>
        </w:tc>
        <w:tc>
          <w:tcPr>
            <w:tcW w:w="2690" w:type="dxa"/>
          </w:tcPr>
          <w:p w14:paraId="4640B74B" w14:textId="6FAF3EC6"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iCs/>
              </w:rPr>
              <w:t>FY 2023-OB-02</w:t>
            </w:r>
          </w:p>
        </w:tc>
        <w:tc>
          <w:tcPr>
            <w:tcW w:w="2657" w:type="dxa"/>
          </w:tcPr>
          <w:p w14:paraId="3BC4A14C" w14:textId="3E80E2B7"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rPr>
              <w:t>In FY 2023, in 13 (33 percent) of 40 case files that had violations cited, the violation worksheet did not adequately describe all relevant facts pertaining to the violation, as required in the CONN-OSHA FOM, Chapter 5.</w:t>
            </w:r>
          </w:p>
        </w:tc>
        <w:tc>
          <w:tcPr>
            <w:tcW w:w="2630" w:type="dxa"/>
          </w:tcPr>
          <w:p w14:paraId="016CAD6A" w14:textId="334973F4"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rPr>
              <w:t xml:space="preserve">On a quarterly basis, OSHA will review </w:t>
            </w:r>
            <w:r w:rsidR="0059426C">
              <w:rPr>
                <w:rFonts w:asciiTheme="minorHAnsi" w:hAnsiTheme="minorHAnsi" w:cstheme="minorHAnsi"/>
              </w:rPr>
              <w:t>wi</w:t>
            </w:r>
            <w:r w:rsidR="00701CCE">
              <w:rPr>
                <w:rFonts w:asciiTheme="minorHAnsi" w:hAnsiTheme="minorHAnsi" w:cstheme="minorHAnsi"/>
              </w:rPr>
              <w:t xml:space="preserve">th the State Plan </w:t>
            </w:r>
            <w:r w:rsidRPr="007C0C4F">
              <w:rPr>
                <w:rFonts w:asciiTheme="minorHAnsi" w:hAnsiTheme="minorHAnsi" w:cstheme="minorHAnsi"/>
              </w:rPr>
              <w:t>the CONN-OSHA FOM, Chapter 5 requirements for completing the violation worksheet.</w:t>
            </w:r>
          </w:p>
        </w:tc>
        <w:tc>
          <w:tcPr>
            <w:tcW w:w="2316" w:type="dxa"/>
          </w:tcPr>
          <w:p w14:paraId="4F554364" w14:textId="30211F45" w:rsidR="006F7D6E" w:rsidRPr="007C0C4F" w:rsidRDefault="00532DAD" w:rsidP="006F7D6E">
            <w:pPr>
              <w:widowControl/>
              <w:autoSpaceDE/>
              <w:autoSpaceDN/>
              <w:adjustRightInd/>
              <w:rPr>
                <w:rFonts w:asciiTheme="minorHAnsi" w:hAnsiTheme="minorHAnsi" w:cstheme="minorHAnsi"/>
                <w:iCs/>
              </w:rPr>
            </w:pPr>
            <w:r w:rsidRPr="007C0C4F">
              <w:rPr>
                <w:rFonts w:asciiTheme="minorHAnsi" w:hAnsiTheme="minorHAnsi" w:cstheme="minorHAnsi"/>
                <w:iCs/>
              </w:rPr>
              <w:t>Continued</w:t>
            </w:r>
          </w:p>
        </w:tc>
      </w:tr>
      <w:tr w:rsidR="006F7D6E" w:rsidRPr="007C0C4F" w14:paraId="65CA94D6" w14:textId="77777777" w:rsidTr="00B6741C">
        <w:trPr>
          <w:cantSplit/>
        </w:trPr>
        <w:tc>
          <w:tcPr>
            <w:tcW w:w="2657" w:type="dxa"/>
          </w:tcPr>
          <w:p w14:paraId="09612F22" w14:textId="693508F6"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iCs/>
              </w:rPr>
              <w:lastRenderedPageBreak/>
              <w:t>FY 2024-OB-</w:t>
            </w:r>
            <w:r w:rsidR="002B307D">
              <w:rPr>
                <w:rFonts w:asciiTheme="minorHAnsi" w:hAnsiTheme="minorHAnsi" w:cstheme="minorHAnsi"/>
                <w:iCs/>
              </w:rPr>
              <w:t>0</w:t>
            </w:r>
            <w:r w:rsidRPr="007C0C4F">
              <w:rPr>
                <w:rFonts w:asciiTheme="minorHAnsi" w:hAnsiTheme="minorHAnsi" w:cstheme="minorHAnsi"/>
                <w:iCs/>
              </w:rPr>
              <w:t>3</w:t>
            </w:r>
          </w:p>
          <w:p w14:paraId="52CFAA4B" w14:textId="77777777" w:rsidR="006F7D6E" w:rsidRPr="007C0C4F" w:rsidRDefault="006F7D6E" w:rsidP="006F7D6E">
            <w:pPr>
              <w:widowControl/>
              <w:autoSpaceDE/>
              <w:autoSpaceDN/>
              <w:adjustRightInd/>
              <w:rPr>
                <w:rFonts w:asciiTheme="minorHAnsi" w:hAnsiTheme="minorHAnsi" w:cstheme="minorHAnsi"/>
                <w:iCs/>
              </w:rPr>
            </w:pPr>
          </w:p>
        </w:tc>
        <w:tc>
          <w:tcPr>
            <w:tcW w:w="2690" w:type="dxa"/>
          </w:tcPr>
          <w:p w14:paraId="7059E9B0" w14:textId="4E2205E4"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iCs/>
              </w:rPr>
              <w:t>FY 2023-OB-03</w:t>
            </w:r>
          </w:p>
          <w:p w14:paraId="03C4DF9C" w14:textId="77777777" w:rsidR="006F7D6E" w:rsidRPr="007C0C4F" w:rsidRDefault="006F7D6E" w:rsidP="006F7D6E">
            <w:pPr>
              <w:widowControl/>
              <w:autoSpaceDE/>
              <w:autoSpaceDN/>
              <w:adjustRightInd/>
              <w:rPr>
                <w:rFonts w:asciiTheme="minorHAnsi" w:hAnsiTheme="minorHAnsi" w:cstheme="minorHAnsi"/>
                <w:iCs/>
              </w:rPr>
            </w:pPr>
          </w:p>
        </w:tc>
        <w:tc>
          <w:tcPr>
            <w:tcW w:w="2657" w:type="dxa"/>
          </w:tcPr>
          <w:p w14:paraId="32C3076A" w14:textId="4C99EAE8"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rPr>
              <w:t>In FY 2023, in 17 (47 percent) of 36 cases reviewed for abatement, CONN-OSHA did not follow its policy in the CONN-OSHA FOM, Chapter 5 for assigning the shortest interval within which the employer can reasonably be expected to abate the hazard and/or did not document the reason for granting abatement periods longer than 30 days.</w:t>
            </w:r>
          </w:p>
        </w:tc>
        <w:tc>
          <w:tcPr>
            <w:tcW w:w="2630" w:type="dxa"/>
          </w:tcPr>
          <w:p w14:paraId="7F0039A2" w14:textId="47D5A969"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rPr>
              <w:t>On a quarterly basis, OSHA will reinforce the need for the State Plan to follow the CONN-OSHA FOM’s requirements for assigning abatement periods and documenting abatement periods granted for more than 30 days.</w:t>
            </w:r>
          </w:p>
        </w:tc>
        <w:tc>
          <w:tcPr>
            <w:tcW w:w="2316" w:type="dxa"/>
          </w:tcPr>
          <w:p w14:paraId="46AFEAAC" w14:textId="17DE4885" w:rsidR="006F7D6E" w:rsidRPr="007C0C4F" w:rsidRDefault="00532DAD" w:rsidP="006F7D6E">
            <w:pPr>
              <w:widowControl/>
              <w:autoSpaceDE/>
              <w:autoSpaceDN/>
              <w:adjustRightInd/>
              <w:rPr>
                <w:rFonts w:asciiTheme="minorHAnsi" w:hAnsiTheme="minorHAnsi" w:cstheme="minorHAnsi"/>
                <w:iCs/>
              </w:rPr>
            </w:pPr>
            <w:r w:rsidRPr="007C0C4F">
              <w:rPr>
                <w:rFonts w:asciiTheme="minorHAnsi" w:hAnsiTheme="minorHAnsi" w:cstheme="minorHAnsi"/>
                <w:iCs/>
              </w:rPr>
              <w:t>Continued</w:t>
            </w:r>
          </w:p>
        </w:tc>
      </w:tr>
      <w:tr w:rsidR="006F7D6E" w:rsidRPr="007C0C4F" w14:paraId="34ABD565" w14:textId="77777777" w:rsidTr="00B6741C">
        <w:trPr>
          <w:cantSplit/>
        </w:trPr>
        <w:tc>
          <w:tcPr>
            <w:tcW w:w="2657" w:type="dxa"/>
          </w:tcPr>
          <w:p w14:paraId="446709EF" w14:textId="30EA58AE"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iCs/>
              </w:rPr>
              <w:t>FY 2024-OB-04</w:t>
            </w:r>
          </w:p>
          <w:p w14:paraId="2F0B166C" w14:textId="77777777" w:rsidR="006F7D6E" w:rsidRPr="007C0C4F" w:rsidRDefault="006F7D6E" w:rsidP="006F7D6E">
            <w:pPr>
              <w:widowControl/>
              <w:autoSpaceDE/>
              <w:autoSpaceDN/>
              <w:adjustRightInd/>
              <w:rPr>
                <w:rFonts w:asciiTheme="minorHAnsi" w:hAnsiTheme="minorHAnsi" w:cstheme="minorHAnsi"/>
                <w:iCs/>
              </w:rPr>
            </w:pPr>
          </w:p>
        </w:tc>
        <w:tc>
          <w:tcPr>
            <w:tcW w:w="2690" w:type="dxa"/>
          </w:tcPr>
          <w:p w14:paraId="5767EEF2" w14:textId="5122EED5"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iCs/>
              </w:rPr>
              <w:t>FY 2023-OB-04</w:t>
            </w:r>
          </w:p>
        </w:tc>
        <w:tc>
          <w:tcPr>
            <w:tcW w:w="2657" w:type="dxa"/>
          </w:tcPr>
          <w:p w14:paraId="49469F38" w14:textId="6AD106E5"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rPr>
              <w:t xml:space="preserve">In FY 2023, in 12 (39 percent) of 31 case files reviewed for informal conferences, there were no summaries or notes on the main issues discussed, as required by the CONN-OSHA FOM, Chapter 7. </w:t>
            </w:r>
          </w:p>
        </w:tc>
        <w:tc>
          <w:tcPr>
            <w:tcW w:w="2630" w:type="dxa"/>
          </w:tcPr>
          <w:p w14:paraId="3556F100" w14:textId="700272A7" w:rsidR="006F7D6E" w:rsidRPr="007C0C4F" w:rsidRDefault="006F7D6E" w:rsidP="006F7D6E">
            <w:pPr>
              <w:widowControl/>
              <w:autoSpaceDE/>
              <w:autoSpaceDN/>
              <w:adjustRightInd/>
              <w:rPr>
                <w:rFonts w:asciiTheme="minorHAnsi" w:hAnsiTheme="minorHAnsi" w:cstheme="minorHAnsi"/>
                <w:iCs/>
              </w:rPr>
            </w:pPr>
            <w:r w:rsidRPr="007C0C4F">
              <w:rPr>
                <w:rFonts w:asciiTheme="minorHAnsi" w:hAnsiTheme="minorHAnsi" w:cstheme="minorHAnsi"/>
              </w:rPr>
              <w:t>On a quarterly basis, OSHA will discuss with the State Plan the CONN-OSHA FOM, Chapter 7 requirement for documenting the main issues discussed during informal conferences.</w:t>
            </w:r>
          </w:p>
        </w:tc>
        <w:tc>
          <w:tcPr>
            <w:tcW w:w="2316" w:type="dxa"/>
          </w:tcPr>
          <w:p w14:paraId="636855AE" w14:textId="5DC29F52" w:rsidR="006F7D6E" w:rsidRPr="007C0C4F" w:rsidRDefault="00532DAD" w:rsidP="006F7D6E">
            <w:pPr>
              <w:widowControl/>
              <w:autoSpaceDE/>
              <w:autoSpaceDN/>
              <w:adjustRightInd/>
              <w:rPr>
                <w:rFonts w:asciiTheme="minorHAnsi" w:hAnsiTheme="minorHAnsi" w:cstheme="minorHAnsi"/>
                <w:iCs/>
              </w:rPr>
            </w:pPr>
            <w:r w:rsidRPr="007C0C4F">
              <w:rPr>
                <w:rFonts w:asciiTheme="minorHAnsi" w:hAnsiTheme="minorHAnsi" w:cstheme="minorHAnsi"/>
                <w:iCs/>
              </w:rPr>
              <w:t>Continued</w:t>
            </w:r>
          </w:p>
        </w:tc>
      </w:tr>
    </w:tbl>
    <w:p w14:paraId="2352A70A" w14:textId="7478DFBA" w:rsidR="00E759AB" w:rsidRPr="007C0C4F" w:rsidRDefault="00E759AB" w:rsidP="007A71AC">
      <w:pPr>
        <w:widowControl/>
        <w:autoSpaceDE/>
        <w:autoSpaceDN/>
        <w:adjustRightInd/>
        <w:rPr>
          <w:rFonts w:asciiTheme="minorHAnsi" w:hAnsiTheme="minorHAnsi" w:cstheme="minorHAnsi"/>
          <w:i/>
          <w:sz w:val="22"/>
          <w:szCs w:val="22"/>
        </w:rPr>
      </w:pPr>
    </w:p>
    <w:p w14:paraId="7B9C9D62" w14:textId="77777777" w:rsidR="00C10BF9" w:rsidRDefault="00C10BF9" w:rsidP="007A71AC">
      <w:pPr>
        <w:widowControl/>
        <w:autoSpaceDE/>
        <w:autoSpaceDN/>
        <w:adjustRightInd/>
        <w:rPr>
          <w:rFonts w:asciiTheme="minorHAnsi" w:hAnsiTheme="minorHAnsi" w:cstheme="minorHAnsi"/>
          <w:iCs/>
        </w:rPr>
      </w:pPr>
    </w:p>
    <w:p w14:paraId="5966FA9F" w14:textId="3D6B9997" w:rsidR="0065591D" w:rsidRPr="00E935EA" w:rsidRDefault="0065591D" w:rsidP="00E935EA">
      <w:pPr>
        <w:widowControl/>
        <w:autoSpaceDE/>
        <w:autoSpaceDN/>
        <w:adjustRightInd/>
        <w:rPr>
          <w:rFonts w:asciiTheme="minorHAnsi" w:hAnsiTheme="minorHAnsi" w:cstheme="minorHAnsi"/>
          <w:iCs/>
          <w:color w:val="0070C0"/>
        </w:rPr>
        <w:sectPr w:rsidR="0065591D" w:rsidRPr="00E935EA" w:rsidSect="00476C08">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p w14:paraId="01176981" w14:textId="210683BA" w:rsidR="00747710" w:rsidRPr="00832772" w:rsidRDefault="00747710" w:rsidP="000F63C1">
      <w:pPr>
        <w:pStyle w:val="Heading3"/>
        <w:numPr>
          <w:ilvl w:val="0"/>
          <w:numId w:val="0"/>
        </w:numPr>
      </w:pPr>
      <w:bookmarkStart w:id="28" w:name="_Toc118905019"/>
      <w:bookmarkStart w:id="29" w:name="_Toc119418671"/>
      <w:r w:rsidRPr="00832772">
        <w:lastRenderedPageBreak/>
        <w:t>Appendix C - Status of FY 20</w:t>
      </w:r>
      <w:r w:rsidR="00A11894">
        <w:t>23</w:t>
      </w:r>
      <w:r w:rsidRPr="00832772">
        <w:t xml:space="preserve"> Findings and Recommendations</w:t>
      </w:r>
      <w:bookmarkEnd w:id="28"/>
      <w:bookmarkEnd w:id="29"/>
    </w:p>
    <w:p w14:paraId="3D850E81" w14:textId="3A882EC2" w:rsidR="00747710" w:rsidRPr="00435D04" w:rsidRDefault="00747710" w:rsidP="005367D5">
      <w:pPr>
        <w:rPr>
          <w:rFonts w:asciiTheme="minorHAnsi" w:hAnsiTheme="minorHAnsi" w:cstheme="minorHAnsi"/>
        </w:rPr>
      </w:pPr>
      <w:r w:rsidRPr="00435D04">
        <w:rPr>
          <w:rFonts w:asciiTheme="minorHAnsi" w:hAnsiTheme="minorHAnsi" w:cstheme="minorHAnsi"/>
        </w:rPr>
        <w:t>FY 20</w:t>
      </w:r>
      <w:r w:rsidR="00435D04" w:rsidRPr="00435D04">
        <w:rPr>
          <w:rFonts w:asciiTheme="minorHAnsi" w:hAnsiTheme="minorHAnsi" w:cstheme="minorHAnsi"/>
        </w:rPr>
        <w:t>24</w:t>
      </w:r>
      <w:r w:rsidRPr="00435D04">
        <w:rPr>
          <w:rFonts w:asciiTheme="minorHAnsi" w:hAnsiTheme="minorHAnsi" w:cstheme="minorHAnsi"/>
        </w:rPr>
        <w:t xml:space="preserve"> </w:t>
      </w:r>
      <w:r w:rsidR="00435D04" w:rsidRPr="00435D04">
        <w:rPr>
          <w:rFonts w:asciiTheme="minorHAnsi" w:hAnsiTheme="minorHAnsi" w:cstheme="minorHAnsi"/>
        </w:rPr>
        <w:t>CONN-OSHA</w:t>
      </w:r>
      <w:r w:rsidRPr="00435D04">
        <w:rPr>
          <w:rFonts w:asciiTheme="minorHAnsi" w:hAnsiTheme="minorHAnsi" w:cstheme="minorHAnsi"/>
        </w:rPr>
        <w:t xml:space="preserve"> Follow-up FAME Report</w:t>
      </w:r>
    </w:p>
    <w:p w14:paraId="45E6B5CB" w14:textId="3ED906A9" w:rsidR="005367D5" w:rsidRDefault="005367D5" w:rsidP="007A71AC">
      <w:pPr>
        <w:widowControl/>
        <w:autoSpaceDE/>
        <w:autoSpaceDN/>
        <w:adjustRightInd/>
        <w:rPr>
          <w:rFonts w:asciiTheme="minorHAnsi" w:hAnsiTheme="minorHAnsi" w:cstheme="minorHAnsi"/>
          <w:iCs/>
        </w:rPr>
      </w:pPr>
    </w:p>
    <w:p w14:paraId="726B3287" w14:textId="77777777" w:rsidR="00E40066" w:rsidRDefault="00E40066" w:rsidP="007A71AC">
      <w:pPr>
        <w:widowControl/>
        <w:autoSpaceDE/>
        <w:autoSpaceDN/>
        <w:adjustRightInd/>
        <w:rPr>
          <w:rFonts w:asciiTheme="minorHAnsi" w:hAnsiTheme="minorHAnsi" w:cstheme="minorHAnsi"/>
          <w:iCs/>
        </w:rPr>
      </w:pPr>
    </w:p>
    <w:p w14:paraId="290B2128" w14:textId="77777777" w:rsidR="00E40066" w:rsidRDefault="00E40066" w:rsidP="007A71AC">
      <w:pPr>
        <w:widowControl/>
        <w:autoSpaceDE/>
        <w:autoSpaceDN/>
        <w:adjustRightInd/>
        <w:rPr>
          <w:rFonts w:asciiTheme="minorHAnsi" w:hAnsiTheme="minorHAnsi" w:cstheme="minorHAnsi"/>
          <w:iCs/>
        </w:rPr>
      </w:pPr>
    </w:p>
    <w:p w14:paraId="4D039059" w14:textId="77777777" w:rsidR="00E40066" w:rsidRDefault="00E40066" w:rsidP="007A71AC">
      <w:pPr>
        <w:widowControl/>
        <w:autoSpaceDE/>
        <w:autoSpaceDN/>
        <w:adjustRightInd/>
        <w:rPr>
          <w:rFonts w:asciiTheme="minorHAnsi" w:hAnsiTheme="minorHAnsi" w:cstheme="minorHAnsi"/>
          <w:iCs/>
        </w:rPr>
      </w:pPr>
    </w:p>
    <w:p w14:paraId="5F90CCA1" w14:textId="77777777" w:rsidR="00E40066" w:rsidRDefault="00E40066" w:rsidP="007A71AC">
      <w:pPr>
        <w:widowControl/>
        <w:autoSpaceDE/>
        <w:autoSpaceDN/>
        <w:adjustRightInd/>
        <w:rPr>
          <w:rFonts w:asciiTheme="minorHAnsi" w:hAnsiTheme="minorHAnsi" w:cstheme="minorHAnsi"/>
          <w:iCs/>
        </w:rPr>
      </w:pPr>
    </w:p>
    <w:p w14:paraId="1A93E7CC" w14:textId="77777777" w:rsidR="00E40066" w:rsidRDefault="00E40066" w:rsidP="007A71AC">
      <w:pPr>
        <w:widowControl/>
        <w:autoSpaceDE/>
        <w:autoSpaceDN/>
        <w:adjustRightInd/>
        <w:rPr>
          <w:rFonts w:asciiTheme="minorHAnsi" w:hAnsiTheme="minorHAnsi" w:cstheme="minorHAnsi"/>
          <w:iCs/>
        </w:rPr>
      </w:pPr>
    </w:p>
    <w:p w14:paraId="530BEAE4" w14:textId="77777777" w:rsidR="00E40066" w:rsidRDefault="00E40066" w:rsidP="007A71AC">
      <w:pPr>
        <w:widowControl/>
        <w:autoSpaceDE/>
        <w:autoSpaceDN/>
        <w:adjustRightInd/>
        <w:rPr>
          <w:rFonts w:asciiTheme="minorHAnsi" w:hAnsiTheme="minorHAnsi" w:cstheme="minorHAnsi"/>
          <w:iCs/>
        </w:rPr>
      </w:pPr>
    </w:p>
    <w:p w14:paraId="0C48BBCA" w14:textId="77777777" w:rsidR="00E40066" w:rsidRDefault="00E40066" w:rsidP="007A71AC">
      <w:pPr>
        <w:widowControl/>
        <w:autoSpaceDE/>
        <w:autoSpaceDN/>
        <w:adjustRightInd/>
        <w:rPr>
          <w:rFonts w:asciiTheme="minorHAnsi" w:hAnsiTheme="minorHAnsi" w:cstheme="minorHAnsi"/>
          <w:iCs/>
        </w:rPr>
      </w:pPr>
    </w:p>
    <w:p w14:paraId="34CCAB3A" w14:textId="77777777" w:rsidR="00E40066" w:rsidRDefault="00E40066" w:rsidP="007A71AC">
      <w:pPr>
        <w:widowControl/>
        <w:autoSpaceDE/>
        <w:autoSpaceDN/>
        <w:adjustRightInd/>
        <w:rPr>
          <w:rFonts w:asciiTheme="minorHAnsi" w:hAnsiTheme="minorHAnsi" w:cstheme="minorHAnsi"/>
          <w:iCs/>
        </w:rPr>
      </w:pPr>
    </w:p>
    <w:p w14:paraId="4736CF6A" w14:textId="77777777" w:rsidR="00E40066" w:rsidRDefault="00E40066" w:rsidP="007A71AC">
      <w:pPr>
        <w:widowControl/>
        <w:autoSpaceDE/>
        <w:autoSpaceDN/>
        <w:adjustRightInd/>
        <w:rPr>
          <w:rFonts w:asciiTheme="minorHAnsi" w:hAnsiTheme="minorHAnsi" w:cstheme="minorHAnsi"/>
          <w:iCs/>
        </w:rPr>
      </w:pPr>
    </w:p>
    <w:p w14:paraId="08906F0E" w14:textId="77777777" w:rsidR="00E40066" w:rsidRDefault="00E40066" w:rsidP="007A71AC">
      <w:pPr>
        <w:widowControl/>
        <w:autoSpaceDE/>
        <w:autoSpaceDN/>
        <w:adjustRightInd/>
        <w:rPr>
          <w:rFonts w:asciiTheme="minorHAnsi" w:hAnsiTheme="minorHAnsi" w:cstheme="minorHAnsi"/>
          <w:iCs/>
        </w:rPr>
      </w:pPr>
    </w:p>
    <w:p w14:paraId="4C10E0E9" w14:textId="77777777" w:rsidR="00E40066" w:rsidRDefault="00E40066" w:rsidP="007A71AC">
      <w:pPr>
        <w:widowControl/>
        <w:autoSpaceDE/>
        <w:autoSpaceDN/>
        <w:adjustRightInd/>
        <w:rPr>
          <w:rFonts w:asciiTheme="minorHAnsi" w:hAnsiTheme="minorHAnsi" w:cstheme="minorHAnsi"/>
          <w:iCs/>
        </w:rPr>
      </w:pPr>
    </w:p>
    <w:p w14:paraId="606563E6" w14:textId="77777777" w:rsidR="00E40066" w:rsidRDefault="00E40066" w:rsidP="007A71AC">
      <w:pPr>
        <w:widowControl/>
        <w:autoSpaceDE/>
        <w:autoSpaceDN/>
        <w:adjustRightInd/>
        <w:rPr>
          <w:rFonts w:asciiTheme="minorHAnsi" w:hAnsiTheme="minorHAnsi" w:cstheme="minorHAnsi"/>
          <w:iCs/>
        </w:rPr>
      </w:pPr>
    </w:p>
    <w:p w14:paraId="0F28114C" w14:textId="77777777" w:rsidR="00D27B76" w:rsidRDefault="00D27B76" w:rsidP="007A71AC">
      <w:pPr>
        <w:widowControl/>
        <w:autoSpaceDE/>
        <w:autoSpaceDN/>
        <w:adjustRightInd/>
        <w:rPr>
          <w:rFonts w:asciiTheme="minorHAnsi" w:hAnsiTheme="minorHAnsi" w:cstheme="minorHAnsi"/>
          <w:iCs/>
        </w:rPr>
      </w:pPr>
    </w:p>
    <w:p w14:paraId="338FAB62" w14:textId="77777777" w:rsidR="00D27B76" w:rsidRPr="00832772" w:rsidRDefault="00D27B76" w:rsidP="007A71AC">
      <w:pPr>
        <w:widowControl/>
        <w:autoSpaceDE/>
        <w:autoSpaceDN/>
        <w:adjustRightInd/>
        <w:rPr>
          <w:rFonts w:asciiTheme="minorHAnsi" w:hAnsiTheme="minorHAnsi" w:cstheme="minorHAnsi"/>
          <w:iCs/>
        </w:rPr>
      </w:pP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5367D5" w:rsidRPr="00832772" w14:paraId="04152CB8" w14:textId="77777777" w:rsidTr="00D93CB3">
        <w:trPr>
          <w:trHeight w:val="412"/>
        </w:trPr>
        <w:tc>
          <w:tcPr>
            <w:tcW w:w="1435" w:type="dxa"/>
          </w:tcPr>
          <w:p w14:paraId="0FAB4AA2" w14:textId="2115A132" w:rsidR="005367D5" w:rsidRPr="00832772" w:rsidRDefault="005367D5" w:rsidP="00D93CB3">
            <w:pPr>
              <w:rPr>
                <w:rFonts w:asciiTheme="minorHAnsi" w:hAnsiTheme="minorHAnsi" w:cstheme="minorHAnsi"/>
                <w:b/>
              </w:rPr>
            </w:pPr>
            <w:r w:rsidRPr="00435D04">
              <w:rPr>
                <w:rFonts w:asciiTheme="minorHAnsi" w:hAnsiTheme="minorHAnsi" w:cstheme="minorHAnsi"/>
                <w:b/>
              </w:rPr>
              <w:t>FY 20</w:t>
            </w:r>
            <w:r w:rsidR="00435D04" w:rsidRPr="00435D04">
              <w:rPr>
                <w:rFonts w:asciiTheme="minorHAnsi" w:hAnsiTheme="minorHAnsi" w:cstheme="minorHAnsi"/>
                <w:b/>
              </w:rPr>
              <w:t>23</w:t>
            </w:r>
            <w:r w:rsidRPr="00435D04">
              <w:rPr>
                <w:rFonts w:asciiTheme="minorHAnsi" w:hAnsiTheme="minorHAnsi" w:cstheme="minorHAnsi"/>
                <w:b/>
              </w:rPr>
              <w:t>-#</w:t>
            </w:r>
          </w:p>
        </w:tc>
        <w:tc>
          <w:tcPr>
            <w:tcW w:w="2098" w:type="dxa"/>
          </w:tcPr>
          <w:p w14:paraId="395AE41F" w14:textId="77777777" w:rsidR="005367D5" w:rsidRPr="00832772" w:rsidRDefault="005367D5" w:rsidP="00D93CB3">
            <w:pPr>
              <w:rPr>
                <w:rFonts w:asciiTheme="minorHAnsi" w:hAnsiTheme="minorHAnsi" w:cstheme="minorHAnsi"/>
                <w:b/>
              </w:rPr>
            </w:pPr>
            <w:r w:rsidRPr="00832772">
              <w:rPr>
                <w:rFonts w:asciiTheme="minorHAnsi" w:hAnsiTheme="minorHAnsi" w:cstheme="minorHAnsi"/>
                <w:b/>
              </w:rPr>
              <w:t>Finding</w:t>
            </w:r>
          </w:p>
        </w:tc>
        <w:tc>
          <w:tcPr>
            <w:tcW w:w="2250" w:type="dxa"/>
          </w:tcPr>
          <w:p w14:paraId="6EEE46BC" w14:textId="77777777" w:rsidR="005367D5" w:rsidRPr="00832772" w:rsidRDefault="005367D5" w:rsidP="00D93CB3">
            <w:pPr>
              <w:rPr>
                <w:rFonts w:asciiTheme="minorHAnsi" w:hAnsiTheme="minorHAnsi" w:cstheme="minorHAnsi"/>
                <w:b/>
              </w:rPr>
            </w:pPr>
            <w:r w:rsidRPr="00832772">
              <w:rPr>
                <w:rFonts w:asciiTheme="minorHAnsi" w:hAnsiTheme="minorHAnsi" w:cstheme="minorHAnsi"/>
                <w:b/>
              </w:rPr>
              <w:t>Recommendation</w:t>
            </w:r>
          </w:p>
        </w:tc>
        <w:tc>
          <w:tcPr>
            <w:tcW w:w="3960" w:type="dxa"/>
          </w:tcPr>
          <w:p w14:paraId="461C9375" w14:textId="77777777" w:rsidR="005367D5" w:rsidRPr="00832772" w:rsidRDefault="005367D5" w:rsidP="00D93CB3">
            <w:pPr>
              <w:rPr>
                <w:rFonts w:asciiTheme="minorHAnsi" w:hAnsiTheme="minorHAnsi" w:cstheme="minorHAnsi"/>
                <w:b/>
              </w:rPr>
            </w:pPr>
            <w:r w:rsidRPr="00832772">
              <w:rPr>
                <w:rFonts w:asciiTheme="minorHAnsi" w:hAnsiTheme="minorHAnsi" w:cstheme="minorHAnsi"/>
                <w:b/>
              </w:rPr>
              <w:t>State Plan Corrective Action</w:t>
            </w:r>
          </w:p>
        </w:tc>
        <w:tc>
          <w:tcPr>
            <w:tcW w:w="1592" w:type="dxa"/>
          </w:tcPr>
          <w:p w14:paraId="5151BE67" w14:textId="77777777" w:rsidR="005367D5" w:rsidRPr="00832772" w:rsidRDefault="005367D5" w:rsidP="00D93CB3">
            <w:pPr>
              <w:rPr>
                <w:rFonts w:asciiTheme="minorHAnsi" w:hAnsiTheme="minorHAnsi" w:cstheme="minorHAnsi"/>
                <w:b/>
              </w:rPr>
            </w:pPr>
            <w:r w:rsidRPr="00832772">
              <w:rPr>
                <w:rFonts w:asciiTheme="minorHAnsi" w:hAnsiTheme="minorHAnsi" w:cstheme="minorHAnsi"/>
                <w:b/>
              </w:rPr>
              <w:t>Completion Date</w:t>
            </w:r>
          </w:p>
        </w:tc>
        <w:tc>
          <w:tcPr>
            <w:tcW w:w="2250" w:type="dxa"/>
          </w:tcPr>
          <w:p w14:paraId="48025986" w14:textId="77777777" w:rsidR="005367D5" w:rsidRPr="00832772" w:rsidRDefault="005367D5" w:rsidP="00D93CB3">
            <w:pPr>
              <w:rPr>
                <w:rFonts w:asciiTheme="minorHAnsi" w:hAnsiTheme="minorHAnsi" w:cstheme="minorHAnsi"/>
                <w:b/>
              </w:rPr>
            </w:pPr>
            <w:r w:rsidRPr="00832772">
              <w:rPr>
                <w:rFonts w:asciiTheme="minorHAnsi" w:hAnsiTheme="minorHAnsi" w:cstheme="minorHAnsi"/>
                <w:b/>
              </w:rPr>
              <w:t xml:space="preserve">Current Status </w:t>
            </w:r>
          </w:p>
          <w:p w14:paraId="1D3136EF" w14:textId="77777777" w:rsidR="005367D5" w:rsidRPr="00832772" w:rsidRDefault="005367D5" w:rsidP="00D93CB3">
            <w:pPr>
              <w:rPr>
                <w:rFonts w:asciiTheme="minorHAnsi" w:hAnsiTheme="minorHAnsi" w:cstheme="minorHAnsi"/>
                <w:b/>
              </w:rPr>
            </w:pPr>
            <w:r w:rsidRPr="00832772">
              <w:rPr>
                <w:rFonts w:asciiTheme="minorHAnsi" w:hAnsiTheme="minorHAnsi" w:cstheme="minorHAnsi"/>
                <w:b/>
              </w:rPr>
              <w:t>and Date</w:t>
            </w:r>
          </w:p>
        </w:tc>
      </w:tr>
      <w:tr w:rsidR="005367D5" w:rsidRPr="00832772" w14:paraId="7244A508" w14:textId="77777777" w:rsidTr="00D93CB3">
        <w:trPr>
          <w:trHeight w:val="412"/>
        </w:trPr>
        <w:tc>
          <w:tcPr>
            <w:tcW w:w="1435" w:type="dxa"/>
          </w:tcPr>
          <w:p w14:paraId="3B6143AB" w14:textId="77777777" w:rsidR="005367D5" w:rsidRPr="00832772"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bCs/>
                <w:sz w:val="22"/>
                <w:szCs w:val="22"/>
              </w:rPr>
            </w:pPr>
            <w:r w:rsidRPr="00832772">
              <w:rPr>
                <w:rFonts w:asciiTheme="minorHAnsi" w:eastAsia="PMingLiU" w:hAnsiTheme="minorHAnsi" w:cstheme="minorHAnsi"/>
                <w:b/>
                <w:bCs/>
                <w:sz w:val="22"/>
                <w:szCs w:val="22"/>
              </w:rPr>
              <w:t> </w:t>
            </w:r>
          </w:p>
        </w:tc>
        <w:tc>
          <w:tcPr>
            <w:tcW w:w="2098" w:type="dxa"/>
          </w:tcPr>
          <w:p w14:paraId="1D6DD323" w14:textId="2BE51B21" w:rsidR="005367D5" w:rsidRPr="00435D04" w:rsidRDefault="00435D04" w:rsidP="00435D0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sz w:val="22"/>
                <w:szCs w:val="22"/>
              </w:rPr>
            </w:pPr>
            <w:r w:rsidRPr="00435D04">
              <w:rPr>
                <w:rFonts w:asciiTheme="minorHAnsi" w:eastAsia="PMingLiU" w:hAnsiTheme="minorHAnsi" w:cstheme="minorHAnsi"/>
                <w:bCs/>
                <w:sz w:val="22"/>
                <w:szCs w:val="22"/>
              </w:rPr>
              <w:t>None.</w:t>
            </w:r>
            <w:r w:rsidR="005367D5" w:rsidRPr="00435D04">
              <w:rPr>
                <w:rFonts w:asciiTheme="minorHAnsi" w:eastAsia="PMingLiU" w:hAnsiTheme="minorHAnsi" w:cstheme="minorHAnsi"/>
                <w:bCs/>
                <w:sz w:val="22"/>
                <w:szCs w:val="22"/>
              </w:rPr>
              <w:t> </w:t>
            </w:r>
          </w:p>
        </w:tc>
        <w:tc>
          <w:tcPr>
            <w:tcW w:w="2250" w:type="dxa"/>
          </w:tcPr>
          <w:p w14:paraId="19499B4B" w14:textId="77777777" w:rsidR="005367D5" w:rsidRPr="00832772"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2"/>
                <w:szCs w:val="22"/>
              </w:rPr>
            </w:pPr>
            <w:r w:rsidRPr="00832772">
              <w:rPr>
                <w:rFonts w:asciiTheme="minorHAnsi" w:eastAsia="PMingLiU" w:hAnsiTheme="minorHAnsi" w:cstheme="minorHAnsi"/>
                <w:b/>
                <w:sz w:val="22"/>
                <w:szCs w:val="22"/>
              </w:rPr>
              <w:t> </w:t>
            </w:r>
          </w:p>
        </w:tc>
        <w:tc>
          <w:tcPr>
            <w:tcW w:w="3960" w:type="dxa"/>
          </w:tcPr>
          <w:p w14:paraId="37D73ADA" w14:textId="77777777" w:rsidR="005367D5" w:rsidRPr="00832772"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2"/>
                <w:szCs w:val="22"/>
              </w:rPr>
            </w:pPr>
            <w:r w:rsidRPr="00832772">
              <w:rPr>
                <w:rFonts w:asciiTheme="minorHAnsi" w:eastAsia="PMingLiU" w:hAnsiTheme="minorHAnsi" w:cstheme="minorHAnsi"/>
                <w:b/>
                <w:sz w:val="22"/>
                <w:szCs w:val="22"/>
              </w:rPr>
              <w:t> </w:t>
            </w:r>
          </w:p>
        </w:tc>
        <w:tc>
          <w:tcPr>
            <w:tcW w:w="1592" w:type="dxa"/>
          </w:tcPr>
          <w:p w14:paraId="56F99649" w14:textId="77777777" w:rsidR="005367D5" w:rsidRPr="00832772"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2"/>
                <w:szCs w:val="22"/>
              </w:rPr>
            </w:pPr>
            <w:r w:rsidRPr="00832772">
              <w:rPr>
                <w:rFonts w:asciiTheme="minorHAnsi" w:eastAsia="PMingLiU" w:hAnsiTheme="minorHAnsi" w:cstheme="minorHAnsi"/>
                <w:b/>
                <w:sz w:val="22"/>
                <w:szCs w:val="22"/>
              </w:rPr>
              <w:t> </w:t>
            </w:r>
          </w:p>
        </w:tc>
        <w:tc>
          <w:tcPr>
            <w:tcW w:w="2250" w:type="dxa"/>
          </w:tcPr>
          <w:p w14:paraId="4007473C" w14:textId="77777777" w:rsidR="005367D5" w:rsidRPr="00832772" w:rsidRDefault="005367D5"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sz w:val="22"/>
                <w:szCs w:val="22"/>
              </w:rPr>
            </w:pPr>
            <w:r w:rsidRPr="00832772">
              <w:rPr>
                <w:rFonts w:asciiTheme="minorHAnsi" w:eastAsia="PMingLiU" w:hAnsiTheme="minorHAnsi" w:cstheme="minorHAnsi"/>
                <w:b/>
                <w:sz w:val="22"/>
                <w:szCs w:val="22"/>
              </w:rPr>
              <w:t> </w:t>
            </w:r>
          </w:p>
        </w:tc>
      </w:tr>
    </w:tbl>
    <w:p w14:paraId="1BAAAA1C" w14:textId="77777777" w:rsidR="00AD505E" w:rsidRDefault="00AD505E" w:rsidP="007A71AC">
      <w:pPr>
        <w:widowControl/>
        <w:autoSpaceDE/>
        <w:autoSpaceDN/>
        <w:adjustRightInd/>
        <w:rPr>
          <w:rFonts w:asciiTheme="minorHAnsi" w:hAnsiTheme="minorHAnsi" w:cstheme="minorHAnsi"/>
          <w:iCs/>
          <w:color w:val="0070C0"/>
        </w:rPr>
      </w:pPr>
    </w:p>
    <w:p w14:paraId="2B975AE6" w14:textId="77777777" w:rsidR="00D27B76" w:rsidRDefault="00D27B76" w:rsidP="007A71AC">
      <w:pPr>
        <w:widowControl/>
        <w:autoSpaceDE/>
        <w:autoSpaceDN/>
        <w:adjustRightInd/>
        <w:rPr>
          <w:rFonts w:asciiTheme="minorHAnsi" w:hAnsiTheme="minorHAnsi" w:cstheme="minorHAnsi"/>
          <w:iCs/>
          <w:color w:val="0070C0"/>
        </w:rPr>
      </w:pPr>
    </w:p>
    <w:p w14:paraId="1C134877" w14:textId="77777777" w:rsidR="00D27B76" w:rsidRDefault="00D27B76" w:rsidP="007A71AC">
      <w:pPr>
        <w:widowControl/>
        <w:autoSpaceDE/>
        <w:autoSpaceDN/>
        <w:adjustRightInd/>
        <w:rPr>
          <w:rFonts w:asciiTheme="minorHAnsi" w:hAnsiTheme="minorHAnsi" w:cstheme="minorHAnsi"/>
          <w:iCs/>
          <w:color w:val="0070C0"/>
        </w:rPr>
      </w:pPr>
    </w:p>
    <w:p w14:paraId="5FCFC765" w14:textId="77777777" w:rsidR="00E40066" w:rsidRDefault="00E40066" w:rsidP="007A71AC">
      <w:pPr>
        <w:widowControl/>
        <w:autoSpaceDE/>
        <w:autoSpaceDN/>
        <w:adjustRightInd/>
        <w:rPr>
          <w:rFonts w:asciiTheme="minorHAnsi" w:hAnsiTheme="minorHAnsi" w:cstheme="minorHAnsi"/>
          <w:iCs/>
          <w:color w:val="0070C0"/>
        </w:rPr>
      </w:pPr>
    </w:p>
    <w:p w14:paraId="37FAF8F6" w14:textId="77777777" w:rsidR="00E40066" w:rsidRPr="00832772" w:rsidRDefault="00E40066" w:rsidP="007A71AC">
      <w:pPr>
        <w:widowControl/>
        <w:autoSpaceDE/>
        <w:autoSpaceDN/>
        <w:adjustRightInd/>
        <w:rPr>
          <w:rFonts w:asciiTheme="minorHAnsi" w:hAnsiTheme="minorHAnsi" w:cstheme="minorHAnsi"/>
          <w:iCs/>
          <w:color w:val="0070C0"/>
        </w:rPr>
      </w:pPr>
    </w:p>
    <w:p w14:paraId="6E220A18" w14:textId="77777777" w:rsidR="008164E8" w:rsidRPr="00832772" w:rsidRDefault="008164E8" w:rsidP="008164E8">
      <w:pPr>
        <w:widowControl/>
        <w:tabs>
          <w:tab w:val="left" w:pos="630"/>
        </w:tabs>
        <w:autoSpaceDE/>
        <w:autoSpaceDN/>
        <w:adjustRightInd/>
        <w:rPr>
          <w:rFonts w:asciiTheme="minorHAnsi" w:hAnsiTheme="minorHAnsi" w:cstheme="minorHAnsi"/>
          <w:iCs/>
          <w:color w:val="0070C0"/>
        </w:rPr>
      </w:pPr>
    </w:p>
    <w:p w14:paraId="5A163C8E" w14:textId="3F83ED2F" w:rsidR="000A134A" w:rsidRPr="00832772" w:rsidRDefault="000A134A" w:rsidP="008164E8">
      <w:pPr>
        <w:widowControl/>
        <w:tabs>
          <w:tab w:val="left" w:pos="630"/>
        </w:tabs>
        <w:autoSpaceDE/>
        <w:autoSpaceDN/>
        <w:adjustRightInd/>
        <w:ind w:left="720" w:hanging="360"/>
        <w:rPr>
          <w:rFonts w:asciiTheme="minorHAnsi" w:hAnsiTheme="minorHAnsi" w:cstheme="minorHAnsi"/>
          <w:iCs/>
          <w:color w:val="0070C0"/>
        </w:rPr>
        <w:sectPr w:rsidR="000A134A" w:rsidRPr="00832772" w:rsidSect="00476C08">
          <w:headerReference w:type="default" r:id="rId18"/>
          <w:headerReference w:type="first" r:id="rId19"/>
          <w:footerReference w:type="first" r:id="rId20"/>
          <w:pgSz w:w="15840" w:h="12240" w:orient="landscape"/>
          <w:pgMar w:top="1440" w:right="1440" w:bottom="1440" w:left="1440" w:header="630" w:footer="720" w:gutter="0"/>
          <w:cols w:space="720"/>
          <w:titlePg/>
          <w:docGrid w:linePitch="360"/>
        </w:sectPr>
      </w:pPr>
    </w:p>
    <w:p w14:paraId="4E121C2B" w14:textId="77777777" w:rsidR="00057B1A" w:rsidRDefault="00057B1A" w:rsidP="000F63C1">
      <w:pPr>
        <w:pStyle w:val="Heading3"/>
        <w:numPr>
          <w:ilvl w:val="0"/>
          <w:numId w:val="0"/>
        </w:numPr>
      </w:pPr>
      <w:bookmarkStart w:id="30" w:name="_Toc119418672"/>
    </w:p>
    <w:p w14:paraId="1B0B407C" w14:textId="7DCD7518" w:rsidR="00690C0D" w:rsidRPr="00435D04" w:rsidRDefault="00690C0D" w:rsidP="000F63C1">
      <w:pPr>
        <w:pStyle w:val="Heading3"/>
        <w:numPr>
          <w:ilvl w:val="0"/>
          <w:numId w:val="0"/>
        </w:numPr>
      </w:pPr>
      <w:r w:rsidRPr="00435D04">
        <w:t xml:space="preserve">Appendix D – </w:t>
      </w:r>
      <w:bookmarkStart w:id="31" w:name="_Hlk119349018"/>
      <w:r w:rsidRPr="00435D04">
        <w:t>FY 2</w:t>
      </w:r>
      <w:r w:rsidR="00435D04" w:rsidRPr="00435D04">
        <w:t xml:space="preserve">024 </w:t>
      </w:r>
      <w:r w:rsidRPr="00435D04">
        <w:t>State Activity Mandated Measures (SAMM) Report</w:t>
      </w:r>
      <w:bookmarkEnd w:id="30"/>
      <w:bookmarkEnd w:id="31"/>
    </w:p>
    <w:p w14:paraId="19B594E3" w14:textId="572A883B" w:rsidR="00690C0D" w:rsidRPr="00435D04" w:rsidRDefault="00690C0D" w:rsidP="00476C08">
      <w:pPr>
        <w:pStyle w:val="Header"/>
        <w:rPr>
          <w:rFonts w:asciiTheme="minorHAnsi" w:hAnsiTheme="minorHAnsi" w:cstheme="minorHAnsi"/>
        </w:rPr>
      </w:pPr>
      <w:r w:rsidRPr="00435D04">
        <w:rPr>
          <w:rFonts w:asciiTheme="minorHAnsi" w:hAnsiTheme="minorHAnsi" w:cstheme="minorHAnsi"/>
        </w:rPr>
        <w:t>FY 20</w:t>
      </w:r>
      <w:r w:rsidR="00435D04" w:rsidRPr="00435D04">
        <w:rPr>
          <w:rFonts w:asciiTheme="minorHAnsi" w:hAnsiTheme="minorHAnsi" w:cstheme="minorHAnsi"/>
        </w:rPr>
        <w:t>24</w:t>
      </w:r>
      <w:r w:rsidRPr="00435D04">
        <w:rPr>
          <w:rFonts w:asciiTheme="minorHAnsi" w:hAnsiTheme="minorHAnsi" w:cstheme="minorHAnsi"/>
        </w:rPr>
        <w:t xml:space="preserve"> </w:t>
      </w:r>
      <w:r w:rsidR="00435D04" w:rsidRPr="00435D04">
        <w:rPr>
          <w:rFonts w:asciiTheme="minorHAnsi" w:hAnsiTheme="minorHAnsi" w:cstheme="minorHAnsi"/>
        </w:rPr>
        <w:t xml:space="preserve">CONN-OSHA </w:t>
      </w:r>
      <w:r w:rsidRPr="00435D04">
        <w:rPr>
          <w:rFonts w:asciiTheme="minorHAnsi" w:hAnsiTheme="minorHAnsi" w:cstheme="minorHAnsi"/>
        </w:rPr>
        <w:t>Follow-up FAME Report</w:t>
      </w:r>
    </w:p>
    <w:p w14:paraId="221DF49F" w14:textId="77777777" w:rsidR="000A134A" w:rsidRPr="00832772" w:rsidRDefault="000A134A" w:rsidP="007A71AC">
      <w:pPr>
        <w:widowControl/>
        <w:autoSpaceDE/>
        <w:autoSpaceDN/>
        <w:adjustRightInd/>
        <w:rPr>
          <w:rFonts w:asciiTheme="minorHAnsi" w:hAnsiTheme="minorHAnsi" w:cstheme="minorHAnsi"/>
          <w:b/>
          <w:color w:val="1F497D"/>
          <w:sz w:val="28"/>
          <w:szCs w:val="28"/>
        </w:rPr>
      </w:pPr>
    </w:p>
    <w:tbl>
      <w:tblPr>
        <w:tblStyle w:val="GridTable4"/>
        <w:tblW w:w="10350" w:type="dxa"/>
        <w:tblInd w:w="-365" w:type="dxa"/>
        <w:tblLook w:val="06A0" w:firstRow="1" w:lastRow="0" w:firstColumn="1" w:lastColumn="0" w:noHBand="1" w:noVBand="1"/>
        <w:tblCaption w:val="FY 20XX SAMM Report"/>
        <w:tblDescription w:val="Appendix D"/>
      </w:tblPr>
      <w:tblGrid>
        <w:gridCol w:w="1035"/>
        <w:gridCol w:w="2529"/>
        <w:gridCol w:w="967"/>
        <w:gridCol w:w="1301"/>
        <w:gridCol w:w="4518"/>
      </w:tblGrid>
      <w:tr w:rsidR="00634539" w:rsidRPr="00832772" w14:paraId="4B607DC1" w14:textId="77777777" w:rsidTr="00761B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5" w:type="dxa"/>
            <w:tcBorders>
              <w:right w:val="single" w:sz="4" w:space="0" w:color="000000" w:themeColor="text1"/>
            </w:tcBorders>
            <w:shd w:val="clear" w:color="auto" w:fill="auto"/>
          </w:tcPr>
          <w:p w14:paraId="57458A14" w14:textId="77777777" w:rsidR="00634539" w:rsidRPr="00832772"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val="0"/>
                <w:color w:val="000000" w:themeColor="text1"/>
              </w:rPr>
            </w:pPr>
            <w:bookmarkStart w:id="32" w:name="_Hlk179982501"/>
            <w:r w:rsidRPr="00832772">
              <w:rPr>
                <w:rFonts w:asciiTheme="minorHAnsi" w:eastAsia="PMingLiU" w:hAnsiTheme="minorHAnsi" w:cstheme="minorHAnsi"/>
                <w:bCs w:val="0"/>
                <w:color w:val="000000" w:themeColor="text1"/>
              </w:rPr>
              <w:t>SAMM Number</w:t>
            </w:r>
          </w:p>
        </w:tc>
        <w:tc>
          <w:tcPr>
            <w:tcW w:w="2529" w:type="dxa"/>
            <w:tcBorders>
              <w:left w:val="single" w:sz="4" w:space="0" w:color="000000" w:themeColor="text1"/>
              <w:right w:val="single" w:sz="4" w:space="0" w:color="000000" w:themeColor="text1"/>
            </w:tcBorders>
            <w:shd w:val="clear" w:color="auto" w:fill="auto"/>
          </w:tcPr>
          <w:p w14:paraId="21CEF63D" w14:textId="77777777" w:rsidR="00634539" w:rsidRPr="00832772"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832772">
              <w:rPr>
                <w:rFonts w:asciiTheme="minorHAnsi" w:eastAsia="PMingLiU" w:hAnsiTheme="minorHAnsi" w:cstheme="minorHAnsi"/>
                <w:bCs w:val="0"/>
                <w:color w:val="000000" w:themeColor="text1"/>
              </w:rPr>
              <w:t>SAMM Name</w:t>
            </w:r>
          </w:p>
        </w:tc>
        <w:tc>
          <w:tcPr>
            <w:tcW w:w="967" w:type="dxa"/>
            <w:tcBorders>
              <w:left w:val="single" w:sz="4" w:space="0" w:color="000000" w:themeColor="text1"/>
              <w:right w:val="single" w:sz="4" w:space="0" w:color="000000" w:themeColor="text1"/>
            </w:tcBorders>
            <w:shd w:val="clear" w:color="auto" w:fill="auto"/>
          </w:tcPr>
          <w:p w14:paraId="1BC934E4" w14:textId="77777777" w:rsidR="00634539" w:rsidRPr="00832772"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832772">
              <w:rPr>
                <w:rFonts w:asciiTheme="minorHAnsi" w:eastAsia="PMingLiU" w:hAnsiTheme="minorHAnsi" w:cstheme="minorHAnsi"/>
                <w:bCs w:val="0"/>
                <w:color w:val="000000" w:themeColor="text1"/>
              </w:rPr>
              <w:t>State Plan Data</w:t>
            </w:r>
          </w:p>
        </w:tc>
        <w:tc>
          <w:tcPr>
            <w:tcW w:w="1301" w:type="dxa"/>
            <w:tcBorders>
              <w:left w:val="single" w:sz="4" w:space="0" w:color="000000" w:themeColor="text1"/>
              <w:right w:val="single" w:sz="4" w:space="0" w:color="000000" w:themeColor="text1"/>
            </w:tcBorders>
            <w:shd w:val="clear" w:color="auto" w:fill="auto"/>
          </w:tcPr>
          <w:p w14:paraId="10FEC12F" w14:textId="77777777" w:rsidR="00634539" w:rsidRPr="00832772"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832772">
              <w:rPr>
                <w:rFonts w:asciiTheme="minorHAnsi" w:eastAsia="PMingLiU" w:hAnsiTheme="minorHAnsi" w:cstheme="minorHAnsi"/>
                <w:bCs w:val="0"/>
                <w:color w:val="000000" w:themeColor="text1"/>
              </w:rPr>
              <w:t>Further Review Level</w:t>
            </w:r>
          </w:p>
        </w:tc>
        <w:tc>
          <w:tcPr>
            <w:tcW w:w="4518" w:type="dxa"/>
            <w:tcBorders>
              <w:left w:val="single" w:sz="4" w:space="0" w:color="000000" w:themeColor="text1"/>
            </w:tcBorders>
            <w:shd w:val="clear" w:color="auto" w:fill="auto"/>
          </w:tcPr>
          <w:p w14:paraId="1845DDF3" w14:textId="77777777" w:rsidR="00634539" w:rsidRPr="00832772" w:rsidRDefault="00634539" w:rsidP="00D93CB3">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832772">
              <w:rPr>
                <w:rFonts w:asciiTheme="minorHAnsi" w:eastAsia="PMingLiU" w:hAnsiTheme="minorHAnsi" w:cstheme="minorHAnsi"/>
                <w:bCs w:val="0"/>
                <w:color w:val="000000" w:themeColor="text1"/>
              </w:rPr>
              <w:t>Notes</w:t>
            </w:r>
          </w:p>
        </w:tc>
      </w:tr>
      <w:tr w:rsidR="00761BBF" w:rsidRPr="00832772" w14:paraId="23E15083"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4FC54415"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1a</w:t>
            </w:r>
          </w:p>
        </w:tc>
        <w:tc>
          <w:tcPr>
            <w:tcW w:w="2529" w:type="dxa"/>
          </w:tcPr>
          <w:p w14:paraId="5DD1B3D7"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 xml:space="preserve">Average number of </w:t>
            </w:r>
            <w:proofErr w:type="gramStart"/>
            <w:r w:rsidRPr="00832772">
              <w:rPr>
                <w:rFonts w:asciiTheme="minorHAnsi" w:hAnsiTheme="minorHAnsi" w:cstheme="minorHAnsi"/>
              </w:rPr>
              <w:t>work days</w:t>
            </w:r>
            <w:proofErr w:type="gramEnd"/>
            <w:r w:rsidRPr="00832772">
              <w:rPr>
                <w:rFonts w:asciiTheme="minorHAnsi" w:hAnsiTheme="minorHAnsi" w:cstheme="minorHAnsi"/>
              </w:rPr>
              <w:t xml:space="preserve"> to initiate complaint inspections (state formula)</w:t>
            </w:r>
          </w:p>
        </w:tc>
        <w:tc>
          <w:tcPr>
            <w:tcW w:w="967" w:type="dxa"/>
          </w:tcPr>
          <w:p w14:paraId="50ED339E" w14:textId="68FBBC32"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1.69</w:t>
            </w:r>
          </w:p>
        </w:tc>
        <w:tc>
          <w:tcPr>
            <w:tcW w:w="1301" w:type="dxa"/>
          </w:tcPr>
          <w:p w14:paraId="36E21F8C" w14:textId="1C6FB52A"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5</w:t>
            </w:r>
          </w:p>
        </w:tc>
        <w:tc>
          <w:tcPr>
            <w:tcW w:w="4518" w:type="dxa"/>
          </w:tcPr>
          <w:p w14:paraId="1BE10DF6" w14:textId="0485CE6C"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negotiated by OSHA and the State Plan.</w:t>
            </w:r>
          </w:p>
        </w:tc>
      </w:tr>
      <w:tr w:rsidR="00761BBF" w:rsidRPr="00832772" w14:paraId="6E87F5F9"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15DA89A2"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1b</w:t>
            </w:r>
          </w:p>
        </w:tc>
        <w:tc>
          <w:tcPr>
            <w:tcW w:w="2529" w:type="dxa"/>
          </w:tcPr>
          <w:p w14:paraId="7BDECFBC"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 xml:space="preserve">Average number of </w:t>
            </w:r>
            <w:proofErr w:type="gramStart"/>
            <w:r w:rsidRPr="00832772">
              <w:rPr>
                <w:rFonts w:asciiTheme="minorHAnsi" w:hAnsiTheme="minorHAnsi" w:cstheme="minorHAnsi"/>
              </w:rPr>
              <w:t>work days</w:t>
            </w:r>
            <w:proofErr w:type="gramEnd"/>
            <w:r w:rsidRPr="00832772">
              <w:rPr>
                <w:rFonts w:asciiTheme="minorHAnsi" w:hAnsiTheme="minorHAnsi" w:cstheme="minorHAnsi"/>
              </w:rPr>
              <w:t xml:space="preserve"> to initiate complaint inspections (federal formula)</w:t>
            </w:r>
          </w:p>
        </w:tc>
        <w:tc>
          <w:tcPr>
            <w:tcW w:w="967" w:type="dxa"/>
          </w:tcPr>
          <w:p w14:paraId="2DD44EDE" w14:textId="1C4CC7A0"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1.58</w:t>
            </w:r>
          </w:p>
        </w:tc>
        <w:tc>
          <w:tcPr>
            <w:tcW w:w="1301" w:type="dxa"/>
          </w:tcPr>
          <w:p w14:paraId="44E25FF5" w14:textId="4892F60E"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N/A</w:t>
            </w:r>
          </w:p>
        </w:tc>
        <w:tc>
          <w:tcPr>
            <w:tcW w:w="4518" w:type="dxa"/>
          </w:tcPr>
          <w:p w14:paraId="3B881485" w14:textId="48F64204"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This measure is for informational purposes only and is not a mandated measure.</w:t>
            </w:r>
          </w:p>
        </w:tc>
      </w:tr>
      <w:tr w:rsidR="00761BBF" w:rsidRPr="00832772" w14:paraId="7254895F"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70F4527B"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2a</w:t>
            </w:r>
          </w:p>
        </w:tc>
        <w:tc>
          <w:tcPr>
            <w:tcW w:w="2529" w:type="dxa"/>
          </w:tcPr>
          <w:p w14:paraId="680D30CB"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 xml:space="preserve">Average number of </w:t>
            </w:r>
            <w:proofErr w:type="gramStart"/>
            <w:r w:rsidRPr="00832772">
              <w:rPr>
                <w:rFonts w:asciiTheme="minorHAnsi" w:hAnsiTheme="minorHAnsi" w:cstheme="minorHAnsi"/>
              </w:rPr>
              <w:t>work days</w:t>
            </w:r>
            <w:proofErr w:type="gramEnd"/>
            <w:r w:rsidRPr="00832772">
              <w:rPr>
                <w:rFonts w:asciiTheme="minorHAnsi" w:hAnsiTheme="minorHAnsi" w:cstheme="minorHAnsi"/>
              </w:rPr>
              <w:t xml:space="preserve"> to initiate complaint investigations (state formula)</w:t>
            </w:r>
          </w:p>
        </w:tc>
        <w:tc>
          <w:tcPr>
            <w:tcW w:w="967" w:type="dxa"/>
          </w:tcPr>
          <w:p w14:paraId="5D15BC2D" w14:textId="2A4F5F82"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0.65</w:t>
            </w:r>
          </w:p>
        </w:tc>
        <w:tc>
          <w:tcPr>
            <w:tcW w:w="1301" w:type="dxa"/>
          </w:tcPr>
          <w:p w14:paraId="25E101C9" w14:textId="420FBFB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1</w:t>
            </w:r>
          </w:p>
        </w:tc>
        <w:tc>
          <w:tcPr>
            <w:tcW w:w="4518" w:type="dxa"/>
          </w:tcPr>
          <w:p w14:paraId="440E4407" w14:textId="713A9FE0"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negotiated by OSHA and the State Plan.</w:t>
            </w:r>
          </w:p>
        </w:tc>
      </w:tr>
      <w:tr w:rsidR="00761BBF" w:rsidRPr="00832772" w14:paraId="43AA3020"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3026F0A2"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2b</w:t>
            </w:r>
          </w:p>
        </w:tc>
        <w:tc>
          <w:tcPr>
            <w:tcW w:w="2529" w:type="dxa"/>
          </w:tcPr>
          <w:p w14:paraId="60EA38B6"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 xml:space="preserve">Average number of </w:t>
            </w:r>
            <w:proofErr w:type="gramStart"/>
            <w:r w:rsidRPr="00832772">
              <w:rPr>
                <w:rFonts w:asciiTheme="minorHAnsi" w:hAnsiTheme="minorHAnsi" w:cstheme="minorHAnsi"/>
              </w:rPr>
              <w:t>work days</w:t>
            </w:r>
            <w:proofErr w:type="gramEnd"/>
            <w:r w:rsidRPr="00832772">
              <w:rPr>
                <w:rFonts w:asciiTheme="minorHAnsi" w:hAnsiTheme="minorHAnsi" w:cstheme="minorHAnsi"/>
              </w:rPr>
              <w:t xml:space="preserve"> to initiate complaint investigations (federal formula)</w:t>
            </w:r>
          </w:p>
        </w:tc>
        <w:tc>
          <w:tcPr>
            <w:tcW w:w="967" w:type="dxa"/>
          </w:tcPr>
          <w:p w14:paraId="148E915C" w14:textId="711450C1"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0.53</w:t>
            </w:r>
          </w:p>
        </w:tc>
        <w:tc>
          <w:tcPr>
            <w:tcW w:w="1301" w:type="dxa"/>
          </w:tcPr>
          <w:p w14:paraId="3C6B37D6" w14:textId="336AEA09"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N/A</w:t>
            </w:r>
          </w:p>
        </w:tc>
        <w:tc>
          <w:tcPr>
            <w:tcW w:w="4518" w:type="dxa"/>
          </w:tcPr>
          <w:p w14:paraId="7849D62B" w14:textId="27A120BB"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This measure is for informational purposes only and is not a mandated measure.</w:t>
            </w:r>
          </w:p>
        </w:tc>
      </w:tr>
      <w:tr w:rsidR="00761BBF" w:rsidRPr="00832772" w14:paraId="463E07C8"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730502E1"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3</w:t>
            </w:r>
          </w:p>
        </w:tc>
        <w:tc>
          <w:tcPr>
            <w:tcW w:w="2529" w:type="dxa"/>
          </w:tcPr>
          <w:p w14:paraId="224C67FA" w14:textId="77777777"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Percent of complaints and referrals responded to within one workday (imminent danger)</w:t>
            </w:r>
          </w:p>
        </w:tc>
        <w:tc>
          <w:tcPr>
            <w:tcW w:w="967" w:type="dxa"/>
          </w:tcPr>
          <w:p w14:paraId="683DAD92" w14:textId="6B716805"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N/A</w:t>
            </w:r>
          </w:p>
        </w:tc>
        <w:tc>
          <w:tcPr>
            <w:tcW w:w="1301" w:type="dxa"/>
          </w:tcPr>
          <w:p w14:paraId="2138AC62" w14:textId="78B06998" w:rsidR="00761BBF" w:rsidRPr="00832772"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100%</w:t>
            </w:r>
          </w:p>
        </w:tc>
        <w:tc>
          <w:tcPr>
            <w:tcW w:w="4518" w:type="dxa"/>
          </w:tcPr>
          <w:p w14:paraId="771164DA" w14:textId="77777777" w:rsidR="00761BBF" w:rsidRDefault="00761BBF"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The further review level is fixed for all State Plans.</w:t>
            </w:r>
          </w:p>
          <w:p w14:paraId="2E354465" w14:textId="77777777" w:rsidR="00FE6EE8" w:rsidRDefault="00FE6EE8"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1639E620" w14:textId="620887CD" w:rsidR="00FE6EE8" w:rsidRPr="00832772" w:rsidRDefault="00FE6EE8" w:rsidP="00761BB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FE6EE8">
              <w:rPr>
                <w:rFonts w:asciiTheme="minorHAnsi" w:eastAsia="PMingLiU" w:hAnsiTheme="minorHAnsi" w:cstheme="minorHAnsi"/>
              </w:rPr>
              <w:t>N/A – The State Plan did not receive any imminent danger complaints or referrals in FY 202</w:t>
            </w:r>
            <w:r w:rsidR="00646410">
              <w:rPr>
                <w:rFonts w:asciiTheme="minorHAnsi" w:eastAsia="PMingLiU" w:hAnsiTheme="minorHAnsi" w:cstheme="minorHAnsi"/>
              </w:rPr>
              <w:t>4</w:t>
            </w:r>
            <w:r w:rsidRPr="00FE6EE8">
              <w:rPr>
                <w:rFonts w:asciiTheme="minorHAnsi" w:eastAsia="PMingLiU" w:hAnsiTheme="minorHAnsi" w:cstheme="minorHAnsi"/>
              </w:rPr>
              <w:t>.</w:t>
            </w:r>
          </w:p>
        </w:tc>
      </w:tr>
      <w:tr w:rsidR="007A3E87" w:rsidRPr="00832772" w14:paraId="448E8EB5"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54BD594C"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4</w:t>
            </w:r>
          </w:p>
        </w:tc>
        <w:tc>
          <w:tcPr>
            <w:tcW w:w="2529" w:type="dxa"/>
          </w:tcPr>
          <w:p w14:paraId="7F17AA0C"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Number of denials where entry not obtained</w:t>
            </w:r>
          </w:p>
        </w:tc>
        <w:tc>
          <w:tcPr>
            <w:tcW w:w="967" w:type="dxa"/>
          </w:tcPr>
          <w:p w14:paraId="49E38EB6" w14:textId="0D3E8B58"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0</w:t>
            </w:r>
          </w:p>
        </w:tc>
        <w:tc>
          <w:tcPr>
            <w:tcW w:w="1301" w:type="dxa"/>
          </w:tcPr>
          <w:p w14:paraId="39E6BBCD" w14:textId="33745AE1"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0</w:t>
            </w:r>
          </w:p>
        </w:tc>
        <w:tc>
          <w:tcPr>
            <w:tcW w:w="4518" w:type="dxa"/>
          </w:tcPr>
          <w:p w14:paraId="63BF7F96" w14:textId="11CF2E2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fixed for all State Plans.</w:t>
            </w:r>
          </w:p>
        </w:tc>
      </w:tr>
      <w:tr w:rsidR="007A3E87" w:rsidRPr="00832772" w14:paraId="391899CE" w14:textId="77777777" w:rsidTr="00761BBF">
        <w:trPr>
          <w:trHeight w:val="854"/>
        </w:trPr>
        <w:tc>
          <w:tcPr>
            <w:cnfStyle w:val="001000000000" w:firstRow="0" w:lastRow="0" w:firstColumn="1" w:lastColumn="0" w:oddVBand="0" w:evenVBand="0" w:oddHBand="0" w:evenHBand="0" w:firstRowFirstColumn="0" w:firstRowLastColumn="0" w:lastRowFirstColumn="0" w:lastRowLastColumn="0"/>
            <w:tcW w:w="1035" w:type="dxa"/>
          </w:tcPr>
          <w:p w14:paraId="2C05A134"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5a</w:t>
            </w:r>
          </w:p>
        </w:tc>
        <w:tc>
          <w:tcPr>
            <w:tcW w:w="2529" w:type="dxa"/>
          </w:tcPr>
          <w:p w14:paraId="6F060D7F"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Average number of violations per inspection with violations by violation type (SWRU)</w:t>
            </w:r>
          </w:p>
        </w:tc>
        <w:tc>
          <w:tcPr>
            <w:tcW w:w="967" w:type="dxa"/>
          </w:tcPr>
          <w:p w14:paraId="5640B786" w14:textId="542A3B6C"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3.88</w:t>
            </w:r>
          </w:p>
        </w:tc>
        <w:tc>
          <w:tcPr>
            <w:tcW w:w="1301" w:type="dxa"/>
          </w:tcPr>
          <w:p w14:paraId="73369358" w14:textId="77777777" w:rsidR="007A3E87" w:rsidRPr="0097162F" w:rsidRDefault="007A3E87" w:rsidP="007A3E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+/- 20% of 1.74</w:t>
            </w:r>
          </w:p>
          <w:p w14:paraId="5B24EFBC"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518" w:type="dxa"/>
          </w:tcPr>
          <w:p w14:paraId="330DF263" w14:textId="0FBF9381"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 xml:space="preserve">The further review level is based on a three-year national average.  The range of acceptable data not requiring further review is from 1.39 to 2.08 for SWRU. </w:t>
            </w:r>
          </w:p>
        </w:tc>
      </w:tr>
      <w:tr w:rsidR="007A3E87" w:rsidRPr="00832772" w14:paraId="0C0C34AD"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7FD14581"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5b</w:t>
            </w:r>
          </w:p>
        </w:tc>
        <w:tc>
          <w:tcPr>
            <w:tcW w:w="2529" w:type="dxa"/>
          </w:tcPr>
          <w:p w14:paraId="1A64659E"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 xml:space="preserve">Average number of violations per inspection with </w:t>
            </w:r>
            <w:r w:rsidRPr="00832772">
              <w:rPr>
                <w:rFonts w:asciiTheme="minorHAnsi" w:hAnsiTheme="minorHAnsi" w:cstheme="minorHAnsi"/>
              </w:rPr>
              <w:lastRenderedPageBreak/>
              <w:t>violations by violation type (other)</w:t>
            </w:r>
          </w:p>
        </w:tc>
        <w:tc>
          <w:tcPr>
            <w:tcW w:w="967" w:type="dxa"/>
          </w:tcPr>
          <w:p w14:paraId="189B2CB4" w14:textId="438A6B25"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lastRenderedPageBreak/>
              <w:t>0.91</w:t>
            </w:r>
          </w:p>
        </w:tc>
        <w:tc>
          <w:tcPr>
            <w:tcW w:w="1301" w:type="dxa"/>
          </w:tcPr>
          <w:p w14:paraId="303D3585" w14:textId="77777777" w:rsidR="007A3E87" w:rsidRPr="0097162F" w:rsidRDefault="007A3E87" w:rsidP="007A3E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+/- 20% of 0.94</w:t>
            </w:r>
          </w:p>
          <w:p w14:paraId="10600A9C" w14:textId="1B4E7ED9"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518" w:type="dxa"/>
          </w:tcPr>
          <w:p w14:paraId="4F83BD91" w14:textId="373B094E"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 xml:space="preserve">The further review level is based on a three-year national average.  The range of acceptable data not requiring further </w:t>
            </w:r>
            <w:r w:rsidRPr="0097162F">
              <w:rPr>
                <w:rFonts w:asciiTheme="minorHAnsi" w:eastAsia="PMingLiU" w:hAnsiTheme="minorHAnsi" w:cstheme="minorHAnsi"/>
              </w:rPr>
              <w:lastRenderedPageBreak/>
              <w:t>review is from 0.75 to 1.12 for OTS.</w:t>
            </w:r>
          </w:p>
        </w:tc>
      </w:tr>
      <w:tr w:rsidR="007A3E87" w:rsidRPr="00832772" w14:paraId="73051CF9"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4B4D91E3"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lastRenderedPageBreak/>
              <w:t>6</w:t>
            </w:r>
          </w:p>
        </w:tc>
        <w:tc>
          <w:tcPr>
            <w:tcW w:w="2529" w:type="dxa"/>
          </w:tcPr>
          <w:p w14:paraId="79E27E6A"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Percent of total inspections in state and local government workplaces</w:t>
            </w:r>
          </w:p>
        </w:tc>
        <w:tc>
          <w:tcPr>
            <w:tcW w:w="967" w:type="dxa"/>
          </w:tcPr>
          <w:p w14:paraId="01189742" w14:textId="6EE0D4F1"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100%</w:t>
            </w:r>
          </w:p>
        </w:tc>
        <w:tc>
          <w:tcPr>
            <w:tcW w:w="1301" w:type="dxa"/>
          </w:tcPr>
          <w:p w14:paraId="7678C0FD" w14:textId="42561910"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100%</w:t>
            </w:r>
          </w:p>
        </w:tc>
        <w:tc>
          <w:tcPr>
            <w:tcW w:w="4518" w:type="dxa"/>
          </w:tcPr>
          <w:p w14:paraId="11909732" w14:textId="7C0C49DC"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Since this is a State and Local Government State Plan, all inspections are in state and local government workplaces.</w:t>
            </w:r>
          </w:p>
        </w:tc>
      </w:tr>
      <w:tr w:rsidR="007A3E87" w:rsidRPr="00832772" w14:paraId="47E35DEE"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2635650F"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7a</w:t>
            </w:r>
          </w:p>
        </w:tc>
        <w:tc>
          <w:tcPr>
            <w:tcW w:w="2529" w:type="dxa"/>
          </w:tcPr>
          <w:p w14:paraId="6972B9CD" w14:textId="3BED009A"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Planned v. actual inspections (safety)</w:t>
            </w:r>
          </w:p>
        </w:tc>
        <w:tc>
          <w:tcPr>
            <w:tcW w:w="967" w:type="dxa"/>
          </w:tcPr>
          <w:p w14:paraId="714EE701" w14:textId="7E7A6EF6"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134</w:t>
            </w:r>
          </w:p>
        </w:tc>
        <w:tc>
          <w:tcPr>
            <w:tcW w:w="1301" w:type="dxa"/>
          </w:tcPr>
          <w:p w14:paraId="39FFBEE4" w14:textId="77777777" w:rsidR="007A3E87" w:rsidRPr="0097162F" w:rsidRDefault="007A3E87" w:rsidP="007A3E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+/- 5% of </w:t>
            </w:r>
          </w:p>
          <w:p w14:paraId="70DE1282" w14:textId="234AFD7B"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Grant 120</w:t>
            </w:r>
          </w:p>
        </w:tc>
        <w:tc>
          <w:tcPr>
            <w:tcW w:w="4518" w:type="dxa"/>
          </w:tcPr>
          <w:p w14:paraId="127905E2" w14:textId="0EEB2A8F"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based on a number negotiated by OSHA and the State Plan through the grant application.  The range of acceptable data not requiring further review is from 114 to 126 for safety.</w:t>
            </w:r>
          </w:p>
        </w:tc>
      </w:tr>
      <w:tr w:rsidR="007A3E87" w:rsidRPr="00832772" w14:paraId="41D7E5AF"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78976174" w14:textId="77777777"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r w:rsidRPr="00832772">
              <w:rPr>
                <w:rFonts w:asciiTheme="minorHAnsi" w:eastAsia="PMingLiU" w:hAnsiTheme="minorHAnsi" w:cstheme="minorHAnsi"/>
              </w:rPr>
              <w:t>7b</w:t>
            </w:r>
          </w:p>
        </w:tc>
        <w:tc>
          <w:tcPr>
            <w:tcW w:w="2529" w:type="dxa"/>
          </w:tcPr>
          <w:p w14:paraId="628291DB" w14:textId="4C38D916"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Planned v. actual inspections (health)</w:t>
            </w:r>
          </w:p>
        </w:tc>
        <w:tc>
          <w:tcPr>
            <w:tcW w:w="967" w:type="dxa"/>
          </w:tcPr>
          <w:p w14:paraId="46225BFE" w14:textId="6ECC5F60"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118</w:t>
            </w:r>
          </w:p>
        </w:tc>
        <w:tc>
          <w:tcPr>
            <w:tcW w:w="1301" w:type="dxa"/>
          </w:tcPr>
          <w:p w14:paraId="3173E541" w14:textId="77777777" w:rsidR="007A3E87" w:rsidRPr="0097162F" w:rsidRDefault="007A3E87" w:rsidP="007A3E8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+/- 5% of </w:t>
            </w:r>
          </w:p>
          <w:p w14:paraId="615D1DB6" w14:textId="462EC05C"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Grant 100</w:t>
            </w:r>
          </w:p>
        </w:tc>
        <w:tc>
          <w:tcPr>
            <w:tcW w:w="4518" w:type="dxa"/>
          </w:tcPr>
          <w:p w14:paraId="4C49AF53" w14:textId="0A9669C9" w:rsidR="007A3E87" w:rsidRPr="00832772" w:rsidRDefault="007A3E87" w:rsidP="007A3E8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based on a number negotiated by OSHA and the State Plan through the grant application.  The range of acceptable data not requiring further review is from 95 to 105 for health.</w:t>
            </w:r>
          </w:p>
        </w:tc>
      </w:tr>
      <w:tr w:rsidR="00E04B1D" w:rsidRPr="00832772" w14:paraId="19A930B8"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12933EF2"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8</w:t>
            </w:r>
          </w:p>
        </w:tc>
        <w:tc>
          <w:tcPr>
            <w:tcW w:w="2529" w:type="dxa"/>
          </w:tcPr>
          <w:p w14:paraId="35E2919F"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832772">
              <w:rPr>
                <w:rFonts w:asciiTheme="minorHAnsi" w:hAnsiTheme="minorHAnsi" w:cstheme="minorHAnsi"/>
              </w:rPr>
              <w:t>Average current serious penalty in private sector - total (1 to greater than 250 workers)</w:t>
            </w:r>
          </w:p>
        </w:tc>
        <w:tc>
          <w:tcPr>
            <w:tcW w:w="967" w:type="dxa"/>
          </w:tcPr>
          <w:p w14:paraId="4FF95415" w14:textId="1CD47A22"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1301" w:type="dxa"/>
          </w:tcPr>
          <w:p w14:paraId="1E5E2925"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+/- 25% of </w:t>
            </w:r>
          </w:p>
          <w:p w14:paraId="1D5D2C29"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$3,793.81</w:t>
            </w:r>
          </w:p>
          <w:p w14:paraId="7AD30EF7"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518" w:type="dxa"/>
          </w:tcPr>
          <w:p w14:paraId="1A73F1D2"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N/A – This is a State and Local Government State Plan.</w:t>
            </w:r>
          </w:p>
          <w:p w14:paraId="6D10BF5B"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DF20B53" w14:textId="3689FD7F" w:rsidR="00E04B1D" w:rsidRPr="00832772" w:rsidRDefault="00E04B1D" w:rsidP="00E04B1D">
            <w:pPr>
              <w:ind w:right="133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The further review level is based on a three-year national average.</w:t>
            </w:r>
          </w:p>
        </w:tc>
      </w:tr>
      <w:tr w:rsidR="00E04B1D" w:rsidRPr="00832772" w14:paraId="4CF9D609"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0ABEB3DA"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p>
        </w:tc>
        <w:tc>
          <w:tcPr>
            <w:tcW w:w="2529" w:type="dxa"/>
          </w:tcPr>
          <w:p w14:paraId="51065DBA" w14:textId="77777777" w:rsidR="00E04B1D" w:rsidRPr="00832772"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b/>
              </w:rPr>
              <w:t>a</w:t>
            </w:r>
            <w:r w:rsidRPr="00832772">
              <w:rPr>
                <w:rFonts w:asciiTheme="minorHAnsi" w:hAnsiTheme="minorHAnsi" w:cstheme="minorHAnsi"/>
              </w:rPr>
              <w:t>.  Average current serious penalty in private sector</w:t>
            </w:r>
          </w:p>
          <w:p w14:paraId="7C4696DD"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 xml:space="preserve"> (1-25 workers)</w:t>
            </w:r>
          </w:p>
        </w:tc>
        <w:tc>
          <w:tcPr>
            <w:tcW w:w="967" w:type="dxa"/>
          </w:tcPr>
          <w:p w14:paraId="3B168483" w14:textId="66CEB94A"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1301" w:type="dxa"/>
          </w:tcPr>
          <w:p w14:paraId="23A74904"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+/- 25% of </w:t>
            </w:r>
          </w:p>
          <w:p w14:paraId="63A8DEF7"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$2,498.51</w:t>
            </w:r>
          </w:p>
          <w:p w14:paraId="4DC91B0C"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518" w:type="dxa"/>
          </w:tcPr>
          <w:p w14:paraId="607E92A1" w14:textId="77777777" w:rsidR="00E04B1D" w:rsidRPr="0097162F"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 – This is a State and Local Government State Plan.</w:t>
            </w:r>
          </w:p>
          <w:p w14:paraId="72CC0FB7" w14:textId="77777777" w:rsidR="00E04B1D" w:rsidRPr="0097162F"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371F75E0" w14:textId="1983C888"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The further review level is based on a three-year national average.</w:t>
            </w:r>
          </w:p>
        </w:tc>
      </w:tr>
      <w:tr w:rsidR="00E04B1D" w:rsidRPr="00832772" w14:paraId="2F293093"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2794F1EF"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p>
        </w:tc>
        <w:tc>
          <w:tcPr>
            <w:tcW w:w="2529" w:type="dxa"/>
          </w:tcPr>
          <w:p w14:paraId="18122F6D" w14:textId="77777777" w:rsidR="00E04B1D" w:rsidRPr="00832772"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b/>
              </w:rPr>
              <w:t>b</w:t>
            </w:r>
            <w:r w:rsidRPr="00832772">
              <w:rPr>
                <w:rFonts w:asciiTheme="minorHAnsi" w:hAnsiTheme="minorHAnsi" w:cstheme="minorHAnsi"/>
              </w:rPr>
              <w:t xml:space="preserve">. Average current serious penalty in private sector </w:t>
            </w:r>
          </w:p>
          <w:p w14:paraId="0CB214A9"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(26-100 workers</w:t>
            </w:r>
            <w:r w:rsidRPr="00832772">
              <w:rPr>
                <w:rFonts w:asciiTheme="minorHAnsi" w:hAnsiTheme="minorHAnsi" w:cstheme="minorHAnsi"/>
                <w:b/>
              </w:rPr>
              <w:t>)</w:t>
            </w:r>
          </w:p>
        </w:tc>
        <w:tc>
          <w:tcPr>
            <w:tcW w:w="967" w:type="dxa"/>
          </w:tcPr>
          <w:p w14:paraId="26CF4361" w14:textId="6FB0D65B"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1301" w:type="dxa"/>
          </w:tcPr>
          <w:p w14:paraId="6E1C4FCD"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+/- 25% of </w:t>
            </w:r>
          </w:p>
          <w:p w14:paraId="4F2E574B"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$4,322.61</w:t>
            </w:r>
          </w:p>
          <w:p w14:paraId="6AB595C0"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518" w:type="dxa"/>
          </w:tcPr>
          <w:p w14:paraId="3FD7C0C5" w14:textId="77777777" w:rsidR="00E04B1D" w:rsidRPr="0097162F"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 – This is a State and Local Government State Plan.</w:t>
            </w:r>
          </w:p>
          <w:p w14:paraId="530B2E51" w14:textId="77777777" w:rsidR="00E04B1D" w:rsidRPr="0097162F"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533EE6CD" w14:textId="6EFCB0B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The further review level is based on a three-year national average.</w:t>
            </w:r>
          </w:p>
        </w:tc>
      </w:tr>
      <w:tr w:rsidR="00E04B1D" w:rsidRPr="00832772" w14:paraId="786F3F1A"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5A3932AB"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p>
        </w:tc>
        <w:tc>
          <w:tcPr>
            <w:tcW w:w="2529" w:type="dxa"/>
          </w:tcPr>
          <w:p w14:paraId="5F59BDF5" w14:textId="77777777" w:rsidR="00E04B1D" w:rsidRPr="00832772"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b/>
              </w:rPr>
              <w:t>c</w:t>
            </w:r>
            <w:r w:rsidRPr="00832772">
              <w:rPr>
                <w:rFonts w:asciiTheme="minorHAnsi" w:hAnsiTheme="minorHAnsi" w:cstheme="minorHAnsi"/>
              </w:rPr>
              <w:t>. Average current serious penalty in private sector</w:t>
            </w:r>
          </w:p>
          <w:p w14:paraId="10D9592B"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(101-250 workers)</w:t>
            </w:r>
          </w:p>
        </w:tc>
        <w:tc>
          <w:tcPr>
            <w:tcW w:w="967" w:type="dxa"/>
          </w:tcPr>
          <w:p w14:paraId="7D3E6F14" w14:textId="6F144DC5"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1301" w:type="dxa"/>
          </w:tcPr>
          <w:p w14:paraId="78F870FB"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+/- 25% of </w:t>
            </w:r>
          </w:p>
          <w:p w14:paraId="6E13351B"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$6,114.84</w:t>
            </w:r>
          </w:p>
          <w:p w14:paraId="71E94A9C"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194F828"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518" w:type="dxa"/>
          </w:tcPr>
          <w:p w14:paraId="1DE041FA" w14:textId="77777777" w:rsidR="00E04B1D" w:rsidRPr="0097162F"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 – This is a State and Local Government State Plan.</w:t>
            </w:r>
          </w:p>
          <w:p w14:paraId="3F4FDEAD" w14:textId="77777777" w:rsidR="00E04B1D" w:rsidRPr="0097162F"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B00CAC2" w14:textId="761E57EE"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The further review level is based on a three-year national average.</w:t>
            </w:r>
          </w:p>
        </w:tc>
      </w:tr>
      <w:tr w:rsidR="00E04B1D" w:rsidRPr="00832772" w14:paraId="44B346AD"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5ED4D0D0"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 w:val="0"/>
              </w:rPr>
            </w:pPr>
          </w:p>
        </w:tc>
        <w:tc>
          <w:tcPr>
            <w:tcW w:w="2529" w:type="dxa"/>
          </w:tcPr>
          <w:p w14:paraId="255BABE2" w14:textId="77777777" w:rsidR="00E04B1D" w:rsidRPr="00832772"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b/>
              </w:rPr>
              <w:t>d</w:t>
            </w:r>
            <w:r w:rsidRPr="00832772">
              <w:rPr>
                <w:rFonts w:asciiTheme="minorHAnsi" w:hAnsiTheme="minorHAnsi" w:cstheme="minorHAnsi"/>
              </w:rPr>
              <w:t>. Average current serious penalty in private sector</w:t>
            </w:r>
          </w:p>
          <w:p w14:paraId="48DDBB4B"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lastRenderedPageBreak/>
              <w:t>(greater than 250 workers)</w:t>
            </w:r>
          </w:p>
        </w:tc>
        <w:tc>
          <w:tcPr>
            <w:tcW w:w="967" w:type="dxa"/>
          </w:tcPr>
          <w:p w14:paraId="7D66FCF1" w14:textId="05203170"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lastRenderedPageBreak/>
              <w:t>N/A</w:t>
            </w:r>
          </w:p>
        </w:tc>
        <w:tc>
          <w:tcPr>
            <w:tcW w:w="1301" w:type="dxa"/>
          </w:tcPr>
          <w:p w14:paraId="3F153F6C"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+/- 25% of </w:t>
            </w:r>
          </w:p>
          <w:p w14:paraId="2D2EF2BE" w14:textId="77777777" w:rsidR="00E04B1D" w:rsidRPr="0097162F" w:rsidRDefault="00E04B1D" w:rsidP="00E04B1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$7,533.58</w:t>
            </w:r>
          </w:p>
          <w:p w14:paraId="3FB5515E" w14:textId="77777777"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tc>
        <w:tc>
          <w:tcPr>
            <w:tcW w:w="4518" w:type="dxa"/>
          </w:tcPr>
          <w:p w14:paraId="7D233B10" w14:textId="77777777" w:rsidR="00E04B1D" w:rsidRPr="0097162F"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 – This is a State and Local Government State Plan.</w:t>
            </w:r>
          </w:p>
          <w:p w14:paraId="4B9DBF0F" w14:textId="77777777" w:rsidR="00E04B1D" w:rsidRPr="0097162F"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29FF5D83" w14:textId="7DB7922A" w:rsidR="00E04B1D" w:rsidRPr="00832772" w:rsidRDefault="00E04B1D" w:rsidP="00E04B1D">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lastRenderedPageBreak/>
              <w:t>The further review level is based on a three-year national average.</w:t>
            </w:r>
          </w:p>
        </w:tc>
      </w:tr>
      <w:tr w:rsidR="00240997" w:rsidRPr="00832772" w14:paraId="6F99001F"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2CAB3DC1"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lastRenderedPageBreak/>
              <w:t>9a</w:t>
            </w:r>
          </w:p>
        </w:tc>
        <w:tc>
          <w:tcPr>
            <w:tcW w:w="2529" w:type="dxa"/>
          </w:tcPr>
          <w:p w14:paraId="406CE5F6"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Percent in compliance (safety)</w:t>
            </w:r>
          </w:p>
        </w:tc>
        <w:tc>
          <w:tcPr>
            <w:tcW w:w="967" w:type="dxa"/>
          </w:tcPr>
          <w:p w14:paraId="2CBEE7D5" w14:textId="642369EE"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8.96%</w:t>
            </w:r>
          </w:p>
        </w:tc>
        <w:tc>
          <w:tcPr>
            <w:tcW w:w="1301" w:type="dxa"/>
          </w:tcPr>
          <w:p w14:paraId="3DA3ACAC" w14:textId="77777777" w:rsidR="00240997" w:rsidRPr="0097162F" w:rsidRDefault="00240997" w:rsidP="002409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+/- 20% of</w:t>
            </w:r>
          </w:p>
          <w:p w14:paraId="0A52EE0A" w14:textId="4B241AD3"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32.83%</w:t>
            </w:r>
          </w:p>
        </w:tc>
        <w:tc>
          <w:tcPr>
            <w:tcW w:w="4518" w:type="dxa"/>
          </w:tcPr>
          <w:p w14:paraId="2A829BA0" w14:textId="4325F069"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based on a three-year national average.  The range of acceptable data not requiring further review is from 26.27% to 39.40%  for safety.</w:t>
            </w:r>
          </w:p>
        </w:tc>
      </w:tr>
      <w:tr w:rsidR="00240997" w:rsidRPr="00832772" w14:paraId="3EB76E55"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5BA68B8A"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9b</w:t>
            </w:r>
          </w:p>
        </w:tc>
        <w:tc>
          <w:tcPr>
            <w:tcW w:w="2529" w:type="dxa"/>
          </w:tcPr>
          <w:p w14:paraId="1F4404BA"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Percent in compliance (health)</w:t>
            </w:r>
          </w:p>
        </w:tc>
        <w:tc>
          <w:tcPr>
            <w:tcW w:w="967" w:type="dxa"/>
          </w:tcPr>
          <w:p w14:paraId="0F761403" w14:textId="2184CB3B"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9.32%</w:t>
            </w:r>
          </w:p>
        </w:tc>
        <w:tc>
          <w:tcPr>
            <w:tcW w:w="1301" w:type="dxa"/>
          </w:tcPr>
          <w:p w14:paraId="7E755D2A" w14:textId="77777777" w:rsidR="00240997" w:rsidRPr="0097162F" w:rsidRDefault="00240997" w:rsidP="002409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+/- 20% of</w:t>
            </w:r>
          </w:p>
          <w:p w14:paraId="203D8062" w14:textId="77840014"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44.18%</w:t>
            </w:r>
          </w:p>
        </w:tc>
        <w:tc>
          <w:tcPr>
            <w:tcW w:w="4518" w:type="dxa"/>
          </w:tcPr>
          <w:p w14:paraId="7272F1E9" w14:textId="1E03E7CB"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based on a three-year national average.  The range of acceptable data not requiring further review is from 35.34% to 53.01% for health.</w:t>
            </w:r>
          </w:p>
        </w:tc>
      </w:tr>
      <w:tr w:rsidR="00240997" w:rsidRPr="00832772" w14:paraId="6BD622B6"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1E1081EE"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10</w:t>
            </w:r>
          </w:p>
        </w:tc>
        <w:tc>
          <w:tcPr>
            <w:tcW w:w="2529" w:type="dxa"/>
          </w:tcPr>
          <w:p w14:paraId="7A555323"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Percent of work-related fatalities responded to in one workday</w:t>
            </w:r>
          </w:p>
        </w:tc>
        <w:tc>
          <w:tcPr>
            <w:tcW w:w="967" w:type="dxa"/>
          </w:tcPr>
          <w:p w14:paraId="36635117" w14:textId="16E01936"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100%</w:t>
            </w:r>
          </w:p>
        </w:tc>
        <w:tc>
          <w:tcPr>
            <w:tcW w:w="1301" w:type="dxa"/>
          </w:tcPr>
          <w:p w14:paraId="1B2A9E13" w14:textId="2E33E484"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100%</w:t>
            </w:r>
          </w:p>
        </w:tc>
        <w:tc>
          <w:tcPr>
            <w:tcW w:w="4518" w:type="dxa"/>
          </w:tcPr>
          <w:p w14:paraId="4CFEF3A7" w14:textId="17D262C3"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fixed for all State Plans.</w:t>
            </w:r>
          </w:p>
        </w:tc>
      </w:tr>
      <w:tr w:rsidR="00240997" w:rsidRPr="00832772" w14:paraId="2893D3CE"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10FE802E"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11a</w:t>
            </w:r>
          </w:p>
        </w:tc>
        <w:tc>
          <w:tcPr>
            <w:tcW w:w="2529" w:type="dxa"/>
          </w:tcPr>
          <w:p w14:paraId="0E881318"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Average lapse time (safety)</w:t>
            </w:r>
          </w:p>
        </w:tc>
        <w:tc>
          <w:tcPr>
            <w:tcW w:w="967" w:type="dxa"/>
          </w:tcPr>
          <w:p w14:paraId="155143E8" w14:textId="7D239F43"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34.22</w:t>
            </w:r>
          </w:p>
        </w:tc>
        <w:tc>
          <w:tcPr>
            <w:tcW w:w="1301" w:type="dxa"/>
          </w:tcPr>
          <w:p w14:paraId="5AA1D808" w14:textId="77777777" w:rsidR="00240997" w:rsidRPr="0097162F" w:rsidRDefault="00240997" w:rsidP="002409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+/- 20% of </w:t>
            </w:r>
          </w:p>
          <w:p w14:paraId="4105E6C0" w14:textId="0DE98D24"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56.02</w:t>
            </w:r>
          </w:p>
        </w:tc>
        <w:tc>
          <w:tcPr>
            <w:tcW w:w="4518" w:type="dxa"/>
          </w:tcPr>
          <w:p w14:paraId="1A7228CC" w14:textId="53D85693"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based on a three-year national average.  The range of acceptable data not requiring further review is from 44.82 to 67.23 for safety.</w:t>
            </w:r>
          </w:p>
        </w:tc>
      </w:tr>
      <w:tr w:rsidR="00240997" w:rsidRPr="00832772" w14:paraId="71994532"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4A315A6E"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11b</w:t>
            </w:r>
          </w:p>
        </w:tc>
        <w:tc>
          <w:tcPr>
            <w:tcW w:w="2529" w:type="dxa"/>
          </w:tcPr>
          <w:p w14:paraId="62670A92" w14:textId="77777777"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Average lapse time (health)</w:t>
            </w:r>
          </w:p>
        </w:tc>
        <w:tc>
          <w:tcPr>
            <w:tcW w:w="967" w:type="dxa"/>
          </w:tcPr>
          <w:p w14:paraId="260D705D" w14:textId="2D7E1D98"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37.65</w:t>
            </w:r>
          </w:p>
        </w:tc>
        <w:tc>
          <w:tcPr>
            <w:tcW w:w="1301" w:type="dxa"/>
          </w:tcPr>
          <w:p w14:paraId="5A42220A" w14:textId="77777777" w:rsidR="00240997" w:rsidRPr="0097162F" w:rsidRDefault="00240997" w:rsidP="002409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xml:space="preserve">+/- 20% of </w:t>
            </w:r>
          </w:p>
          <w:p w14:paraId="4447221B" w14:textId="3620C0F6"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67.21</w:t>
            </w:r>
          </w:p>
        </w:tc>
        <w:tc>
          <w:tcPr>
            <w:tcW w:w="4518" w:type="dxa"/>
          </w:tcPr>
          <w:p w14:paraId="77F448C9" w14:textId="2197635A" w:rsidR="00240997" w:rsidRPr="00832772" w:rsidRDefault="00240997" w:rsidP="002409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based on a three-year national average.  The range of acceptable data not requiring further review is from 53.77 to 80.65 for health.</w:t>
            </w:r>
          </w:p>
        </w:tc>
      </w:tr>
      <w:tr w:rsidR="00723497" w:rsidRPr="00832772" w14:paraId="13BCA211"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20008ADF" w14:textId="77777777"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12</w:t>
            </w:r>
          </w:p>
        </w:tc>
        <w:tc>
          <w:tcPr>
            <w:tcW w:w="2529" w:type="dxa"/>
          </w:tcPr>
          <w:p w14:paraId="4FDC62A7" w14:textId="77777777"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Percent penalty retained</w:t>
            </w:r>
          </w:p>
        </w:tc>
        <w:tc>
          <w:tcPr>
            <w:tcW w:w="967" w:type="dxa"/>
          </w:tcPr>
          <w:p w14:paraId="54C1921C" w14:textId="2950027F"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1301" w:type="dxa"/>
          </w:tcPr>
          <w:p w14:paraId="7D7C8CC3" w14:textId="77777777" w:rsidR="00723497" w:rsidRPr="0097162F" w:rsidRDefault="00723497" w:rsidP="0072349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7162F">
              <w:rPr>
                <w:rFonts w:asciiTheme="minorHAnsi" w:hAnsiTheme="minorHAnsi" w:cstheme="minorHAnsi"/>
              </w:rPr>
              <w:t>+/- 15% of</w:t>
            </w:r>
          </w:p>
          <w:p w14:paraId="5AD20280" w14:textId="2E3111BF"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70.81%</w:t>
            </w:r>
          </w:p>
        </w:tc>
        <w:tc>
          <w:tcPr>
            <w:tcW w:w="4518" w:type="dxa"/>
          </w:tcPr>
          <w:p w14:paraId="2B829E6F" w14:textId="77777777" w:rsidR="00723497" w:rsidRPr="0097162F"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 – This is a State and Local Government State Plan and is not held to this SAMM.</w:t>
            </w:r>
          </w:p>
          <w:p w14:paraId="4D04DE31" w14:textId="77777777" w:rsidR="00723497" w:rsidRPr="0097162F"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5B6E003" w14:textId="4ECCDDC9"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 xml:space="preserve">The further review level is based on a three-year national average.  </w:t>
            </w:r>
          </w:p>
        </w:tc>
      </w:tr>
      <w:tr w:rsidR="00723497" w:rsidRPr="00832772" w14:paraId="2EAC34D6"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46A22AE3" w14:textId="77777777"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13</w:t>
            </w:r>
          </w:p>
        </w:tc>
        <w:tc>
          <w:tcPr>
            <w:tcW w:w="2529" w:type="dxa"/>
          </w:tcPr>
          <w:p w14:paraId="56540F98" w14:textId="77777777"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Percent of initial inspections with worker walk-around representation or worker interview</w:t>
            </w:r>
          </w:p>
        </w:tc>
        <w:tc>
          <w:tcPr>
            <w:tcW w:w="967" w:type="dxa"/>
          </w:tcPr>
          <w:p w14:paraId="71E71ED8" w14:textId="246535A6"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100%</w:t>
            </w:r>
          </w:p>
        </w:tc>
        <w:tc>
          <w:tcPr>
            <w:tcW w:w="1301" w:type="dxa"/>
          </w:tcPr>
          <w:p w14:paraId="4A97427F" w14:textId="59C7DBAC"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100%</w:t>
            </w:r>
          </w:p>
        </w:tc>
        <w:tc>
          <w:tcPr>
            <w:tcW w:w="4518" w:type="dxa"/>
          </w:tcPr>
          <w:p w14:paraId="27DEF00F" w14:textId="6343426E"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The further review level is fixed for all State Plans.</w:t>
            </w:r>
          </w:p>
        </w:tc>
      </w:tr>
      <w:tr w:rsidR="00723497" w:rsidRPr="00832772" w14:paraId="0083664F"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1F73B0DD" w14:textId="77777777"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14</w:t>
            </w:r>
          </w:p>
        </w:tc>
        <w:tc>
          <w:tcPr>
            <w:tcW w:w="2529" w:type="dxa"/>
          </w:tcPr>
          <w:p w14:paraId="3454CDD3" w14:textId="77777777"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Percent of 11(c) investigations completed within 90 days</w:t>
            </w:r>
          </w:p>
        </w:tc>
        <w:tc>
          <w:tcPr>
            <w:tcW w:w="967" w:type="dxa"/>
          </w:tcPr>
          <w:p w14:paraId="3468F2B1" w14:textId="265853D9"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N/A*</w:t>
            </w:r>
          </w:p>
        </w:tc>
        <w:tc>
          <w:tcPr>
            <w:tcW w:w="1301" w:type="dxa"/>
          </w:tcPr>
          <w:p w14:paraId="39333E60" w14:textId="2595762A"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4518" w:type="dxa"/>
          </w:tcPr>
          <w:p w14:paraId="7DECCD0D" w14:textId="71E2E3ED"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87C9A">
              <w:rPr>
                <w:rFonts w:eastAsia="PMingLiU" w:cstheme="minorHAnsi"/>
              </w:rPr>
              <w:t>This measure is not being reported for FY 2024 due to the transition to the new SAMM measures starting in FY 2025.</w:t>
            </w:r>
          </w:p>
        </w:tc>
      </w:tr>
      <w:tr w:rsidR="00723497" w:rsidRPr="00832772" w14:paraId="570F3912"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4BF89E78" w14:textId="77777777"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15</w:t>
            </w:r>
          </w:p>
        </w:tc>
        <w:tc>
          <w:tcPr>
            <w:tcW w:w="2529" w:type="dxa"/>
          </w:tcPr>
          <w:p w14:paraId="1BE43D29" w14:textId="77777777"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 xml:space="preserve">Percent of 11(c) </w:t>
            </w:r>
            <w:r w:rsidRPr="00832772">
              <w:rPr>
                <w:rFonts w:asciiTheme="minorHAnsi" w:hAnsiTheme="minorHAnsi" w:cstheme="minorHAnsi"/>
              </w:rPr>
              <w:lastRenderedPageBreak/>
              <w:t>complaints that are meritorious</w:t>
            </w:r>
          </w:p>
        </w:tc>
        <w:tc>
          <w:tcPr>
            <w:tcW w:w="967" w:type="dxa"/>
          </w:tcPr>
          <w:p w14:paraId="1E0B0B7D" w14:textId="284EDD8E"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lastRenderedPageBreak/>
              <w:t>N/A*</w:t>
            </w:r>
          </w:p>
        </w:tc>
        <w:tc>
          <w:tcPr>
            <w:tcW w:w="1301" w:type="dxa"/>
          </w:tcPr>
          <w:p w14:paraId="147E9AB5" w14:textId="74965E22"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4518" w:type="dxa"/>
          </w:tcPr>
          <w:p w14:paraId="5801C5D4" w14:textId="47A63E7B" w:rsidR="00723497" w:rsidRPr="00832772" w:rsidRDefault="00723497" w:rsidP="0072349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87C9A">
              <w:rPr>
                <w:rFonts w:eastAsia="PMingLiU" w:cstheme="minorHAnsi"/>
              </w:rPr>
              <w:t xml:space="preserve">This measure is not being reported for FY </w:t>
            </w:r>
            <w:r w:rsidRPr="00487C9A">
              <w:rPr>
                <w:rFonts w:eastAsia="PMingLiU" w:cstheme="minorHAnsi"/>
              </w:rPr>
              <w:lastRenderedPageBreak/>
              <w:t>2024 due to the transition to the new SAMM measures starting in FY 2025.</w:t>
            </w:r>
          </w:p>
        </w:tc>
      </w:tr>
      <w:tr w:rsidR="00BF7C27" w:rsidRPr="00832772" w14:paraId="06EFF7B6"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7E0D4652" w14:textId="77777777"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lastRenderedPageBreak/>
              <w:t>16</w:t>
            </w:r>
          </w:p>
        </w:tc>
        <w:tc>
          <w:tcPr>
            <w:tcW w:w="2529" w:type="dxa"/>
          </w:tcPr>
          <w:p w14:paraId="5E4FAF60" w14:textId="77777777"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Average number of calendar days to complete an 11(c) investigation</w:t>
            </w:r>
          </w:p>
        </w:tc>
        <w:tc>
          <w:tcPr>
            <w:tcW w:w="967" w:type="dxa"/>
          </w:tcPr>
          <w:p w14:paraId="3207CBD2" w14:textId="543C44EF"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1301" w:type="dxa"/>
            <w:shd w:val="clear" w:color="auto" w:fill="auto"/>
          </w:tcPr>
          <w:p w14:paraId="7022F7E0" w14:textId="272D75BE"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hAnsiTheme="minorHAnsi" w:cstheme="minorHAnsi"/>
              </w:rPr>
              <w:t>N/A*</w:t>
            </w:r>
          </w:p>
        </w:tc>
        <w:tc>
          <w:tcPr>
            <w:tcW w:w="4518" w:type="dxa"/>
          </w:tcPr>
          <w:p w14:paraId="088C3C3F" w14:textId="160AC99A"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487C9A">
              <w:rPr>
                <w:rFonts w:eastAsia="PMingLiU" w:cstheme="minorHAnsi"/>
              </w:rPr>
              <w:t>This measure is not being reported for FY 2024 due to the transition to the new SAMM measures starting in FY 2025.</w:t>
            </w:r>
          </w:p>
        </w:tc>
      </w:tr>
      <w:tr w:rsidR="00BF7C27" w:rsidRPr="00832772" w14:paraId="464BCA80" w14:textId="77777777" w:rsidTr="00761BBF">
        <w:tc>
          <w:tcPr>
            <w:cnfStyle w:val="001000000000" w:firstRow="0" w:lastRow="0" w:firstColumn="1" w:lastColumn="0" w:oddVBand="0" w:evenVBand="0" w:oddHBand="0" w:evenHBand="0" w:firstRowFirstColumn="0" w:firstRowLastColumn="0" w:lastRowFirstColumn="0" w:lastRowLastColumn="0"/>
            <w:tcW w:w="1035" w:type="dxa"/>
          </w:tcPr>
          <w:p w14:paraId="3EFEA4C9" w14:textId="77777777"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rPr>
            </w:pPr>
            <w:r w:rsidRPr="00832772">
              <w:rPr>
                <w:rFonts w:asciiTheme="minorHAnsi" w:eastAsia="PMingLiU" w:hAnsiTheme="minorHAnsi" w:cstheme="minorHAnsi"/>
              </w:rPr>
              <w:t>17</w:t>
            </w:r>
          </w:p>
        </w:tc>
        <w:tc>
          <w:tcPr>
            <w:tcW w:w="2529" w:type="dxa"/>
          </w:tcPr>
          <w:p w14:paraId="4A04782E" w14:textId="77777777"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32772">
              <w:rPr>
                <w:rFonts w:asciiTheme="minorHAnsi" w:hAnsiTheme="minorHAnsi" w:cstheme="minorHAnsi"/>
              </w:rPr>
              <w:t>Percent of enforcement presence</w:t>
            </w:r>
          </w:p>
        </w:tc>
        <w:tc>
          <w:tcPr>
            <w:tcW w:w="967" w:type="dxa"/>
          </w:tcPr>
          <w:p w14:paraId="2883494A" w14:textId="36E4C8AD"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w:t>
            </w:r>
          </w:p>
        </w:tc>
        <w:tc>
          <w:tcPr>
            <w:tcW w:w="1301" w:type="dxa"/>
          </w:tcPr>
          <w:p w14:paraId="315D63EF" w14:textId="01F36360"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Pr>
                <w:rFonts w:asciiTheme="minorHAnsi" w:hAnsiTheme="minorHAnsi" w:cstheme="minorHAnsi"/>
              </w:rPr>
              <w:t>N/A</w:t>
            </w:r>
          </w:p>
        </w:tc>
        <w:tc>
          <w:tcPr>
            <w:tcW w:w="4518" w:type="dxa"/>
          </w:tcPr>
          <w:p w14:paraId="71381B23" w14:textId="77777777" w:rsidR="00BF7C27" w:rsidRPr="0097162F"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NA – This is a State and Local Government State Plan and is not held to this SAMM.</w:t>
            </w:r>
          </w:p>
          <w:p w14:paraId="66CFA076" w14:textId="1075EF94" w:rsidR="00BF7C27" w:rsidRPr="00832772" w:rsidRDefault="00BF7C27" w:rsidP="00BF7C2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97162F">
              <w:rPr>
                <w:rFonts w:asciiTheme="minorHAnsi" w:eastAsia="PMingLiU" w:hAnsiTheme="minorHAnsi" w:cstheme="minorHAnsi"/>
              </w:rPr>
              <w:t xml:space="preserve"> </w:t>
            </w:r>
          </w:p>
        </w:tc>
      </w:tr>
      <w:bookmarkEnd w:id="32"/>
    </w:tbl>
    <w:p w14:paraId="723E33DA" w14:textId="77777777" w:rsidR="005128CD" w:rsidRPr="00832772" w:rsidRDefault="005128CD" w:rsidP="007A71AC">
      <w:pPr>
        <w:widowControl/>
        <w:autoSpaceDE/>
        <w:autoSpaceDN/>
        <w:adjustRightInd/>
        <w:rPr>
          <w:rFonts w:asciiTheme="minorHAnsi" w:hAnsiTheme="minorHAnsi" w:cstheme="minorHAnsi"/>
          <w:b/>
          <w:color w:val="1F497D"/>
          <w:sz w:val="28"/>
          <w:szCs w:val="28"/>
        </w:rPr>
      </w:pPr>
    </w:p>
    <w:p w14:paraId="575825F5" w14:textId="77777777" w:rsidR="005128CD" w:rsidRPr="00832772" w:rsidRDefault="005128CD" w:rsidP="007A71AC">
      <w:pPr>
        <w:widowControl/>
        <w:autoSpaceDE/>
        <w:autoSpaceDN/>
        <w:adjustRightInd/>
        <w:rPr>
          <w:rFonts w:asciiTheme="minorHAnsi" w:hAnsiTheme="minorHAnsi" w:cstheme="minorHAnsi"/>
          <w:b/>
          <w:color w:val="1F497D"/>
          <w:sz w:val="28"/>
          <w:szCs w:val="28"/>
        </w:rPr>
      </w:pPr>
    </w:p>
    <w:p w14:paraId="325D26EC" w14:textId="77777777" w:rsidR="00E950BC" w:rsidRPr="00832772" w:rsidRDefault="00E950BC" w:rsidP="00634539">
      <w:pPr>
        <w:widowControl/>
        <w:autoSpaceDE/>
        <w:autoSpaceDN/>
        <w:adjustRightInd/>
        <w:rPr>
          <w:rFonts w:asciiTheme="minorHAnsi" w:hAnsiTheme="minorHAnsi" w:cstheme="minorHAnsi"/>
          <w:i/>
        </w:rPr>
      </w:pPr>
    </w:p>
    <w:p w14:paraId="70FCF008" w14:textId="77777777" w:rsidR="0016336D" w:rsidRPr="00832772" w:rsidRDefault="0016336D" w:rsidP="00F40413">
      <w:pPr>
        <w:widowControl/>
        <w:autoSpaceDE/>
        <w:autoSpaceDN/>
        <w:adjustRightInd/>
        <w:ind w:left="1080"/>
        <w:rPr>
          <w:rFonts w:asciiTheme="minorHAnsi" w:hAnsiTheme="minorHAnsi" w:cstheme="minorHAnsi"/>
        </w:rPr>
      </w:pPr>
    </w:p>
    <w:p w14:paraId="3291466A" w14:textId="77777777" w:rsidR="005F128A" w:rsidRPr="00832772" w:rsidRDefault="005F128A" w:rsidP="00F40413">
      <w:pPr>
        <w:widowControl/>
        <w:autoSpaceDE/>
        <w:autoSpaceDN/>
        <w:adjustRightInd/>
        <w:ind w:left="1080"/>
        <w:rPr>
          <w:rFonts w:asciiTheme="minorHAnsi" w:hAnsiTheme="minorHAnsi" w:cstheme="minorHAnsi"/>
        </w:rPr>
      </w:pPr>
    </w:p>
    <w:p w14:paraId="0A470C61" w14:textId="77777777" w:rsidR="005128CD" w:rsidRPr="00832772" w:rsidRDefault="005128CD" w:rsidP="00634539">
      <w:pPr>
        <w:widowControl/>
        <w:autoSpaceDE/>
        <w:autoSpaceDN/>
        <w:adjustRightInd/>
        <w:rPr>
          <w:rFonts w:asciiTheme="minorHAnsi" w:hAnsiTheme="minorHAnsi" w:cstheme="minorHAnsi"/>
        </w:rPr>
        <w:sectPr w:rsidR="005128CD" w:rsidRPr="00832772" w:rsidSect="00476C08">
          <w:headerReference w:type="default" r:id="rId21"/>
          <w:footerReference w:type="default" r:id="rId22"/>
          <w:pgSz w:w="12240" w:h="15840" w:code="1"/>
          <w:pgMar w:top="1440" w:right="1440" w:bottom="1440" w:left="1440" w:header="720" w:footer="720" w:gutter="0"/>
          <w:cols w:space="720"/>
          <w:noEndnote/>
          <w:docGrid w:linePitch="326"/>
        </w:sectPr>
      </w:pPr>
    </w:p>
    <w:p w14:paraId="52265BF8" w14:textId="77777777" w:rsidR="005F128A" w:rsidRPr="00832772" w:rsidRDefault="005F128A" w:rsidP="00634539">
      <w:pPr>
        <w:widowControl/>
        <w:autoSpaceDE/>
        <w:autoSpaceDN/>
        <w:adjustRightInd/>
        <w:rPr>
          <w:rFonts w:asciiTheme="minorHAnsi" w:hAnsiTheme="minorHAnsi" w:cstheme="minorHAnsi"/>
        </w:rPr>
      </w:pPr>
    </w:p>
    <w:p w14:paraId="24A311E3" w14:textId="77777777" w:rsidR="005F128A" w:rsidRPr="00832772" w:rsidRDefault="005F128A" w:rsidP="00F40413">
      <w:pPr>
        <w:widowControl/>
        <w:autoSpaceDE/>
        <w:autoSpaceDN/>
        <w:adjustRightInd/>
        <w:ind w:left="1080"/>
        <w:rPr>
          <w:rFonts w:asciiTheme="minorHAnsi" w:hAnsiTheme="minorHAnsi" w:cstheme="minorHAnsi"/>
        </w:rPr>
      </w:pPr>
    </w:p>
    <w:p w14:paraId="1EF1EE4F" w14:textId="77777777" w:rsidR="005F128A" w:rsidRPr="00832772" w:rsidRDefault="005F128A" w:rsidP="00F40413">
      <w:pPr>
        <w:widowControl/>
        <w:autoSpaceDE/>
        <w:autoSpaceDN/>
        <w:adjustRightInd/>
        <w:ind w:left="1080"/>
        <w:rPr>
          <w:rFonts w:asciiTheme="minorHAnsi" w:hAnsiTheme="minorHAnsi" w:cstheme="minorHAnsi"/>
        </w:rPr>
      </w:pPr>
    </w:p>
    <w:p w14:paraId="6573BAF6" w14:textId="3FAD77B0" w:rsidR="00634539" w:rsidRPr="00832772" w:rsidRDefault="00634539" w:rsidP="00634539">
      <w:pPr>
        <w:tabs>
          <w:tab w:val="left" w:pos="3405"/>
        </w:tabs>
        <w:rPr>
          <w:rFonts w:asciiTheme="minorHAnsi" w:hAnsiTheme="minorHAnsi" w:cstheme="minorHAnsi"/>
        </w:rPr>
      </w:pPr>
    </w:p>
    <w:sectPr w:rsidR="00634539" w:rsidRPr="00832772" w:rsidSect="005128CD">
      <w:headerReference w:type="default" r:id="rId23"/>
      <w:footerReference w:type="default" r:id="rId24"/>
      <w:type w:val="continuous"/>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D2999" w14:textId="77777777" w:rsidR="008449AD" w:rsidRDefault="008449AD" w:rsidP="00C872A0">
      <w:r>
        <w:separator/>
      </w:r>
    </w:p>
  </w:endnote>
  <w:endnote w:type="continuationSeparator" w:id="0">
    <w:p w14:paraId="26B103D7" w14:textId="77777777" w:rsidR="008449AD" w:rsidRDefault="008449AD"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432793"/>
      <w:docPartObj>
        <w:docPartGallery w:val="Page Numbers (Bottom of Page)"/>
        <w:docPartUnique/>
      </w:docPartObj>
    </w:sdtPr>
    <w:sdtEndPr>
      <w:rPr>
        <w:noProof/>
      </w:rPr>
    </w:sdtEndPr>
    <w:sdtContent>
      <w:p w14:paraId="11289CDA" w14:textId="504CB050" w:rsidR="002648FC" w:rsidRDefault="0026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502FAB5" w:rsidR="00780E29" w:rsidRDefault="00780E2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4D72" w14:textId="77777777" w:rsidR="00780E29" w:rsidRDefault="00780E29">
    <w:pPr>
      <w:pStyle w:val="Footer"/>
      <w:jc w:val="center"/>
    </w:pPr>
  </w:p>
  <w:p w14:paraId="0AB20AA6" w14:textId="77777777" w:rsidR="00780E29" w:rsidRDefault="00780E29"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48562"/>
      <w:docPartObj>
        <w:docPartGallery w:val="Page Numbers (Bottom of Page)"/>
        <w:docPartUnique/>
      </w:docPartObj>
    </w:sdtPr>
    <w:sdtEndPr>
      <w:rPr>
        <w:noProof/>
      </w:rPr>
    </w:sdtEndPr>
    <w:sdtContent>
      <w:p w14:paraId="4BC72A5B" w14:textId="406F7F50"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A6DEBE" w14:textId="77777777" w:rsidR="00E61319" w:rsidRDefault="00E613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46971"/>
      <w:docPartObj>
        <w:docPartGallery w:val="Page Numbers (Bottom of Page)"/>
        <w:docPartUnique/>
      </w:docPartObj>
    </w:sdtPr>
    <w:sdtEndPr>
      <w:rPr>
        <w:noProof/>
      </w:rPr>
    </w:sdtEndPr>
    <w:sdtContent>
      <w:p w14:paraId="62D46706" w14:textId="58BDEC49"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B6D71E" w14:textId="77777777" w:rsidR="00780E29" w:rsidRDefault="0078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0D64" w14:textId="77777777" w:rsidR="00780E29" w:rsidRDefault="00780E29">
    <w:pPr>
      <w:pStyle w:val="Footer"/>
      <w:jc w:val="center"/>
    </w:pPr>
    <w:r>
      <w:t>B-1</w:t>
    </w:r>
  </w:p>
  <w:p w14:paraId="1056AAF8" w14:textId="77777777" w:rsidR="00780E29" w:rsidRDefault="00780E2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072240"/>
      <w:docPartObj>
        <w:docPartGallery w:val="Page Numbers (Bottom of Page)"/>
        <w:docPartUnique/>
      </w:docPartObj>
    </w:sdtPr>
    <w:sdtEndPr>
      <w:rPr>
        <w:noProof/>
      </w:rPr>
    </w:sdtEndPr>
    <w:sdtContent>
      <w:p w14:paraId="7413F5BF" w14:textId="25062137"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9E6FE" w14:textId="77777777" w:rsidR="00780E29" w:rsidRDefault="00780E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475891"/>
      <w:docPartObj>
        <w:docPartGallery w:val="Page Numbers (Bottom of Page)"/>
        <w:docPartUnique/>
      </w:docPartObj>
    </w:sdtPr>
    <w:sdtEndPr>
      <w:rPr>
        <w:noProof/>
      </w:rPr>
    </w:sdtEndPr>
    <w:sdtContent>
      <w:p w14:paraId="2EB48E40" w14:textId="55C41B5C" w:rsidR="00476C08" w:rsidRDefault="00476C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3659E" w14:textId="1668AEAF" w:rsidR="00780E29" w:rsidRPr="00E20610" w:rsidRDefault="00780E29" w:rsidP="00E2061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AADA" w14:textId="7AB042DC" w:rsidR="00780E29" w:rsidRPr="000E07E7" w:rsidRDefault="00780E29"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2249" w14:textId="77777777" w:rsidR="008449AD" w:rsidRDefault="008449AD" w:rsidP="00C872A0">
      <w:r>
        <w:separator/>
      </w:r>
    </w:p>
  </w:footnote>
  <w:footnote w:type="continuationSeparator" w:id="0">
    <w:p w14:paraId="78620717" w14:textId="77777777" w:rsidR="008449AD" w:rsidRDefault="008449AD" w:rsidP="00C872A0">
      <w:r>
        <w:continuationSeparator/>
      </w:r>
    </w:p>
  </w:footnote>
  <w:footnote w:id="1">
    <w:p w14:paraId="698B1F77" w14:textId="77777777" w:rsidR="003F26BF" w:rsidRDefault="003F26BF" w:rsidP="003F26BF">
      <w:pPr>
        <w:pStyle w:val="FootnoteText"/>
        <w:rPr>
          <w:sz w:val="24"/>
          <w:szCs w:val="24"/>
        </w:rPr>
      </w:pPr>
      <w:r w:rsidRPr="00DF0429">
        <w:rPr>
          <w:rStyle w:val="FootnoteReference"/>
          <w:rFonts w:asciiTheme="minorHAnsi" w:hAnsiTheme="minorHAnsi" w:cstheme="minorHAnsi"/>
          <w:b/>
          <w:sz w:val="28"/>
          <w:szCs w:val="28"/>
          <w:vertAlign w:val="superscript"/>
        </w:rPr>
        <w:footnoteRef/>
      </w:r>
      <w:r w:rsidRPr="00DF0429">
        <w:rPr>
          <w:rFonts w:asciiTheme="minorHAnsi" w:hAnsiTheme="minorHAnsi" w:cstheme="minorHAnsi"/>
          <w:b/>
          <w:sz w:val="28"/>
          <w:szCs w:val="28"/>
          <w:vertAlign w:val="superscript"/>
        </w:rPr>
        <w:t xml:space="preserve"> </w:t>
      </w:r>
      <w:r w:rsidRPr="003F783D">
        <w:rPr>
          <w:rFonts w:asciiTheme="minorHAnsi" w:hAnsiTheme="minorHAnsi" w:cstheme="minorHAnsi"/>
          <w:color w:val="000000" w:themeColor="text1"/>
        </w:rPr>
        <w:t xml:space="preserve">Source: </w:t>
      </w:r>
      <w:r w:rsidRPr="00C04D7A">
        <w:rPr>
          <w:rFonts w:asciiTheme="minorHAnsi" w:hAnsiTheme="minorHAnsi" w:cstheme="minorHAnsi"/>
          <w:color w:val="000000" w:themeColor="text1"/>
        </w:rPr>
        <w:t xml:space="preserve"> </w:t>
      </w:r>
      <w:hyperlink r:id="rId1" w:history="1">
        <w:r w:rsidRPr="00C04D7A">
          <w:rPr>
            <w:color w:val="0000FF"/>
            <w:u w:val="single"/>
          </w:rPr>
          <w:t>Bureau of Labor Statistics' Quarterly Census of Employment and Wages</w:t>
        </w:r>
      </w:hyperlink>
    </w:p>
    <w:p w14:paraId="1942FAC4" w14:textId="1758D300" w:rsidR="003F26BF" w:rsidRPr="003F783D" w:rsidRDefault="003F26BF" w:rsidP="003F26BF">
      <w:pPr>
        <w:pStyle w:val="FootnoteTex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59F0" w14:textId="574F2C4F" w:rsidR="00780E29" w:rsidRPr="00B6741C" w:rsidRDefault="00780E29" w:rsidP="00B67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A15F" w14:textId="0461E266" w:rsidR="00780E29" w:rsidRPr="00B6741C" w:rsidRDefault="00780E29"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CA39" w14:textId="77777777" w:rsidR="00780E29" w:rsidRPr="00283FF9" w:rsidRDefault="00780E29" w:rsidP="00476C08">
    <w:pPr>
      <w:pStyle w:val="Heading2"/>
    </w:pPr>
    <w:r w:rsidRPr="00283FF9">
      <w:t>Appendix B – Observations and Federal Monitoring Plans</w:t>
    </w:r>
  </w:p>
  <w:p w14:paraId="5EEDD947" w14:textId="7B32B4C1" w:rsidR="00780E29" w:rsidRDefault="00780E29" w:rsidP="000A134A">
    <w:pPr>
      <w:jc w:val="center"/>
    </w:pPr>
    <w:r>
      <w:t>FY 20</w:t>
    </w:r>
    <w:r w:rsidR="00F54BE0">
      <w:t>22</w:t>
    </w:r>
    <w:r>
      <w:t xml:space="preserve"> [</w:t>
    </w:r>
    <w:r>
      <w:rPr>
        <w:i/>
      </w:rPr>
      <w:t>State Plan Name</w:t>
    </w:r>
    <w:r w:rsidRPr="001056A7">
      <w:t>]</w:t>
    </w:r>
    <w:r w:rsidRPr="003E7A6E">
      <w:t xml:space="preserve"> </w:t>
    </w:r>
    <w:r>
      <w:t>Follow-up FAME Report</w:t>
    </w:r>
  </w:p>
  <w:p w14:paraId="65B55A33" w14:textId="77777777" w:rsidR="00780E29" w:rsidRDefault="00780E29" w:rsidP="000A134A">
    <w:pPr>
      <w:jc w:val="center"/>
    </w:pPr>
  </w:p>
  <w:p w14:paraId="79523575" w14:textId="77777777" w:rsidR="00780E29" w:rsidRDefault="00780E29" w:rsidP="000A134A">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B8D7" w14:textId="77777777" w:rsidR="00780E29" w:rsidRDefault="00780E29" w:rsidP="009A2ED6">
    <w:pPr>
      <w:pStyle w:val="Header"/>
      <w:jc w:val="center"/>
      <w:rPr>
        <w:b/>
      </w:rPr>
    </w:pPr>
  </w:p>
  <w:p w14:paraId="2DCFF2A3" w14:textId="77777777" w:rsidR="00780E29" w:rsidRPr="009A2ED6" w:rsidRDefault="00780E29" w:rsidP="009A2ED6">
    <w:pPr>
      <w:pStyle w:val="Header"/>
      <w:jc w:val="center"/>
      <w:rPr>
        <w:b/>
      </w:rPr>
    </w:pPr>
  </w:p>
  <w:p w14:paraId="1D9C2B96" w14:textId="77777777" w:rsidR="00780E29" w:rsidRPr="000767C0" w:rsidRDefault="00780E29" w:rsidP="009A2ED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92CC" w14:textId="0A117B51" w:rsidR="00780E29" w:rsidRPr="006F2309" w:rsidRDefault="00780E29" w:rsidP="006F2309">
    <w:pPr>
      <w:pStyle w:val="Header"/>
    </w:pPr>
    <w:r w:rsidRPr="006F2309">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0A7" w14:textId="11A2137F" w:rsidR="00780E29" w:rsidRPr="00D2585B" w:rsidRDefault="00780E29" w:rsidP="00D258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E7B3" w14:textId="2FA7B352"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4" w15:restartNumberingAfterBreak="0">
    <w:nsid w:val="1E8935DA"/>
    <w:multiLevelType w:val="hybridMultilevel"/>
    <w:tmpl w:val="78248694"/>
    <w:lvl w:ilvl="0" w:tplc="26E6AB7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B477B"/>
    <w:multiLevelType w:val="hybridMultilevel"/>
    <w:tmpl w:val="AEE28388"/>
    <w:lvl w:ilvl="0" w:tplc="97CE5A9C">
      <w:start w:val="1"/>
      <w:numFmt w:val="upperLetter"/>
      <w:pStyle w:val="Heading3"/>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30"/>
  </w:num>
  <w:num w:numId="5" w16cid:durableId="437339714">
    <w:abstractNumId w:val="28"/>
  </w:num>
  <w:num w:numId="6" w16cid:durableId="1373268660">
    <w:abstractNumId w:val="25"/>
  </w:num>
  <w:num w:numId="7" w16cid:durableId="1614284284">
    <w:abstractNumId w:val="26"/>
  </w:num>
  <w:num w:numId="8" w16cid:durableId="1901401974">
    <w:abstractNumId w:val="29"/>
  </w:num>
  <w:num w:numId="9" w16cid:durableId="340623116">
    <w:abstractNumId w:val="27"/>
  </w:num>
  <w:num w:numId="10" w16cid:durableId="1713532647">
    <w:abstractNumId w:val="31"/>
  </w:num>
  <w:num w:numId="11" w16cid:durableId="247546233">
    <w:abstractNumId w:val="23"/>
  </w:num>
  <w:num w:numId="12" w16cid:durableId="158769152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C7"/>
    <w:rsid w:val="000011DF"/>
    <w:rsid w:val="0000201A"/>
    <w:rsid w:val="00002764"/>
    <w:rsid w:val="00002805"/>
    <w:rsid w:val="00002B73"/>
    <w:rsid w:val="000036AB"/>
    <w:rsid w:val="00004200"/>
    <w:rsid w:val="00004F0B"/>
    <w:rsid w:val="00007781"/>
    <w:rsid w:val="000116C0"/>
    <w:rsid w:val="00014C7A"/>
    <w:rsid w:val="00016214"/>
    <w:rsid w:val="00016803"/>
    <w:rsid w:val="0001706D"/>
    <w:rsid w:val="00017349"/>
    <w:rsid w:val="00021274"/>
    <w:rsid w:val="000217D1"/>
    <w:rsid w:val="00021FE0"/>
    <w:rsid w:val="00022BEE"/>
    <w:rsid w:val="00023E67"/>
    <w:rsid w:val="000248F0"/>
    <w:rsid w:val="0002572C"/>
    <w:rsid w:val="00025F57"/>
    <w:rsid w:val="00026D63"/>
    <w:rsid w:val="00027093"/>
    <w:rsid w:val="000316E6"/>
    <w:rsid w:val="0003442F"/>
    <w:rsid w:val="00034A4E"/>
    <w:rsid w:val="00035083"/>
    <w:rsid w:val="0003567C"/>
    <w:rsid w:val="00035DF5"/>
    <w:rsid w:val="00036865"/>
    <w:rsid w:val="00036BF8"/>
    <w:rsid w:val="00036EB4"/>
    <w:rsid w:val="00036F0D"/>
    <w:rsid w:val="00037DD0"/>
    <w:rsid w:val="00037F48"/>
    <w:rsid w:val="000404ED"/>
    <w:rsid w:val="000414B1"/>
    <w:rsid w:val="00042327"/>
    <w:rsid w:val="00043515"/>
    <w:rsid w:val="00044436"/>
    <w:rsid w:val="000447C9"/>
    <w:rsid w:val="000449F8"/>
    <w:rsid w:val="00045479"/>
    <w:rsid w:val="00045BD6"/>
    <w:rsid w:val="00045C51"/>
    <w:rsid w:val="00046151"/>
    <w:rsid w:val="000468C6"/>
    <w:rsid w:val="00046BEE"/>
    <w:rsid w:val="00046E13"/>
    <w:rsid w:val="000470EE"/>
    <w:rsid w:val="0005007B"/>
    <w:rsid w:val="00050FEB"/>
    <w:rsid w:val="000517FA"/>
    <w:rsid w:val="00052B36"/>
    <w:rsid w:val="00053911"/>
    <w:rsid w:val="00053A2C"/>
    <w:rsid w:val="00054416"/>
    <w:rsid w:val="00054900"/>
    <w:rsid w:val="00055243"/>
    <w:rsid w:val="00055B40"/>
    <w:rsid w:val="00055F2C"/>
    <w:rsid w:val="00057840"/>
    <w:rsid w:val="00057B1A"/>
    <w:rsid w:val="00060D39"/>
    <w:rsid w:val="00061875"/>
    <w:rsid w:val="000625FB"/>
    <w:rsid w:val="000630E2"/>
    <w:rsid w:val="0006398D"/>
    <w:rsid w:val="00065AB2"/>
    <w:rsid w:val="0006611A"/>
    <w:rsid w:val="00066A7B"/>
    <w:rsid w:val="00066C52"/>
    <w:rsid w:val="000701E4"/>
    <w:rsid w:val="0007073F"/>
    <w:rsid w:val="0007157F"/>
    <w:rsid w:val="00071E71"/>
    <w:rsid w:val="000724F1"/>
    <w:rsid w:val="0007306B"/>
    <w:rsid w:val="000742EB"/>
    <w:rsid w:val="000743D1"/>
    <w:rsid w:val="00074876"/>
    <w:rsid w:val="000760CB"/>
    <w:rsid w:val="00076601"/>
    <w:rsid w:val="000767C0"/>
    <w:rsid w:val="00077410"/>
    <w:rsid w:val="00083A76"/>
    <w:rsid w:val="00085230"/>
    <w:rsid w:val="00086F2F"/>
    <w:rsid w:val="0008759E"/>
    <w:rsid w:val="00087EE9"/>
    <w:rsid w:val="00090155"/>
    <w:rsid w:val="000902ED"/>
    <w:rsid w:val="0009134A"/>
    <w:rsid w:val="00091ABD"/>
    <w:rsid w:val="00091AE2"/>
    <w:rsid w:val="00091B54"/>
    <w:rsid w:val="000923E0"/>
    <w:rsid w:val="00092555"/>
    <w:rsid w:val="000929B5"/>
    <w:rsid w:val="00092F1B"/>
    <w:rsid w:val="00093239"/>
    <w:rsid w:val="0009535D"/>
    <w:rsid w:val="0009583F"/>
    <w:rsid w:val="000961CE"/>
    <w:rsid w:val="000969E2"/>
    <w:rsid w:val="000A0291"/>
    <w:rsid w:val="000A134A"/>
    <w:rsid w:val="000A1818"/>
    <w:rsid w:val="000A1CE9"/>
    <w:rsid w:val="000A25BF"/>
    <w:rsid w:val="000A2DE7"/>
    <w:rsid w:val="000A3878"/>
    <w:rsid w:val="000A40EC"/>
    <w:rsid w:val="000A55DB"/>
    <w:rsid w:val="000A658C"/>
    <w:rsid w:val="000A7279"/>
    <w:rsid w:val="000A7A05"/>
    <w:rsid w:val="000B07D7"/>
    <w:rsid w:val="000B08B9"/>
    <w:rsid w:val="000B18B2"/>
    <w:rsid w:val="000B1A5B"/>
    <w:rsid w:val="000B1ECC"/>
    <w:rsid w:val="000B22E4"/>
    <w:rsid w:val="000B3A37"/>
    <w:rsid w:val="000B440B"/>
    <w:rsid w:val="000B4852"/>
    <w:rsid w:val="000B6A8A"/>
    <w:rsid w:val="000C04C6"/>
    <w:rsid w:val="000C0844"/>
    <w:rsid w:val="000C0E15"/>
    <w:rsid w:val="000C0E53"/>
    <w:rsid w:val="000C12C6"/>
    <w:rsid w:val="000C1882"/>
    <w:rsid w:val="000C1ED8"/>
    <w:rsid w:val="000C295F"/>
    <w:rsid w:val="000C2E74"/>
    <w:rsid w:val="000C368E"/>
    <w:rsid w:val="000C38BD"/>
    <w:rsid w:val="000C4141"/>
    <w:rsid w:val="000C43DE"/>
    <w:rsid w:val="000C46E4"/>
    <w:rsid w:val="000C5C82"/>
    <w:rsid w:val="000C6592"/>
    <w:rsid w:val="000C7C9A"/>
    <w:rsid w:val="000D07A0"/>
    <w:rsid w:val="000D1F1F"/>
    <w:rsid w:val="000D25DD"/>
    <w:rsid w:val="000D343F"/>
    <w:rsid w:val="000D4560"/>
    <w:rsid w:val="000D47B4"/>
    <w:rsid w:val="000D4A64"/>
    <w:rsid w:val="000D750A"/>
    <w:rsid w:val="000D7AAD"/>
    <w:rsid w:val="000E0408"/>
    <w:rsid w:val="000E07E7"/>
    <w:rsid w:val="000E0DD1"/>
    <w:rsid w:val="000E1AA2"/>
    <w:rsid w:val="000E20A2"/>
    <w:rsid w:val="000E46F3"/>
    <w:rsid w:val="000E5C64"/>
    <w:rsid w:val="000E6466"/>
    <w:rsid w:val="000E7F42"/>
    <w:rsid w:val="000F0C2D"/>
    <w:rsid w:val="000F1D68"/>
    <w:rsid w:val="000F1E49"/>
    <w:rsid w:val="000F400A"/>
    <w:rsid w:val="000F46ED"/>
    <w:rsid w:val="000F4DA3"/>
    <w:rsid w:val="000F5631"/>
    <w:rsid w:val="000F5980"/>
    <w:rsid w:val="000F5A36"/>
    <w:rsid w:val="000F63C1"/>
    <w:rsid w:val="000F6A5C"/>
    <w:rsid w:val="000F7ECC"/>
    <w:rsid w:val="001026B0"/>
    <w:rsid w:val="001039FA"/>
    <w:rsid w:val="00103F15"/>
    <w:rsid w:val="001056A7"/>
    <w:rsid w:val="0011011A"/>
    <w:rsid w:val="00110CB0"/>
    <w:rsid w:val="0011134F"/>
    <w:rsid w:val="001113A1"/>
    <w:rsid w:val="00111457"/>
    <w:rsid w:val="00112847"/>
    <w:rsid w:val="00112C81"/>
    <w:rsid w:val="0011326F"/>
    <w:rsid w:val="0011522A"/>
    <w:rsid w:val="00115B48"/>
    <w:rsid w:val="00115DF5"/>
    <w:rsid w:val="00116055"/>
    <w:rsid w:val="001170E4"/>
    <w:rsid w:val="00117115"/>
    <w:rsid w:val="001174A0"/>
    <w:rsid w:val="00117539"/>
    <w:rsid w:val="001206B1"/>
    <w:rsid w:val="0012164B"/>
    <w:rsid w:val="00122228"/>
    <w:rsid w:val="0012279E"/>
    <w:rsid w:val="00122839"/>
    <w:rsid w:val="00122BD3"/>
    <w:rsid w:val="00123AC4"/>
    <w:rsid w:val="00125065"/>
    <w:rsid w:val="00125345"/>
    <w:rsid w:val="00125C8A"/>
    <w:rsid w:val="00126880"/>
    <w:rsid w:val="00132862"/>
    <w:rsid w:val="00132F71"/>
    <w:rsid w:val="001330E6"/>
    <w:rsid w:val="001341FE"/>
    <w:rsid w:val="00134F5C"/>
    <w:rsid w:val="00134F5D"/>
    <w:rsid w:val="001358F0"/>
    <w:rsid w:val="00135EDE"/>
    <w:rsid w:val="00136DA3"/>
    <w:rsid w:val="001376D1"/>
    <w:rsid w:val="0013777D"/>
    <w:rsid w:val="00140C21"/>
    <w:rsid w:val="00141758"/>
    <w:rsid w:val="0014199D"/>
    <w:rsid w:val="00142198"/>
    <w:rsid w:val="00143ACD"/>
    <w:rsid w:val="0014420A"/>
    <w:rsid w:val="00144A53"/>
    <w:rsid w:val="00145BC1"/>
    <w:rsid w:val="001469F6"/>
    <w:rsid w:val="001471B8"/>
    <w:rsid w:val="00147B01"/>
    <w:rsid w:val="00147F8B"/>
    <w:rsid w:val="00150F03"/>
    <w:rsid w:val="001515BB"/>
    <w:rsid w:val="00151CFD"/>
    <w:rsid w:val="00152207"/>
    <w:rsid w:val="0015392C"/>
    <w:rsid w:val="0015438D"/>
    <w:rsid w:val="00155591"/>
    <w:rsid w:val="00156CD6"/>
    <w:rsid w:val="00156E0C"/>
    <w:rsid w:val="00157520"/>
    <w:rsid w:val="00161740"/>
    <w:rsid w:val="0016336D"/>
    <w:rsid w:val="00163E90"/>
    <w:rsid w:val="00166668"/>
    <w:rsid w:val="00166FA9"/>
    <w:rsid w:val="00172085"/>
    <w:rsid w:val="00173853"/>
    <w:rsid w:val="0017552C"/>
    <w:rsid w:val="00176DF8"/>
    <w:rsid w:val="00177A1E"/>
    <w:rsid w:val="00177D70"/>
    <w:rsid w:val="00181365"/>
    <w:rsid w:val="00182B5C"/>
    <w:rsid w:val="00182CE0"/>
    <w:rsid w:val="00183321"/>
    <w:rsid w:val="001843E2"/>
    <w:rsid w:val="00184E43"/>
    <w:rsid w:val="00185C7D"/>
    <w:rsid w:val="001861B8"/>
    <w:rsid w:val="00187065"/>
    <w:rsid w:val="00187182"/>
    <w:rsid w:val="001902FE"/>
    <w:rsid w:val="001927A4"/>
    <w:rsid w:val="00192881"/>
    <w:rsid w:val="00192C14"/>
    <w:rsid w:val="00193E53"/>
    <w:rsid w:val="001941DE"/>
    <w:rsid w:val="00195153"/>
    <w:rsid w:val="001958C8"/>
    <w:rsid w:val="001A2967"/>
    <w:rsid w:val="001A335E"/>
    <w:rsid w:val="001A3671"/>
    <w:rsid w:val="001A3E2E"/>
    <w:rsid w:val="001A6B79"/>
    <w:rsid w:val="001A7BB9"/>
    <w:rsid w:val="001A7F60"/>
    <w:rsid w:val="001B0219"/>
    <w:rsid w:val="001B02D7"/>
    <w:rsid w:val="001B0632"/>
    <w:rsid w:val="001B0AF1"/>
    <w:rsid w:val="001B160F"/>
    <w:rsid w:val="001B284A"/>
    <w:rsid w:val="001B346B"/>
    <w:rsid w:val="001B363C"/>
    <w:rsid w:val="001B6DA7"/>
    <w:rsid w:val="001B77A2"/>
    <w:rsid w:val="001C154D"/>
    <w:rsid w:val="001C1E47"/>
    <w:rsid w:val="001C2B11"/>
    <w:rsid w:val="001C3276"/>
    <w:rsid w:val="001C44E8"/>
    <w:rsid w:val="001C560E"/>
    <w:rsid w:val="001C58C2"/>
    <w:rsid w:val="001C620B"/>
    <w:rsid w:val="001D1819"/>
    <w:rsid w:val="001D1A16"/>
    <w:rsid w:val="001D280B"/>
    <w:rsid w:val="001D64F7"/>
    <w:rsid w:val="001D6530"/>
    <w:rsid w:val="001D681F"/>
    <w:rsid w:val="001D6D59"/>
    <w:rsid w:val="001D7428"/>
    <w:rsid w:val="001D7613"/>
    <w:rsid w:val="001E0A84"/>
    <w:rsid w:val="001E0EFF"/>
    <w:rsid w:val="001E1B35"/>
    <w:rsid w:val="001E1C5D"/>
    <w:rsid w:val="001E1FD1"/>
    <w:rsid w:val="001E2BAB"/>
    <w:rsid w:val="001E2D62"/>
    <w:rsid w:val="001E2FBB"/>
    <w:rsid w:val="001E4F8A"/>
    <w:rsid w:val="001E5ABD"/>
    <w:rsid w:val="001E5C43"/>
    <w:rsid w:val="001E5FE4"/>
    <w:rsid w:val="001E71BA"/>
    <w:rsid w:val="001F0B51"/>
    <w:rsid w:val="001F1D8A"/>
    <w:rsid w:val="001F359C"/>
    <w:rsid w:val="001F3750"/>
    <w:rsid w:val="001F40E1"/>
    <w:rsid w:val="001F58B8"/>
    <w:rsid w:val="00200D27"/>
    <w:rsid w:val="002011AC"/>
    <w:rsid w:val="00201EB9"/>
    <w:rsid w:val="00202BD7"/>
    <w:rsid w:val="0020478A"/>
    <w:rsid w:val="002048CC"/>
    <w:rsid w:val="0020506D"/>
    <w:rsid w:val="00205391"/>
    <w:rsid w:val="00205A99"/>
    <w:rsid w:val="00205B95"/>
    <w:rsid w:val="0020733F"/>
    <w:rsid w:val="00207B94"/>
    <w:rsid w:val="00210157"/>
    <w:rsid w:val="00210E15"/>
    <w:rsid w:val="00211626"/>
    <w:rsid w:val="00211BDA"/>
    <w:rsid w:val="00211F3D"/>
    <w:rsid w:val="0021277A"/>
    <w:rsid w:val="00212BC7"/>
    <w:rsid w:val="0021380C"/>
    <w:rsid w:val="00213FCA"/>
    <w:rsid w:val="002156DE"/>
    <w:rsid w:val="00216621"/>
    <w:rsid w:val="00216B0E"/>
    <w:rsid w:val="00217433"/>
    <w:rsid w:val="00217437"/>
    <w:rsid w:val="0022017B"/>
    <w:rsid w:val="00222350"/>
    <w:rsid w:val="002231D3"/>
    <w:rsid w:val="002235F3"/>
    <w:rsid w:val="002247E7"/>
    <w:rsid w:val="0022537C"/>
    <w:rsid w:val="0022685E"/>
    <w:rsid w:val="00227868"/>
    <w:rsid w:val="0023022C"/>
    <w:rsid w:val="00230915"/>
    <w:rsid w:val="00230D53"/>
    <w:rsid w:val="0023191B"/>
    <w:rsid w:val="002337B2"/>
    <w:rsid w:val="00233C64"/>
    <w:rsid w:val="002404BA"/>
    <w:rsid w:val="00240997"/>
    <w:rsid w:val="002427F7"/>
    <w:rsid w:val="00243015"/>
    <w:rsid w:val="0024338F"/>
    <w:rsid w:val="002511A8"/>
    <w:rsid w:val="002511E9"/>
    <w:rsid w:val="002512E8"/>
    <w:rsid w:val="00251FA2"/>
    <w:rsid w:val="002523FB"/>
    <w:rsid w:val="002529E8"/>
    <w:rsid w:val="00253249"/>
    <w:rsid w:val="002536CB"/>
    <w:rsid w:val="0025526A"/>
    <w:rsid w:val="00255EA4"/>
    <w:rsid w:val="00260A89"/>
    <w:rsid w:val="00260C9F"/>
    <w:rsid w:val="00261A11"/>
    <w:rsid w:val="00262A51"/>
    <w:rsid w:val="00262DDC"/>
    <w:rsid w:val="002639D0"/>
    <w:rsid w:val="002648FC"/>
    <w:rsid w:val="00265778"/>
    <w:rsid w:val="002658D0"/>
    <w:rsid w:val="002679E5"/>
    <w:rsid w:val="00270695"/>
    <w:rsid w:val="002707B8"/>
    <w:rsid w:val="0027084D"/>
    <w:rsid w:val="002725BC"/>
    <w:rsid w:val="002731DE"/>
    <w:rsid w:val="002735F9"/>
    <w:rsid w:val="00273CD1"/>
    <w:rsid w:val="00274463"/>
    <w:rsid w:val="0027502F"/>
    <w:rsid w:val="00277C24"/>
    <w:rsid w:val="0028166F"/>
    <w:rsid w:val="00281733"/>
    <w:rsid w:val="0028174D"/>
    <w:rsid w:val="00281A30"/>
    <w:rsid w:val="002823D9"/>
    <w:rsid w:val="002831C6"/>
    <w:rsid w:val="00283FF9"/>
    <w:rsid w:val="00284C03"/>
    <w:rsid w:val="00290B29"/>
    <w:rsid w:val="00291806"/>
    <w:rsid w:val="00292313"/>
    <w:rsid w:val="00294168"/>
    <w:rsid w:val="00294245"/>
    <w:rsid w:val="002948AE"/>
    <w:rsid w:val="00294FD0"/>
    <w:rsid w:val="002954DC"/>
    <w:rsid w:val="0029647F"/>
    <w:rsid w:val="002966F6"/>
    <w:rsid w:val="00296B1E"/>
    <w:rsid w:val="00297ABC"/>
    <w:rsid w:val="002A1692"/>
    <w:rsid w:val="002A2421"/>
    <w:rsid w:val="002A39F7"/>
    <w:rsid w:val="002A40A1"/>
    <w:rsid w:val="002A4594"/>
    <w:rsid w:val="002A4934"/>
    <w:rsid w:val="002A50A7"/>
    <w:rsid w:val="002A65C4"/>
    <w:rsid w:val="002A6CAA"/>
    <w:rsid w:val="002A6EA8"/>
    <w:rsid w:val="002B020A"/>
    <w:rsid w:val="002B228C"/>
    <w:rsid w:val="002B307D"/>
    <w:rsid w:val="002B334F"/>
    <w:rsid w:val="002B3E37"/>
    <w:rsid w:val="002B4100"/>
    <w:rsid w:val="002B4250"/>
    <w:rsid w:val="002B429D"/>
    <w:rsid w:val="002B43F3"/>
    <w:rsid w:val="002B4830"/>
    <w:rsid w:val="002B4F49"/>
    <w:rsid w:val="002B52BD"/>
    <w:rsid w:val="002B63FA"/>
    <w:rsid w:val="002B7417"/>
    <w:rsid w:val="002B7D36"/>
    <w:rsid w:val="002C0ED4"/>
    <w:rsid w:val="002C1E78"/>
    <w:rsid w:val="002C21A1"/>
    <w:rsid w:val="002C3E0C"/>
    <w:rsid w:val="002C4E8C"/>
    <w:rsid w:val="002C65D1"/>
    <w:rsid w:val="002D0261"/>
    <w:rsid w:val="002D1D1E"/>
    <w:rsid w:val="002D1E62"/>
    <w:rsid w:val="002D473A"/>
    <w:rsid w:val="002D4F37"/>
    <w:rsid w:val="002D54B7"/>
    <w:rsid w:val="002D61CE"/>
    <w:rsid w:val="002D6E03"/>
    <w:rsid w:val="002E030B"/>
    <w:rsid w:val="002E211F"/>
    <w:rsid w:val="002E397D"/>
    <w:rsid w:val="002E43B7"/>
    <w:rsid w:val="002E4405"/>
    <w:rsid w:val="002E4FDC"/>
    <w:rsid w:val="002E50F9"/>
    <w:rsid w:val="002E516E"/>
    <w:rsid w:val="002E5F0C"/>
    <w:rsid w:val="002E6386"/>
    <w:rsid w:val="002E6E73"/>
    <w:rsid w:val="002E799C"/>
    <w:rsid w:val="002F140C"/>
    <w:rsid w:val="002F313C"/>
    <w:rsid w:val="002F4AE1"/>
    <w:rsid w:val="002F4FA0"/>
    <w:rsid w:val="002F5CB2"/>
    <w:rsid w:val="002F5F07"/>
    <w:rsid w:val="002F73FB"/>
    <w:rsid w:val="002F78C9"/>
    <w:rsid w:val="002F7F47"/>
    <w:rsid w:val="0030105C"/>
    <w:rsid w:val="00304846"/>
    <w:rsid w:val="00304930"/>
    <w:rsid w:val="0030523E"/>
    <w:rsid w:val="00306137"/>
    <w:rsid w:val="00312D97"/>
    <w:rsid w:val="00312FDE"/>
    <w:rsid w:val="0031493F"/>
    <w:rsid w:val="00315E58"/>
    <w:rsid w:val="00320A32"/>
    <w:rsid w:val="00322041"/>
    <w:rsid w:val="00322518"/>
    <w:rsid w:val="00322C51"/>
    <w:rsid w:val="003235C8"/>
    <w:rsid w:val="003249AC"/>
    <w:rsid w:val="0032597C"/>
    <w:rsid w:val="0032703C"/>
    <w:rsid w:val="00327926"/>
    <w:rsid w:val="00327E12"/>
    <w:rsid w:val="003306BF"/>
    <w:rsid w:val="00331F49"/>
    <w:rsid w:val="00334155"/>
    <w:rsid w:val="0033567A"/>
    <w:rsid w:val="00336613"/>
    <w:rsid w:val="00336FF6"/>
    <w:rsid w:val="0033715B"/>
    <w:rsid w:val="003400CE"/>
    <w:rsid w:val="00340ED2"/>
    <w:rsid w:val="00341AED"/>
    <w:rsid w:val="00341DD1"/>
    <w:rsid w:val="00343604"/>
    <w:rsid w:val="00344186"/>
    <w:rsid w:val="00344D3F"/>
    <w:rsid w:val="0034504D"/>
    <w:rsid w:val="00345174"/>
    <w:rsid w:val="003451E7"/>
    <w:rsid w:val="0034562A"/>
    <w:rsid w:val="0034674B"/>
    <w:rsid w:val="003478A8"/>
    <w:rsid w:val="00351ABE"/>
    <w:rsid w:val="00351DAD"/>
    <w:rsid w:val="0035483B"/>
    <w:rsid w:val="00354993"/>
    <w:rsid w:val="0035620E"/>
    <w:rsid w:val="0035765D"/>
    <w:rsid w:val="00360CDE"/>
    <w:rsid w:val="003625AF"/>
    <w:rsid w:val="00363176"/>
    <w:rsid w:val="00363AF6"/>
    <w:rsid w:val="0036420B"/>
    <w:rsid w:val="00366FCA"/>
    <w:rsid w:val="003675BA"/>
    <w:rsid w:val="00371330"/>
    <w:rsid w:val="00373067"/>
    <w:rsid w:val="00373624"/>
    <w:rsid w:val="00374643"/>
    <w:rsid w:val="00374E61"/>
    <w:rsid w:val="0037554E"/>
    <w:rsid w:val="003759CE"/>
    <w:rsid w:val="00375AFE"/>
    <w:rsid w:val="00380246"/>
    <w:rsid w:val="0038038C"/>
    <w:rsid w:val="00380DBE"/>
    <w:rsid w:val="003810F0"/>
    <w:rsid w:val="003822A8"/>
    <w:rsid w:val="00382632"/>
    <w:rsid w:val="0038281D"/>
    <w:rsid w:val="00383151"/>
    <w:rsid w:val="00383223"/>
    <w:rsid w:val="00384D3F"/>
    <w:rsid w:val="00385E9A"/>
    <w:rsid w:val="003861AB"/>
    <w:rsid w:val="0038622A"/>
    <w:rsid w:val="00386A92"/>
    <w:rsid w:val="00387B03"/>
    <w:rsid w:val="00387C8A"/>
    <w:rsid w:val="0039036E"/>
    <w:rsid w:val="00391D6F"/>
    <w:rsid w:val="00392C0A"/>
    <w:rsid w:val="0039497C"/>
    <w:rsid w:val="00395A18"/>
    <w:rsid w:val="0039632A"/>
    <w:rsid w:val="00396CFB"/>
    <w:rsid w:val="003A15AE"/>
    <w:rsid w:val="003A1E5E"/>
    <w:rsid w:val="003A1F58"/>
    <w:rsid w:val="003A20DA"/>
    <w:rsid w:val="003A2119"/>
    <w:rsid w:val="003A421D"/>
    <w:rsid w:val="003A4F3E"/>
    <w:rsid w:val="003A53CD"/>
    <w:rsid w:val="003A6DB0"/>
    <w:rsid w:val="003A79DB"/>
    <w:rsid w:val="003B022E"/>
    <w:rsid w:val="003B2977"/>
    <w:rsid w:val="003B3314"/>
    <w:rsid w:val="003B3D85"/>
    <w:rsid w:val="003B3DD0"/>
    <w:rsid w:val="003B3EEF"/>
    <w:rsid w:val="003B41F1"/>
    <w:rsid w:val="003B572B"/>
    <w:rsid w:val="003B5805"/>
    <w:rsid w:val="003B5B99"/>
    <w:rsid w:val="003B7931"/>
    <w:rsid w:val="003C06A1"/>
    <w:rsid w:val="003C24E4"/>
    <w:rsid w:val="003C25AC"/>
    <w:rsid w:val="003C45C1"/>
    <w:rsid w:val="003C553A"/>
    <w:rsid w:val="003C5C8B"/>
    <w:rsid w:val="003C664A"/>
    <w:rsid w:val="003C70C3"/>
    <w:rsid w:val="003D0C21"/>
    <w:rsid w:val="003D248B"/>
    <w:rsid w:val="003D2F9B"/>
    <w:rsid w:val="003D4ED4"/>
    <w:rsid w:val="003D53B8"/>
    <w:rsid w:val="003D5D7B"/>
    <w:rsid w:val="003D6D33"/>
    <w:rsid w:val="003D728D"/>
    <w:rsid w:val="003D750D"/>
    <w:rsid w:val="003E01A1"/>
    <w:rsid w:val="003E1251"/>
    <w:rsid w:val="003E2170"/>
    <w:rsid w:val="003E375A"/>
    <w:rsid w:val="003E4294"/>
    <w:rsid w:val="003E4B5E"/>
    <w:rsid w:val="003E6165"/>
    <w:rsid w:val="003E6A8F"/>
    <w:rsid w:val="003E6E8B"/>
    <w:rsid w:val="003E7A6E"/>
    <w:rsid w:val="003E7AEA"/>
    <w:rsid w:val="003F0994"/>
    <w:rsid w:val="003F0FB1"/>
    <w:rsid w:val="003F26BF"/>
    <w:rsid w:val="003F2C9D"/>
    <w:rsid w:val="003F2E2D"/>
    <w:rsid w:val="003F46FA"/>
    <w:rsid w:val="003F6C61"/>
    <w:rsid w:val="003F7844"/>
    <w:rsid w:val="003F78C1"/>
    <w:rsid w:val="003F7A1E"/>
    <w:rsid w:val="003F7A6E"/>
    <w:rsid w:val="004007AC"/>
    <w:rsid w:val="00401AD3"/>
    <w:rsid w:val="00401DF0"/>
    <w:rsid w:val="0040227E"/>
    <w:rsid w:val="00403973"/>
    <w:rsid w:val="00403ADC"/>
    <w:rsid w:val="00404051"/>
    <w:rsid w:val="0040424A"/>
    <w:rsid w:val="004054E2"/>
    <w:rsid w:val="00407567"/>
    <w:rsid w:val="004103CD"/>
    <w:rsid w:val="00410A18"/>
    <w:rsid w:val="00410CBE"/>
    <w:rsid w:val="00411843"/>
    <w:rsid w:val="004119E8"/>
    <w:rsid w:val="00411E44"/>
    <w:rsid w:val="0041306D"/>
    <w:rsid w:val="004134D7"/>
    <w:rsid w:val="004138A5"/>
    <w:rsid w:val="00414885"/>
    <w:rsid w:val="004148C0"/>
    <w:rsid w:val="00414F98"/>
    <w:rsid w:val="0041560D"/>
    <w:rsid w:val="00416112"/>
    <w:rsid w:val="00422070"/>
    <w:rsid w:val="004222C6"/>
    <w:rsid w:val="0042395F"/>
    <w:rsid w:val="00424800"/>
    <w:rsid w:val="0042568D"/>
    <w:rsid w:val="00425EE1"/>
    <w:rsid w:val="00426918"/>
    <w:rsid w:val="0042694A"/>
    <w:rsid w:val="00426C66"/>
    <w:rsid w:val="00430741"/>
    <w:rsid w:val="00431115"/>
    <w:rsid w:val="00431F6C"/>
    <w:rsid w:val="00433B6D"/>
    <w:rsid w:val="00435253"/>
    <w:rsid w:val="004359BB"/>
    <w:rsid w:val="00435D04"/>
    <w:rsid w:val="00436E9C"/>
    <w:rsid w:val="00437624"/>
    <w:rsid w:val="00440DF1"/>
    <w:rsid w:val="004419F6"/>
    <w:rsid w:val="00443054"/>
    <w:rsid w:val="00443D46"/>
    <w:rsid w:val="00445704"/>
    <w:rsid w:val="00446455"/>
    <w:rsid w:val="0045049B"/>
    <w:rsid w:val="00451D3D"/>
    <w:rsid w:val="00451DA6"/>
    <w:rsid w:val="00454277"/>
    <w:rsid w:val="00454FE1"/>
    <w:rsid w:val="00456A58"/>
    <w:rsid w:val="00456AB3"/>
    <w:rsid w:val="00456C45"/>
    <w:rsid w:val="00457149"/>
    <w:rsid w:val="0046047E"/>
    <w:rsid w:val="00461A9A"/>
    <w:rsid w:val="0046351F"/>
    <w:rsid w:val="00464590"/>
    <w:rsid w:val="00464C75"/>
    <w:rsid w:val="004658D1"/>
    <w:rsid w:val="00466B8D"/>
    <w:rsid w:val="00470794"/>
    <w:rsid w:val="00471DCC"/>
    <w:rsid w:val="004729E0"/>
    <w:rsid w:val="00473850"/>
    <w:rsid w:val="00473A4D"/>
    <w:rsid w:val="00473DD7"/>
    <w:rsid w:val="00473E98"/>
    <w:rsid w:val="004740E8"/>
    <w:rsid w:val="00474125"/>
    <w:rsid w:val="004745DA"/>
    <w:rsid w:val="00474896"/>
    <w:rsid w:val="00475E79"/>
    <w:rsid w:val="00476C08"/>
    <w:rsid w:val="0047789A"/>
    <w:rsid w:val="00480BEA"/>
    <w:rsid w:val="004811CE"/>
    <w:rsid w:val="00483334"/>
    <w:rsid w:val="004834B7"/>
    <w:rsid w:val="00483779"/>
    <w:rsid w:val="0048380E"/>
    <w:rsid w:val="00486665"/>
    <w:rsid w:val="0048668C"/>
    <w:rsid w:val="00486971"/>
    <w:rsid w:val="00486BE3"/>
    <w:rsid w:val="00487D91"/>
    <w:rsid w:val="00490395"/>
    <w:rsid w:val="0049137F"/>
    <w:rsid w:val="00491C9A"/>
    <w:rsid w:val="00491ECF"/>
    <w:rsid w:val="00492379"/>
    <w:rsid w:val="004923EB"/>
    <w:rsid w:val="0049240B"/>
    <w:rsid w:val="0049342D"/>
    <w:rsid w:val="0049420B"/>
    <w:rsid w:val="0049474F"/>
    <w:rsid w:val="004954D4"/>
    <w:rsid w:val="00496760"/>
    <w:rsid w:val="00497316"/>
    <w:rsid w:val="00497C0D"/>
    <w:rsid w:val="00497CF7"/>
    <w:rsid w:val="004A17E0"/>
    <w:rsid w:val="004A2B1F"/>
    <w:rsid w:val="004A57F6"/>
    <w:rsid w:val="004A5A2F"/>
    <w:rsid w:val="004A613F"/>
    <w:rsid w:val="004B0BD1"/>
    <w:rsid w:val="004B0D97"/>
    <w:rsid w:val="004B106A"/>
    <w:rsid w:val="004B3038"/>
    <w:rsid w:val="004B31ED"/>
    <w:rsid w:val="004B394F"/>
    <w:rsid w:val="004B3D81"/>
    <w:rsid w:val="004B50DC"/>
    <w:rsid w:val="004B65EC"/>
    <w:rsid w:val="004C1432"/>
    <w:rsid w:val="004C3ECD"/>
    <w:rsid w:val="004C4576"/>
    <w:rsid w:val="004C5E86"/>
    <w:rsid w:val="004C641B"/>
    <w:rsid w:val="004C7081"/>
    <w:rsid w:val="004C7EFC"/>
    <w:rsid w:val="004D0505"/>
    <w:rsid w:val="004D05C8"/>
    <w:rsid w:val="004D0B18"/>
    <w:rsid w:val="004D0DD0"/>
    <w:rsid w:val="004D194A"/>
    <w:rsid w:val="004D2808"/>
    <w:rsid w:val="004D4A2C"/>
    <w:rsid w:val="004D7611"/>
    <w:rsid w:val="004E11D8"/>
    <w:rsid w:val="004E22AA"/>
    <w:rsid w:val="004E3225"/>
    <w:rsid w:val="004E40FD"/>
    <w:rsid w:val="004E4C79"/>
    <w:rsid w:val="004E505A"/>
    <w:rsid w:val="004E58BC"/>
    <w:rsid w:val="004E6043"/>
    <w:rsid w:val="004E72DE"/>
    <w:rsid w:val="004E7417"/>
    <w:rsid w:val="004E7689"/>
    <w:rsid w:val="004F13F9"/>
    <w:rsid w:val="004F4B9A"/>
    <w:rsid w:val="004F4D6A"/>
    <w:rsid w:val="004F5900"/>
    <w:rsid w:val="004F5FF4"/>
    <w:rsid w:val="004F706D"/>
    <w:rsid w:val="004F7483"/>
    <w:rsid w:val="004F7758"/>
    <w:rsid w:val="0050077F"/>
    <w:rsid w:val="00500BA2"/>
    <w:rsid w:val="00500DEF"/>
    <w:rsid w:val="00500F62"/>
    <w:rsid w:val="00501CB0"/>
    <w:rsid w:val="00502D50"/>
    <w:rsid w:val="00510256"/>
    <w:rsid w:val="0051107A"/>
    <w:rsid w:val="005112D7"/>
    <w:rsid w:val="00511BBB"/>
    <w:rsid w:val="00512339"/>
    <w:rsid w:val="005128CD"/>
    <w:rsid w:val="005129C3"/>
    <w:rsid w:val="005133E4"/>
    <w:rsid w:val="00513906"/>
    <w:rsid w:val="00513BF3"/>
    <w:rsid w:val="0051489E"/>
    <w:rsid w:val="00514AFF"/>
    <w:rsid w:val="00516517"/>
    <w:rsid w:val="005175EF"/>
    <w:rsid w:val="005179A1"/>
    <w:rsid w:val="00521191"/>
    <w:rsid w:val="005218C3"/>
    <w:rsid w:val="00521951"/>
    <w:rsid w:val="00522159"/>
    <w:rsid w:val="0052483D"/>
    <w:rsid w:val="005250F0"/>
    <w:rsid w:val="00525623"/>
    <w:rsid w:val="0052604A"/>
    <w:rsid w:val="0052751F"/>
    <w:rsid w:val="00531377"/>
    <w:rsid w:val="00531978"/>
    <w:rsid w:val="00532DAD"/>
    <w:rsid w:val="005336ED"/>
    <w:rsid w:val="005353EA"/>
    <w:rsid w:val="005367D5"/>
    <w:rsid w:val="00536FF5"/>
    <w:rsid w:val="00537E35"/>
    <w:rsid w:val="00540A1E"/>
    <w:rsid w:val="00540D4C"/>
    <w:rsid w:val="00541BE6"/>
    <w:rsid w:val="00542FFC"/>
    <w:rsid w:val="00543D20"/>
    <w:rsid w:val="00543F37"/>
    <w:rsid w:val="00545AD4"/>
    <w:rsid w:val="005461C0"/>
    <w:rsid w:val="00547B1C"/>
    <w:rsid w:val="005504BC"/>
    <w:rsid w:val="00551791"/>
    <w:rsid w:val="00552EB3"/>
    <w:rsid w:val="00553AA5"/>
    <w:rsid w:val="00554025"/>
    <w:rsid w:val="005543E0"/>
    <w:rsid w:val="00555259"/>
    <w:rsid w:val="005556B2"/>
    <w:rsid w:val="00561459"/>
    <w:rsid w:val="00561B12"/>
    <w:rsid w:val="0056204C"/>
    <w:rsid w:val="00562433"/>
    <w:rsid w:val="00562F0E"/>
    <w:rsid w:val="005647C8"/>
    <w:rsid w:val="00565D72"/>
    <w:rsid w:val="00565F80"/>
    <w:rsid w:val="005660FD"/>
    <w:rsid w:val="005672B5"/>
    <w:rsid w:val="005700FC"/>
    <w:rsid w:val="00571660"/>
    <w:rsid w:val="0057283B"/>
    <w:rsid w:val="00574BC8"/>
    <w:rsid w:val="00575B51"/>
    <w:rsid w:val="00576178"/>
    <w:rsid w:val="0057789C"/>
    <w:rsid w:val="005819C5"/>
    <w:rsid w:val="005824E9"/>
    <w:rsid w:val="005837BD"/>
    <w:rsid w:val="0058464C"/>
    <w:rsid w:val="00584756"/>
    <w:rsid w:val="005860FD"/>
    <w:rsid w:val="00587EE4"/>
    <w:rsid w:val="00590091"/>
    <w:rsid w:val="0059044C"/>
    <w:rsid w:val="0059072C"/>
    <w:rsid w:val="005915D6"/>
    <w:rsid w:val="00591A40"/>
    <w:rsid w:val="00591F96"/>
    <w:rsid w:val="005941FA"/>
    <w:rsid w:val="0059426C"/>
    <w:rsid w:val="00594F37"/>
    <w:rsid w:val="00594FC0"/>
    <w:rsid w:val="00597441"/>
    <w:rsid w:val="0059767A"/>
    <w:rsid w:val="005A0888"/>
    <w:rsid w:val="005A1AFE"/>
    <w:rsid w:val="005A2F63"/>
    <w:rsid w:val="005A2F6F"/>
    <w:rsid w:val="005A55A8"/>
    <w:rsid w:val="005A573D"/>
    <w:rsid w:val="005A59F4"/>
    <w:rsid w:val="005A5B9A"/>
    <w:rsid w:val="005A5C27"/>
    <w:rsid w:val="005A5EEE"/>
    <w:rsid w:val="005A6B9B"/>
    <w:rsid w:val="005A7708"/>
    <w:rsid w:val="005B0F17"/>
    <w:rsid w:val="005B368D"/>
    <w:rsid w:val="005B3E85"/>
    <w:rsid w:val="005B50B8"/>
    <w:rsid w:val="005B5B2D"/>
    <w:rsid w:val="005B5BFC"/>
    <w:rsid w:val="005B7C09"/>
    <w:rsid w:val="005C138B"/>
    <w:rsid w:val="005C1BFC"/>
    <w:rsid w:val="005C37BF"/>
    <w:rsid w:val="005C3F96"/>
    <w:rsid w:val="005C489D"/>
    <w:rsid w:val="005C59CE"/>
    <w:rsid w:val="005C5F99"/>
    <w:rsid w:val="005C6529"/>
    <w:rsid w:val="005D027D"/>
    <w:rsid w:val="005D1B1B"/>
    <w:rsid w:val="005D1F76"/>
    <w:rsid w:val="005D1FFE"/>
    <w:rsid w:val="005D25EC"/>
    <w:rsid w:val="005D2ABC"/>
    <w:rsid w:val="005D2D13"/>
    <w:rsid w:val="005D4CEB"/>
    <w:rsid w:val="005D5383"/>
    <w:rsid w:val="005D54CA"/>
    <w:rsid w:val="005D5717"/>
    <w:rsid w:val="005D5CD7"/>
    <w:rsid w:val="005D6827"/>
    <w:rsid w:val="005D7D4E"/>
    <w:rsid w:val="005D7FB3"/>
    <w:rsid w:val="005E038B"/>
    <w:rsid w:val="005E1543"/>
    <w:rsid w:val="005E18EB"/>
    <w:rsid w:val="005E1D1F"/>
    <w:rsid w:val="005E20BF"/>
    <w:rsid w:val="005E2179"/>
    <w:rsid w:val="005E2647"/>
    <w:rsid w:val="005E28CB"/>
    <w:rsid w:val="005E3EFB"/>
    <w:rsid w:val="005E56E6"/>
    <w:rsid w:val="005E61ED"/>
    <w:rsid w:val="005F128A"/>
    <w:rsid w:val="005F1373"/>
    <w:rsid w:val="005F13A7"/>
    <w:rsid w:val="005F4085"/>
    <w:rsid w:val="005F70AA"/>
    <w:rsid w:val="005F77E4"/>
    <w:rsid w:val="00600B02"/>
    <w:rsid w:val="00600D22"/>
    <w:rsid w:val="00601444"/>
    <w:rsid w:val="006025A4"/>
    <w:rsid w:val="00602EF3"/>
    <w:rsid w:val="006036FD"/>
    <w:rsid w:val="006049B0"/>
    <w:rsid w:val="006109F3"/>
    <w:rsid w:val="006109F6"/>
    <w:rsid w:val="0061177B"/>
    <w:rsid w:val="006124DB"/>
    <w:rsid w:val="0061276B"/>
    <w:rsid w:val="0061362E"/>
    <w:rsid w:val="00615341"/>
    <w:rsid w:val="006160BF"/>
    <w:rsid w:val="0061616D"/>
    <w:rsid w:val="006163AE"/>
    <w:rsid w:val="00616ADA"/>
    <w:rsid w:val="006175A7"/>
    <w:rsid w:val="006220FA"/>
    <w:rsid w:val="006239C7"/>
    <w:rsid w:val="00623BE6"/>
    <w:rsid w:val="0062454B"/>
    <w:rsid w:val="006252C6"/>
    <w:rsid w:val="006254B3"/>
    <w:rsid w:val="0062576C"/>
    <w:rsid w:val="00625806"/>
    <w:rsid w:val="00626033"/>
    <w:rsid w:val="006272FC"/>
    <w:rsid w:val="0062744B"/>
    <w:rsid w:val="00630505"/>
    <w:rsid w:val="00630922"/>
    <w:rsid w:val="00630E11"/>
    <w:rsid w:val="00631143"/>
    <w:rsid w:val="00631459"/>
    <w:rsid w:val="00631C17"/>
    <w:rsid w:val="0063248E"/>
    <w:rsid w:val="006324CB"/>
    <w:rsid w:val="00632CF0"/>
    <w:rsid w:val="00632E7D"/>
    <w:rsid w:val="006331B0"/>
    <w:rsid w:val="0063415D"/>
    <w:rsid w:val="00634539"/>
    <w:rsid w:val="006345B2"/>
    <w:rsid w:val="006360DB"/>
    <w:rsid w:val="00636B85"/>
    <w:rsid w:val="006375CA"/>
    <w:rsid w:val="00643DC9"/>
    <w:rsid w:val="006460B8"/>
    <w:rsid w:val="00646410"/>
    <w:rsid w:val="0064646B"/>
    <w:rsid w:val="006479EF"/>
    <w:rsid w:val="006514A3"/>
    <w:rsid w:val="006529AA"/>
    <w:rsid w:val="00654707"/>
    <w:rsid w:val="00655337"/>
    <w:rsid w:val="0065591D"/>
    <w:rsid w:val="0066010E"/>
    <w:rsid w:val="00660D00"/>
    <w:rsid w:val="00664D23"/>
    <w:rsid w:val="0066658E"/>
    <w:rsid w:val="006668D8"/>
    <w:rsid w:val="00666D5A"/>
    <w:rsid w:val="006672E3"/>
    <w:rsid w:val="00667656"/>
    <w:rsid w:val="00670051"/>
    <w:rsid w:val="00670523"/>
    <w:rsid w:val="00670587"/>
    <w:rsid w:val="006705D6"/>
    <w:rsid w:val="00672D7A"/>
    <w:rsid w:val="00672E10"/>
    <w:rsid w:val="0067419C"/>
    <w:rsid w:val="00675794"/>
    <w:rsid w:val="00675B21"/>
    <w:rsid w:val="00675ECF"/>
    <w:rsid w:val="006765F9"/>
    <w:rsid w:val="00680333"/>
    <w:rsid w:val="00680E08"/>
    <w:rsid w:val="00681DA9"/>
    <w:rsid w:val="00683C7D"/>
    <w:rsid w:val="006856D8"/>
    <w:rsid w:val="00686D1E"/>
    <w:rsid w:val="00686E4E"/>
    <w:rsid w:val="00687F36"/>
    <w:rsid w:val="00690C0D"/>
    <w:rsid w:val="006915C5"/>
    <w:rsid w:val="00692151"/>
    <w:rsid w:val="00692678"/>
    <w:rsid w:val="00692B5D"/>
    <w:rsid w:val="00693E90"/>
    <w:rsid w:val="00694365"/>
    <w:rsid w:val="0069437A"/>
    <w:rsid w:val="00695011"/>
    <w:rsid w:val="006969F0"/>
    <w:rsid w:val="00696E76"/>
    <w:rsid w:val="00697198"/>
    <w:rsid w:val="00697AE2"/>
    <w:rsid w:val="006A01D7"/>
    <w:rsid w:val="006A424B"/>
    <w:rsid w:val="006A6EF2"/>
    <w:rsid w:val="006A7B6C"/>
    <w:rsid w:val="006B117A"/>
    <w:rsid w:val="006B16CD"/>
    <w:rsid w:val="006B22CB"/>
    <w:rsid w:val="006B2C36"/>
    <w:rsid w:val="006B41F6"/>
    <w:rsid w:val="006B4C20"/>
    <w:rsid w:val="006B5FC7"/>
    <w:rsid w:val="006B664F"/>
    <w:rsid w:val="006B72DC"/>
    <w:rsid w:val="006C0489"/>
    <w:rsid w:val="006C0DF1"/>
    <w:rsid w:val="006C19FF"/>
    <w:rsid w:val="006C4152"/>
    <w:rsid w:val="006C4B0D"/>
    <w:rsid w:val="006C5C95"/>
    <w:rsid w:val="006C70ED"/>
    <w:rsid w:val="006D045D"/>
    <w:rsid w:val="006D05F8"/>
    <w:rsid w:val="006D219A"/>
    <w:rsid w:val="006D2FCF"/>
    <w:rsid w:val="006D3126"/>
    <w:rsid w:val="006D3407"/>
    <w:rsid w:val="006D34ED"/>
    <w:rsid w:val="006D44D3"/>
    <w:rsid w:val="006D49F8"/>
    <w:rsid w:val="006D526E"/>
    <w:rsid w:val="006D52C6"/>
    <w:rsid w:val="006D623C"/>
    <w:rsid w:val="006D64A8"/>
    <w:rsid w:val="006D68FE"/>
    <w:rsid w:val="006D6F0C"/>
    <w:rsid w:val="006E02C8"/>
    <w:rsid w:val="006E0832"/>
    <w:rsid w:val="006E11C5"/>
    <w:rsid w:val="006E2139"/>
    <w:rsid w:val="006E2E96"/>
    <w:rsid w:val="006E31DC"/>
    <w:rsid w:val="006E3730"/>
    <w:rsid w:val="006E4ADC"/>
    <w:rsid w:val="006E5B1C"/>
    <w:rsid w:val="006E6CC3"/>
    <w:rsid w:val="006F01DD"/>
    <w:rsid w:val="006F10FB"/>
    <w:rsid w:val="006F1799"/>
    <w:rsid w:val="006F1912"/>
    <w:rsid w:val="006F22ED"/>
    <w:rsid w:val="006F2309"/>
    <w:rsid w:val="006F270D"/>
    <w:rsid w:val="006F2D6B"/>
    <w:rsid w:val="006F3F20"/>
    <w:rsid w:val="006F4D78"/>
    <w:rsid w:val="006F511E"/>
    <w:rsid w:val="006F5CBA"/>
    <w:rsid w:val="006F5D72"/>
    <w:rsid w:val="006F7D6E"/>
    <w:rsid w:val="00700807"/>
    <w:rsid w:val="007008CC"/>
    <w:rsid w:val="00701CCE"/>
    <w:rsid w:val="00702538"/>
    <w:rsid w:val="007025D9"/>
    <w:rsid w:val="0070369D"/>
    <w:rsid w:val="00704431"/>
    <w:rsid w:val="00705024"/>
    <w:rsid w:val="007052B7"/>
    <w:rsid w:val="00705A09"/>
    <w:rsid w:val="00710360"/>
    <w:rsid w:val="007134A3"/>
    <w:rsid w:val="00714CC3"/>
    <w:rsid w:val="007162DF"/>
    <w:rsid w:val="00716505"/>
    <w:rsid w:val="0072002A"/>
    <w:rsid w:val="0072015A"/>
    <w:rsid w:val="00720230"/>
    <w:rsid w:val="00720865"/>
    <w:rsid w:val="00723121"/>
    <w:rsid w:val="007232E0"/>
    <w:rsid w:val="00723497"/>
    <w:rsid w:val="00723C94"/>
    <w:rsid w:val="007249B2"/>
    <w:rsid w:val="00724A9A"/>
    <w:rsid w:val="00725BBB"/>
    <w:rsid w:val="007270F4"/>
    <w:rsid w:val="00731276"/>
    <w:rsid w:val="0073135B"/>
    <w:rsid w:val="007324F0"/>
    <w:rsid w:val="00733729"/>
    <w:rsid w:val="00733D36"/>
    <w:rsid w:val="007340FB"/>
    <w:rsid w:val="0073502C"/>
    <w:rsid w:val="00737116"/>
    <w:rsid w:val="00737B21"/>
    <w:rsid w:val="007408CB"/>
    <w:rsid w:val="00740F2A"/>
    <w:rsid w:val="007424C3"/>
    <w:rsid w:val="0074312B"/>
    <w:rsid w:val="007443F6"/>
    <w:rsid w:val="007453B6"/>
    <w:rsid w:val="007458FA"/>
    <w:rsid w:val="007467DE"/>
    <w:rsid w:val="00747710"/>
    <w:rsid w:val="00747E84"/>
    <w:rsid w:val="00750ADF"/>
    <w:rsid w:val="00753357"/>
    <w:rsid w:val="00755256"/>
    <w:rsid w:val="007552CC"/>
    <w:rsid w:val="00755907"/>
    <w:rsid w:val="007562DA"/>
    <w:rsid w:val="00756401"/>
    <w:rsid w:val="0075756B"/>
    <w:rsid w:val="00757C70"/>
    <w:rsid w:val="0076059A"/>
    <w:rsid w:val="00761BBF"/>
    <w:rsid w:val="007627D2"/>
    <w:rsid w:val="00762C7C"/>
    <w:rsid w:val="00762FBE"/>
    <w:rsid w:val="007634A9"/>
    <w:rsid w:val="0076356B"/>
    <w:rsid w:val="007651EA"/>
    <w:rsid w:val="007664E4"/>
    <w:rsid w:val="00766A7A"/>
    <w:rsid w:val="00771BAB"/>
    <w:rsid w:val="00771C54"/>
    <w:rsid w:val="007740BD"/>
    <w:rsid w:val="007747BE"/>
    <w:rsid w:val="00774A78"/>
    <w:rsid w:val="00775886"/>
    <w:rsid w:val="007764B0"/>
    <w:rsid w:val="007768DF"/>
    <w:rsid w:val="007768FB"/>
    <w:rsid w:val="00776F99"/>
    <w:rsid w:val="00777C67"/>
    <w:rsid w:val="007802AD"/>
    <w:rsid w:val="0078047F"/>
    <w:rsid w:val="00780E29"/>
    <w:rsid w:val="00781203"/>
    <w:rsid w:val="00781312"/>
    <w:rsid w:val="00781F73"/>
    <w:rsid w:val="00782FF3"/>
    <w:rsid w:val="00783189"/>
    <w:rsid w:val="007845E1"/>
    <w:rsid w:val="00784ACA"/>
    <w:rsid w:val="00784C55"/>
    <w:rsid w:val="00785927"/>
    <w:rsid w:val="00785982"/>
    <w:rsid w:val="00785B2E"/>
    <w:rsid w:val="00787686"/>
    <w:rsid w:val="00787E50"/>
    <w:rsid w:val="0079063F"/>
    <w:rsid w:val="00793D9F"/>
    <w:rsid w:val="00795EF2"/>
    <w:rsid w:val="007968B8"/>
    <w:rsid w:val="00796B1B"/>
    <w:rsid w:val="007A0B2C"/>
    <w:rsid w:val="007A0FEC"/>
    <w:rsid w:val="007A12C9"/>
    <w:rsid w:val="007A17BB"/>
    <w:rsid w:val="007A272C"/>
    <w:rsid w:val="007A2B3E"/>
    <w:rsid w:val="007A2EE6"/>
    <w:rsid w:val="007A3E87"/>
    <w:rsid w:val="007A4B28"/>
    <w:rsid w:val="007A557E"/>
    <w:rsid w:val="007A584C"/>
    <w:rsid w:val="007A5C1F"/>
    <w:rsid w:val="007A6EEF"/>
    <w:rsid w:val="007A71AC"/>
    <w:rsid w:val="007A7AF1"/>
    <w:rsid w:val="007B0FD6"/>
    <w:rsid w:val="007B18D0"/>
    <w:rsid w:val="007B1C9C"/>
    <w:rsid w:val="007B1F3E"/>
    <w:rsid w:val="007B21AB"/>
    <w:rsid w:val="007B2E9D"/>
    <w:rsid w:val="007B5E8E"/>
    <w:rsid w:val="007B6843"/>
    <w:rsid w:val="007B7F04"/>
    <w:rsid w:val="007C0A36"/>
    <w:rsid w:val="007C0B6B"/>
    <w:rsid w:val="007C0C4F"/>
    <w:rsid w:val="007C0D75"/>
    <w:rsid w:val="007C126B"/>
    <w:rsid w:val="007C13B8"/>
    <w:rsid w:val="007C2617"/>
    <w:rsid w:val="007C2FE3"/>
    <w:rsid w:val="007C3072"/>
    <w:rsid w:val="007C38C6"/>
    <w:rsid w:val="007C4D6B"/>
    <w:rsid w:val="007C4FEE"/>
    <w:rsid w:val="007C68B5"/>
    <w:rsid w:val="007C79A2"/>
    <w:rsid w:val="007D1457"/>
    <w:rsid w:val="007D1D5D"/>
    <w:rsid w:val="007D2511"/>
    <w:rsid w:val="007D354A"/>
    <w:rsid w:val="007D41D8"/>
    <w:rsid w:val="007D4FDA"/>
    <w:rsid w:val="007D5AD8"/>
    <w:rsid w:val="007D6269"/>
    <w:rsid w:val="007D62F3"/>
    <w:rsid w:val="007D6425"/>
    <w:rsid w:val="007D7696"/>
    <w:rsid w:val="007E01D5"/>
    <w:rsid w:val="007E120E"/>
    <w:rsid w:val="007E48CF"/>
    <w:rsid w:val="007F00FF"/>
    <w:rsid w:val="007F035B"/>
    <w:rsid w:val="007F1946"/>
    <w:rsid w:val="007F2D88"/>
    <w:rsid w:val="007F31B2"/>
    <w:rsid w:val="007F34B6"/>
    <w:rsid w:val="007F352D"/>
    <w:rsid w:val="007F446E"/>
    <w:rsid w:val="007F497E"/>
    <w:rsid w:val="007F549E"/>
    <w:rsid w:val="007F607A"/>
    <w:rsid w:val="007F6FB1"/>
    <w:rsid w:val="007F71DF"/>
    <w:rsid w:val="0080076A"/>
    <w:rsid w:val="00801EB3"/>
    <w:rsid w:val="00803052"/>
    <w:rsid w:val="008033C2"/>
    <w:rsid w:val="0080342B"/>
    <w:rsid w:val="00803AF3"/>
    <w:rsid w:val="00803DB8"/>
    <w:rsid w:val="00804AA4"/>
    <w:rsid w:val="00805FBE"/>
    <w:rsid w:val="00806A19"/>
    <w:rsid w:val="00806A3A"/>
    <w:rsid w:val="00810318"/>
    <w:rsid w:val="00810570"/>
    <w:rsid w:val="00812232"/>
    <w:rsid w:val="00812AA1"/>
    <w:rsid w:val="008131FA"/>
    <w:rsid w:val="008133C0"/>
    <w:rsid w:val="00814A3A"/>
    <w:rsid w:val="00815A3E"/>
    <w:rsid w:val="00815C3B"/>
    <w:rsid w:val="008164E8"/>
    <w:rsid w:val="00817741"/>
    <w:rsid w:val="008177EE"/>
    <w:rsid w:val="00820BED"/>
    <w:rsid w:val="00821692"/>
    <w:rsid w:val="00821B54"/>
    <w:rsid w:val="00822091"/>
    <w:rsid w:val="00822725"/>
    <w:rsid w:val="00822A6D"/>
    <w:rsid w:val="00823311"/>
    <w:rsid w:val="00823C69"/>
    <w:rsid w:val="00823DE9"/>
    <w:rsid w:val="008246E3"/>
    <w:rsid w:val="00824836"/>
    <w:rsid w:val="008259CF"/>
    <w:rsid w:val="00825E35"/>
    <w:rsid w:val="0082711E"/>
    <w:rsid w:val="00827686"/>
    <w:rsid w:val="00827EC4"/>
    <w:rsid w:val="00830CC4"/>
    <w:rsid w:val="0083168B"/>
    <w:rsid w:val="00831D33"/>
    <w:rsid w:val="00832772"/>
    <w:rsid w:val="00832D88"/>
    <w:rsid w:val="00832F6E"/>
    <w:rsid w:val="0083338D"/>
    <w:rsid w:val="00833722"/>
    <w:rsid w:val="00833FB6"/>
    <w:rsid w:val="00834BC3"/>
    <w:rsid w:val="00834FD2"/>
    <w:rsid w:val="00842FE7"/>
    <w:rsid w:val="00844277"/>
    <w:rsid w:val="00844434"/>
    <w:rsid w:val="008449AD"/>
    <w:rsid w:val="00844F3B"/>
    <w:rsid w:val="008455EF"/>
    <w:rsid w:val="00845891"/>
    <w:rsid w:val="0084695A"/>
    <w:rsid w:val="00850E16"/>
    <w:rsid w:val="00852018"/>
    <w:rsid w:val="00852226"/>
    <w:rsid w:val="008543E8"/>
    <w:rsid w:val="00856121"/>
    <w:rsid w:val="00860AF0"/>
    <w:rsid w:val="008618B2"/>
    <w:rsid w:val="00862286"/>
    <w:rsid w:val="008626CE"/>
    <w:rsid w:val="00862760"/>
    <w:rsid w:val="00867A25"/>
    <w:rsid w:val="008700BA"/>
    <w:rsid w:val="00873666"/>
    <w:rsid w:val="0087426E"/>
    <w:rsid w:val="00874736"/>
    <w:rsid w:val="008748B4"/>
    <w:rsid w:val="008751F6"/>
    <w:rsid w:val="00875A1A"/>
    <w:rsid w:val="00875CD5"/>
    <w:rsid w:val="00876854"/>
    <w:rsid w:val="00876986"/>
    <w:rsid w:val="008769F5"/>
    <w:rsid w:val="0087732A"/>
    <w:rsid w:val="008804BC"/>
    <w:rsid w:val="00880D1A"/>
    <w:rsid w:val="00880D91"/>
    <w:rsid w:val="00881D81"/>
    <w:rsid w:val="00881E2C"/>
    <w:rsid w:val="00882F2B"/>
    <w:rsid w:val="00883566"/>
    <w:rsid w:val="008849FF"/>
    <w:rsid w:val="00884ED9"/>
    <w:rsid w:val="008859AC"/>
    <w:rsid w:val="008869C8"/>
    <w:rsid w:val="00886AC3"/>
    <w:rsid w:val="00892D3A"/>
    <w:rsid w:val="00896574"/>
    <w:rsid w:val="008979C1"/>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6B71"/>
    <w:rsid w:val="008B6EB1"/>
    <w:rsid w:val="008C0158"/>
    <w:rsid w:val="008C174F"/>
    <w:rsid w:val="008C3F3A"/>
    <w:rsid w:val="008C4902"/>
    <w:rsid w:val="008C5042"/>
    <w:rsid w:val="008C544B"/>
    <w:rsid w:val="008D1581"/>
    <w:rsid w:val="008D1BAD"/>
    <w:rsid w:val="008D1C55"/>
    <w:rsid w:val="008D33E2"/>
    <w:rsid w:val="008D4019"/>
    <w:rsid w:val="008D4883"/>
    <w:rsid w:val="008D51F3"/>
    <w:rsid w:val="008D5B12"/>
    <w:rsid w:val="008E051D"/>
    <w:rsid w:val="008E0F34"/>
    <w:rsid w:val="008E1E03"/>
    <w:rsid w:val="008E2B3B"/>
    <w:rsid w:val="008E4054"/>
    <w:rsid w:val="008E4A0D"/>
    <w:rsid w:val="008E7142"/>
    <w:rsid w:val="008E7372"/>
    <w:rsid w:val="008F093F"/>
    <w:rsid w:val="008F1B64"/>
    <w:rsid w:val="008F2A12"/>
    <w:rsid w:val="008F431C"/>
    <w:rsid w:val="008F43B7"/>
    <w:rsid w:val="008F4901"/>
    <w:rsid w:val="008F5289"/>
    <w:rsid w:val="008F5430"/>
    <w:rsid w:val="008F6AD8"/>
    <w:rsid w:val="008F79E8"/>
    <w:rsid w:val="0090108A"/>
    <w:rsid w:val="00901219"/>
    <w:rsid w:val="00901BA6"/>
    <w:rsid w:val="0090234C"/>
    <w:rsid w:val="009042CC"/>
    <w:rsid w:val="00904571"/>
    <w:rsid w:val="00906134"/>
    <w:rsid w:val="00907160"/>
    <w:rsid w:val="009076A8"/>
    <w:rsid w:val="00907EF2"/>
    <w:rsid w:val="00910D95"/>
    <w:rsid w:val="009127A4"/>
    <w:rsid w:val="00912AE9"/>
    <w:rsid w:val="00913D5F"/>
    <w:rsid w:val="00914A3B"/>
    <w:rsid w:val="00914A3D"/>
    <w:rsid w:val="009159B2"/>
    <w:rsid w:val="0091695C"/>
    <w:rsid w:val="00916A3B"/>
    <w:rsid w:val="009179D3"/>
    <w:rsid w:val="00917B96"/>
    <w:rsid w:val="00920BBD"/>
    <w:rsid w:val="00921D13"/>
    <w:rsid w:val="00922460"/>
    <w:rsid w:val="00925876"/>
    <w:rsid w:val="0092646E"/>
    <w:rsid w:val="009310B5"/>
    <w:rsid w:val="00931611"/>
    <w:rsid w:val="009329AE"/>
    <w:rsid w:val="00933C53"/>
    <w:rsid w:val="00934C83"/>
    <w:rsid w:val="009369AE"/>
    <w:rsid w:val="00937AED"/>
    <w:rsid w:val="0094439D"/>
    <w:rsid w:val="00944AFA"/>
    <w:rsid w:val="00945650"/>
    <w:rsid w:val="00945FE2"/>
    <w:rsid w:val="0094621D"/>
    <w:rsid w:val="00950727"/>
    <w:rsid w:val="009508E4"/>
    <w:rsid w:val="00950BAB"/>
    <w:rsid w:val="00951FDB"/>
    <w:rsid w:val="009522DA"/>
    <w:rsid w:val="00952B0A"/>
    <w:rsid w:val="00953B31"/>
    <w:rsid w:val="00953E02"/>
    <w:rsid w:val="00954323"/>
    <w:rsid w:val="00954BC2"/>
    <w:rsid w:val="009567B8"/>
    <w:rsid w:val="00957E7E"/>
    <w:rsid w:val="00960D34"/>
    <w:rsid w:val="009611D2"/>
    <w:rsid w:val="0096202E"/>
    <w:rsid w:val="009621A0"/>
    <w:rsid w:val="00962BC2"/>
    <w:rsid w:val="00963D5E"/>
    <w:rsid w:val="00964224"/>
    <w:rsid w:val="00965874"/>
    <w:rsid w:val="0096696A"/>
    <w:rsid w:val="00966C66"/>
    <w:rsid w:val="00967201"/>
    <w:rsid w:val="00967C74"/>
    <w:rsid w:val="0097124C"/>
    <w:rsid w:val="00971FDA"/>
    <w:rsid w:val="009722A8"/>
    <w:rsid w:val="00972548"/>
    <w:rsid w:val="009728FF"/>
    <w:rsid w:val="00974888"/>
    <w:rsid w:val="00974B47"/>
    <w:rsid w:val="00974D53"/>
    <w:rsid w:val="00974D5D"/>
    <w:rsid w:val="009760C4"/>
    <w:rsid w:val="00976E27"/>
    <w:rsid w:val="009772A5"/>
    <w:rsid w:val="00977550"/>
    <w:rsid w:val="00980B5D"/>
    <w:rsid w:val="00981173"/>
    <w:rsid w:val="0098140F"/>
    <w:rsid w:val="00981A75"/>
    <w:rsid w:val="00981F83"/>
    <w:rsid w:val="00983057"/>
    <w:rsid w:val="009841A8"/>
    <w:rsid w:val="00985C89"/>
    <w:rsid w:val="009868BE"/>
    <w:rsid w:val="00986B64"/>
    <w:rsid w:val="00986EFA"/>
    <w:rsid w:val="009871D9"/>
    <w:rsid w:val="009876A4"/>
    <w:rsid w:val="009917E9"/>
    <w:rsid w:val="00992416"/>
    <w:rsid w:val="00993789"/>
    <w:rsid w:val="00994B4C"/>
    <w:rsid w:val="00994F61"/>
    <w:rsid w:val="00996057"/>
    <w:rsid w:val="00996394"/>
    <w:rsid w:val="009964B4"/>
    <w:rsid w:val="00996C89"/>
    <w:rsid w:val="00996CB7"/>
    <w:rsid w:val="009979B9"/>
    <w:rsid w:val="009A03C7"/>
    <w:rsid w:val="009A0703"/>
    <w:rsid w:val="009A1399"/>
    <w:rsid w:val="009A22FD"/>
    <w:rsid w:val="009A2ED6"/>
    <w:rsid w:val="009A31E7"/>
    <w:rsid w:val="009A546A"/>
    <w:rsid w:val="009A621C"/>
    <w:rsid w:val="009A6677"/>
    <w:rsid w:val="009A6C66"/>
    <w:rsid w:val="009A6EF9"/>
    <w:rsid w:val="009A7BBC"/>
    <w:rsid w:val="009B2A11"/>
    <w:rsid w:val="009B5581"/>
    <w:rsid w:val="009B5940"/>
    <w:rsid w:val="009B63ED"/>
    <w:rsid w:val="009B710D"/>
    <w:rsid w:val="009C3862"/>
    <w:rsid w:val="009C4171"/>
    <w:rsid w:val="009C475C"/>
    <w:rsid w:val="009C5878"/>
    <w:rsid w:val="009C60A5"/>
    <w:rsid w:val="009C75C9"/>
    <w:rsid w:val="009D0BF1"/>
    <w:rsid w:val="009D1492"/>
    <w:rsid w:val="009D169E"/>
    <w:rsid w:val="009D17E7"/>
    <w:rsid w:val="009D2602"/>
    <w:rsid w:val="009D3234"/>
    <w:rsid w:val="009D346D"/>
    <w:rsid w:val="009D41B7"/>
    <w:rsid w:val="009D5CA7"/>
    <w:rsid w:val="009D65CD"/>
    <w:rsid w:val="009D6E2E"/>
    <w:rsid w:val="009D7298"/>
    <w:rsid w:val="009E03C7"/>
    <w:rsid w:val="009E12B5"/>
    <w:rsid w:val="009E3C1C"/>
    <w:rsid w:val="009E3F6F"/>
    <w:rsid w:val="009E5EE9"/>
    <w:rsid w:val="009E6ACB"/>
    <w:rsid w:val="009F1043"/>
    <w:rsid w:val="009F2D78"/>
    <w:rsid w:val="009F36CA"/>
    <w:rsid w:val="009F4FE2"/>
    <w:rsid w:val="009F58F9"/>
    <w:rsid w:val="009F6167"/>
    <w:rsid w:val="009F752A"/>
    <w:rsid w:val="00A003BE"/>
    <w:rsid w:val="00A00EE1"/>
    <w:rsid w:val="00A022AB"/>
    <w:rsid w:val="00A02B33"/>
    <w:rsid w:val="00A03435"/>
    <w:rsid w:val="00A03567"/>
    <w:rsid w:val="00A0385F"/>
    <w:rsid w:val="00A06C2D"/>
    <w:rsid w:val="00A079D0"/>
    <w:rsid w:val="00A11132"/>
    <w:rsid w:val="00A11756"/>
    <w:rsid w:val="00A11894"/>
    <w:rsid w:val="00A11969"/>
    <w:rsid w:val="00A12DE8"/>
    <w:rsid w:val="00A157B9"/>
    <w:rsid w:val="00A158FB"/>
    <w:rsid w:val="00A1712E"/>
    <w:rsid w:val="00A17F2D"/>
    <w:rsid w:val="00A20667"/>
    <w:rsid w:val="00A22348"/>
    <w:rsid w:val="00A243D6"/>
    <w:rsid w:val="00A24C62"/>
    <w:rsid w:val="00A254EC"/>
    <w:rsid w:val="00A25F51"/>
    <w:rsid w:val="00A26157"/>
    <w:rsid w:val="00A26182"/>
    <w:rsid w:val="00A262A3"/>
    <w:rsid w:val="00A30382"/>
    <w:rsid w:val="00A309CC"/>
    <w:rsid w:val="00A30CEC"/>
    <w:rsid w:val="00A3188E"/>
    <w:rsid w:val="00A32604"/>
    <w:rsid w:val="00A32EF3"/>
    <w:rsid w:val="00A33959"/>
    <w:rsid w:val="00A35312"/>
    <w:rsid w:val="00A354C8"/>
    <w:rsid w:val="00A3726D"/>
    <w:rsid w:val="00A407E6"/>
    <w:rsid w:val="00A40E00"/>
    <w:rsid w:val="00A417AE"/>
    <w:rsid w:val="00A43345"/>
    <w:rsid w:val="00A447E6"/>
    <w:rsid w:val="00A463E3"/>
    <w:rsid w:val="00A50AD6"/>
    <w:rsid w:val="00A50D0F"/>
    <w:rsid w:val="00A50E2B"/>
    <w:rsid w:val="00A51495"/>
    <w:rsid w:val="00A52AD9"/>
    <w:rsid w:val="00A52B46"/>
    <w:rsid w:val="00A54097"/>
    <w:rsid w:val="00A54140"/>
    <w:rsid w:val="00A54DAA"/>
    <w:rsid w:val="00A56042"/>
    <w:rsid w:val="00A57661"/>
    <w:rsid w:val="00A60E34"/>
    <w:rsid w:val="00A62074"/>
    <w:rsid w:val="00A62606"/>
    <w:rsid w:val="00A62EA7"/>
    <w:rsid w:val="00A6459E"/>
    <w:rsid w:val="00A64686"/>
    <w:rsid w:val="00A64CAE"/>
    <w:rsid w:val="00A6578C"/>
    <w:rsid w:val="00A6605D"/>
    <w:rsid w:val="00A71A0A"/>
    <w:rsid w:val="00A72227"/>
    <w:rsid w:val="00A72CC1"/>
    <w:rsid w:val="00A73E12"/>
    <w:rsid w:val="00A748F2"/>
    <w:rsid w:val="00A74939"/>
    <w:rsid w:val="00A76AED"/>
    <w:rsid w:val="00A77B52"/>
    <w:rsid w:val="00A77BE7"/>
    <w:rsid w:val="00A80044"/>
    <w:rsid w:val="00A81845"/>
    <w:rsid w:val="00A8271D"/>
    <w:rsid w:val="00A82B34"/>
    <w:rsid w:val="00A83611"/>
    <w:rsid w:val="00A842F6"/>
    <w:rsid w:val="00A84B21"/>
    <w:rsid w:val="00A8580C"/>
    <w:rsid w:val="00A85A45"/>
    <w:rsid w:val="00A85F3E"/>
    <w:rsid w:val="00A86A92"/>
    <w:rsid w:val="00A86CEB"/>
    <w:rsid w:val="00A90AA5"/>
    <w:rsid w:val="00A912BA"/>
    <w:rsid w:val="00A924F3"/>
    <w:rsid w:val="00A92AF0"/>
    <w:rsid w:val="00A94369"/>
    <w:rsid w:val="00A960C9"/>
    <w:rsid w:val="00A97923"/>
    <w:rsid w:val="00AA0E31"/>
    <w:rsid w:val="00AA150D"/>
    <w:rsid w:val="00AA1803"/>
    <w:rsid w:val="00AA20EA"/>
    <w:rsid w:val="00AA446F"/>
    <w:rsid w:val="00AA59A6"/>
    <w:rsid w:val="00AA739B"/>
    <w:rsid w:val="00AB01A9"/>
    <w:rsid w:val="00AB0D80"/>
    <w:rsid w:val="00AB16D9"/>
    <w:rsid w:val="00AB1C49"/>
    <w:rsid w:val="00AB1FC8"/>
    <w:rsid w:val="00AB284D"/>
    <w:rsid w:val="00AB2F02"/>
    <w:rsid w:val="00AB304E"/>
    <w:rsid w:val="00AB6C17"/>
    <w:rsid w:val="00AC0A9D"/>
    <w:rsid w:val="00AC0C9E"/>
    <w:rsid w:val="00AC20C0"/>
    <w:rsid w:val="00AC2876"/>
    <w:rsid w:val="00AC3349"/>
    <w:rsid w:val="00AC33C8"/>
    <w:rsid w:val="00AC449A"/>
    <w:rsid w:val="00AC4C13"/>
    <w:rsid w:val="00AC4C74"/>
    <w:rsid w:val="00AC4CD2"/>
    <w:rsid w:val="00AC5D5B"/>
    <w:rsid w:val="00AC7BE1"/>
    <w:rsid w:val="00AD059B"/>
    <w:rsid w:val="00AD102A"/>
    <w:rsid w:val="00AD1502"/>
    <w:rsid w:val="00AD1796"/>
    <w:rsid w:val="00AD1974"/>
    <w:rsid w:val="00AD2353"/>
    <w:rsid w:val="00AD239A"/>
    <w:rsid w:val="00AD26D4"/>
    <w:rsid w:val="00AD3102"/>
    <w:rsid w:val="00AD3EDC"/>
    <w:rsid w:val="00AD41C3"/>
    <w:rsid w:val="00AD4BF1"/>
    <w:rsid w:val="00AD505E"/>
    <w:rsid w:val="00AD5CCC"/>
    <w:rsid w:val="00AD6CC5"/>
    <w:rsid w:val="00AD713A"/>
    <w:rsid w:val="00AD7E0B"/>
    <w:rsid w:val="00AE0E58"/>
    <w:rsid w:val="00AE594A"/>
    <w:rsid w:val="00AF0189"/>
    <w:rsid w:val="00AF061D"/>
    <w:rsid w:val="00AF12CE"/>
    <w:rsid w:val="00AF3896"/>
    <w:rsid w:val="00AF3FE0"/>
    <w:rsid w:val="00AF45EB"/>
    <w:rsid w:val="00AF4794"/>
    <w:rsid w:val="00AF695E"/>
    <w:rsid w:val="00AF7191"/>
    <w:rsid w:val="00AF7C74"/>
    <w:rsid w:val="00B001EB"/>
    <w:rsid w:val="00B004D7"/>
    <w:rsid w:val="00B00586"/>
    <w:rsid w:val="00B00972"/>
    <w:rsid w:val="00B0098B"/>
    <w:rsid w:val="00B00CCD"/>
    <w:rsid w:val="00B0271B"/>
    <w:rsid w:val="00B041BF"/>
    <w:rsid w:val="00B053C6"/>
    <w:rsid w:val="00B06B70"/>
    <w:rsid w:val="00B07D43"/>
    <w:rsid w:val="00B108DA"/>
    <w:rsid w:val="00B16A33"/>
    <w:rsid w:val="00B17AC0"/>
    <w:rsid w:val="00B17B7B"/>
    <w:rsid w:val="00B17D41"/>
    <w:rsid w:val="00B21333"/>
    <w:rsid w:val="00B24AD9"/>
    <w:rsid w:val="00B25959"/>
    <w:rsid w:val="00B267CA"/>
    <w:rsid w:val="00B303AE"/>
    <w:rsid w:val="00B32A7C"/>
    <w:rsid w:val="00B34326"/>
    <w:rsid w:val="00B3572E"/>
    <w:rsid w:val="00B368AC"/>
    <w:rsid w:val="00B40734"/>
    <w:rsid w:val="00B40C90"/>
    <w:rsid w:val="00B41FAA"/>
    <w:rsid w:val="00B44EFF"/>
    <w:rsid w:val="00B46F12"/>
    <w:rsid w:val="00B5134D"/>
    <w:rsid w:val="00B516F5"/>
    <w:rsid w:val="00B5413B"/>
    <w:rsid w:val="00B54341"/>
    <w:rsid w:val="00B559F2"/>
    <w:rsid w:val="00B57130"/>
    <w:rsid w:val="00B57816"/>
    <w:rsid w:val="00B57D82"/>
    <w:rsid w:val="00B6087C"/>
    <w:rsid w:val="00B60E4E"/>
    <w:rsid w:val="00B61973"/>
    <w:rsid w:val="00B61ED6"/>
    <w:rsid w:val="00B62E41"/>
    <w:rsid w:val="00B6403E"/>
    <w:rsid w:val="00B65E5A"/>
    <w:rsid w:val="00B66C2A"/>
    <w:rsid w:val="00B6741C"/>
    <w:rsid w:val="00B70AD6"/>
    <w:rsid w:val="00B710C6"/>
    <w:rsid w:val="00B713F4"/>
    <w:rsid w:val="00B71940"/>
    <w:rsid w:val="00B72D36"/>
    <w:rsid w:val="00B73342"/>
    <w:rsid w:val="00B735E5"/>
    <w:rsid w:val="00B74078"/>
    <w:rsid w:val="00B743E8"/>
    <w:rsid w:val="00B75FEC"/>
    <w:rsid w:val="00B76239"/>
    <w:rsid w:val="00B76500"/>
    <w:rsid w:val="00B775F5"/>
    <w:rsid w:val="00B808E4"/>
    <w:rsid w:val="00B80F58"/>
    <w:rsid w:val="00B810C9"/>
    <w:rsid w:val="00B81A7D"/>
    <w:rsid w:val="00B823A3"/>
    <w:rsid w:val="00B83729"/>
    <w:rsid w:val="00B839FB"/>
    <w:rsid w:val="00B83DFF"/>
    <w:rsid w:val="00B84A9F"/>
    <w:rsid w:val="00B853B6"/>
    <w:rsid w:val="00B85C12"/>
    <w:rsid w:val="00B8620B"/>
    <w:rsid w:val="00B909F2"/>
    <w:rsid w:val="00B928DE"/>
    <w:rsid w:val="00B92912"/>
    <w:rsid w:val="00B92BEA"/>
    <w:rsid w:val="00B95605"/>
    <w:rsid w:val="00B968AA"/>
    <w:rsid w:val="00B96B6A"/>
    <w:rsid w:val="00BA0943"/>
    <w:rsid w:val="00BA0C81"/>
    <w:rsid w:val="00BA1F04"/>
    <w:rsid w:val="00BA21E1"/>
    <w:rsid w:val="00BA23ED"/>
    <w:rsid w:val="00BA423F"/>
    <w:rsid w:val="00BA64E8"/>
    <w:rsid w:val="00BA6512"/>
    <w:rsid w:val="00BA75BB"/>
    <w:rsid w:val="00BA7CD8"/>
    <w:rsid w:val="00BB0343"/>
    <w:rsid w:val="00BB09F8"/>
    <w:rsid w:val="00BB0DDB"/>
    <w:rsid w:val="00BB235B"/>
    <w:rsid w:val="00BB27EB"/>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6254"/>
    <w:rsid w:val="00BC7CB3"/>
    <w:rsid w:val="00BD0358"/>
    <w:rsid w:val="00BD05FC"/>
    <w:rsid w:val="00BD2B8D"/>
    <w:rsid w:val="00BD3834"/>
    <w:rsid w:val="00BD5923"/>
    <w:rsid w:val="00BD6750"/>
    <w:rsid w:val="00BD7018"/>
    <w:rsid w:val="00BD7A6B"/>
    <w:rsid w:val="00BD7D58"/>
    <w:rsid w:val="00BD7DD0"/>
    <w:rsid w:val="00BE0493"/>
    <w:rsid w:val="00BE3D19"/>
    <w:rsid w:val="00BF17EF"/>
    <w:rsid w:val="00BF28F5"/>
    <w:rsid w:val="00BF3A37"/>
    <w:rsid w:val="00BF4442"/>
    <w:rsid w:val="00BF487A"/>
    <w:rsid w:val="00BF5642"/>
    <w:rsid w:val="00BF640F"/>
    <w:rsid w:val="00BF7129"/>
    <w:rsid w:val="00BF7C27"/>
    <w:rsid w:val="00C022C3"/>
    <w:rsid w:val="00C0336F"/>
    <w:rsid w:val="00C033E7"/>
    <w:rsid w:val="00C04166"/>
    <w:rsid w:val="00C043F2"/>
    <w:rsid w:val="00C07DF4"/>
    <w:rsid w:val="00C10836"/>
    <w:rsid w:val="00C10BF9"/>
    <w:rsid w:val="00C11FD0"/>
    <w:rsid w:val="00C122BA"/>
    <w:rsid w:val="00C12986"/>
    <w:rsid w:val="00C12D78"/>
    <w:rsid w:val="00C13A80"/>
    <w:rsid w:val="00C14885"/>
    <w:rsid w:val="00C15234"/>
    <w:rsid w:val="00C1558D"/>
    <w:rsid w:val="00C15A52"/>
    <w:rsid w:val="00C15E83"/>
    <w:rsid w:val="00C1632D"/>
    <w:rsid w:val="00C170C0"/>
    <w:rsid w:val="00C17DE9"/>
    <w:rsid w:val="00C204A6"/>
    <w:rsid w:val="00C2197D"/>
    <w:rsid w:val="00C22DAC"/>
    <w:rsid w:val="00C2352A"/>
    <w:rsid w:val="00C23BD1"/>
    <w:rsid w:val="00C2685C"/>
    <w:rsid w:val="00C271A7"/>
    <w:rsid w:val="00C27FC3"/>
    <w:rsid w:val="00C300E4"/>
    <w:rsid w:val="00C303A9"/>
    <w:rsid w:val="00C303F0"/>
    <w:rsid w:val="00C306A7"/>
    <w:rsid w:val="00C30CD3"/>
    <w:rsid w:val="00C310C0"/>
    <w:rsid w:val="00C31569"/>
    <w:rsid w:val="00C31905"/>
    <w:rsid w:val="00C31AF7"/>
    <w:rsid w:val="00C31BE0"/>
    <w:rsid w:val="00C3253A"/>
    <w:rsid w:val="00C33CFA"/>
    <w:rsid w:val="00C344E9"/>
    <w:rsid w:val="00C35F90"/>
    <w:rsid w:val="00C36BFD"/>
    <w:rsid w:val="00C37975"/>
    <w:rsid w:val="00C37C60"/>
    <w:rsid w:val="00C42588"/>
    <w:rsid w:val="00C443EA"/>
    <w:rsid w:val="00C449C8"/>
    <w:rsid w:val="00C451D8"/>
    <w:rsid w:val="00C4636A"/>
    <w:rsid w:val="00C4663F"/>
    <w:rsid w:val="00C51EEC"/>
    <w:rsid w:val="00C52C0C"/>
    <w:rsid w:val="00C5303D"/>
    <w:rsid w:val="00C53328"/>
    <w:rsid w:val="00C538FA"/>
    <w:rsid w:val="00C53BC4"/>
    <w:rsid w:val="00C55A51"/>
    <w:rsid w:val="00C55A71"/>
    <w:rsid w:val="00C608B8"/>
    <w:rsid w:val="00C610FD"/>
    <w:rsid w:val="00C632AD"/>
    <w:rsid w:val="00C6348B"/>
    <w:rsid w:val="00C63620"/>
    <w:rsid w:val="00C64373"/>
    <w:rsid w:val="00C66BC5"/>
    <w:rsid w:val="00C67434"/>
    <w:rsid w:val="00C70077"/>
    <w:rsid w:val="00C704AA"/>
    <w:rsid w:val="00C71652"/>
    <w:rsid w:val="00C7184D"/>
    <w:rsid w:val="00C720D3"/>
    <w:rsid w:val="00C72DC0"/>
    <w:rsid w:val="00C769F3"/>
    <w:rsid w:val="00C76AC4"/>
    <w:rsid w:val="00C779B2"/>
    <w:rsid w:val="00C77F54"/>
    <w:rsid w:val="00C80798"/>
    <w:rsid w:val="00C818BD"/>
    <w:rsid w:val="00C81B55"/>
    <w:rsid w:val="00C822E1"/>
    <w:rsid w:val="00C82687"/>
    <w:rsid w:val="00C82A5B"/>
    <w:rsid w:val="00C84DE1"/>
    <w:rsid w:val="00C8517B"/>
    <w:rsid w:val="00C85CAB"/>
    <w:rsid w:val="00C85F05"/>
    <w:rsid w:val="00C865A9"/>
    <w:rsid w:val="00C872A0"/>
    <w:rsid w:val="00C90EE5"/>
    <w:rsid w:val="00C93677"/>
    <w:rsid w:val="00C94FA3"/>
    <w:rsid w:val="00C9589E"/>
    <w:rsid w:val="00C95F1F"/>
    <w:rsid w:val="00C95FC8"/>
    <w:rsid w:val="00C97809"/>
    <w:rsid w:val="00C97DDC"/>
    <w:rsid w:val="00CA1905"/>
    <w:rsid w:val="00CA2E36"/>
    <w:rsid w:val="00CA396C"/>
    <w:rsid w:val="00CA398A"/>
    <w:rsid w:val="00CA3D17"/>
    <w:rsid w:val="00CA5380"/>
    <w:rsid w:val="00CB03B1"/>
    <w:rsid w:val="00CB04A3"/>
    <w:rsid w:val="00CB0B25"/>
    <w:rsid w:val="00CB1B3B"/>
    <w:rsid w:val="00CB2165"/>
    <w:rsid w:val="00CB28CD"/>
    <w:rsid w:val="00CB3311"/>
    <w:rsid w:val="00CB5257"/>
    <w:rsid w:val="00CB52E3"/>
    <w:rsid w:val="00CB540B"/>
    <w:rsid w:val="00CC014E"/>
    <w:rsid w:val="00CC1054"/>
    <w:rsid w:val="00CC22A8"/>
    <w:rsid w:val="00CC4104"/>
    <w:rsid w:val="00CC665E"/>
    <w:rsid w:val="00CC6E87"/>
    <w:rsid w:val="00CC79E0"/>
    <w:rsid w:val="00CD059B"/>
    <w:rsid w:val="00CD1748"/>
    <w:rsid w:val="00CD251B"/>
    <w:rsid w:val="00CD25B8"/>
    <w:rsid w:val="00CD5E06"/>
    <w:rsid w:val="00CD670F"/>
    <w:rsid w:val="00CE0290"/>
    <w:rsid w:val="00CE0BF0"/>
    <w:rsid w:val="00CE0EF4"/>
    <w:rsid w:val="00CE0FA9"/>
    <w:rsid w:val="00CE1258"/>
    <w:rsid w:val="00CE2BEB"/>
    <w:rsid w:val="00CE3842"/>
    <w:rsid w:val="00CE4800"/>
    <w:rsid w:val="00CE51EE"/>
    <w:rsid w:val="00CE564A"/>
    <w:rsid w:val="00CE57AA"/>
    <w:rsid w:val="00CE7F54"/>
    <w:rsid w:val="00CF0BB6"/>
    <w:rsid w:val="00CF2BA3"/>
    <w:rsid w:val="00CF3423"/>
    <w:rsid w:val="00CF4C38"/>
    <w:rsid w:val="00CF6949"/>
    <w:rsid w:val="00D00330"/>
    <w:rsid w:val="00D0089D"/>
    <w:rsid w:val="00D00FD6"/>
    <w:rsid w:val="00D012B0"/>
    <w:rsid w:val="00D027E6"/>
    <w:rsid w:val="00D02E83"/>
    <w:rsid w:val="00D03079"/>
    <w:rsid w:val="00D03616"/>
    <w:rsid w:val="00D03F7E"/>
    <w:rsid w:val="00D05841"/>
    <w:rsid w:val="00D05C27"/>
    <w:rsid w:val="00D05D30"/>
    <w:rsid w:val="00D05F8E"/>
    <w:rsid w:val="00D07BB7"/>
    <w:rsid w:val="00D10BDF"/>
    <w:rsid w:val="00D110CF"/>
    <w:rsid w:val="00D1186B"/>
    <w:rsid w:val="00D11C10"/>
    <w:rsid w:val="00D12DCB"/>
    <w:rsid w:val="00D132FA"/>
    <w:rsid w:val="00D144D9"/>
    <w:rsid w:val="00D1582D"/>
    <w:rsid w:val="00D15D33"/>
    <w:rsid w:val="00D16FE8"/>
    <w:rsid w:val="00D1749C"/>
    <w:rsid w:val="00D202A1"/>
    <w:rsid w:val="00D20CE3"/>
    <w:rsid w:val="00D214C1"/>
    <w:rsid w:val="00D228CE"/>
    <w:rsid w:val="00D23477"/>
    <w:rsid w:val="00D23754"/>
    <w:rsid w:val="00D24728"/>
    <w:rsid w:val="00D25027"/>
    <w:rsid w:val="00D254BA"/>
    <w:rsid w:val="00D256CC"/>
    <w:rsid w:val="00D2585B"/>
    <w:rsid w:val="00D27B76"/>
    <w:rsid w:val="00D305E7"/>
    <w:rsid w:val="00D31519"/>
    <w:rsid w:val="00D31E7C"/>
    <w:rsid w:val="00D32C28"/>
    <w:rsid w:val="00D3428F"/>
    <w:rsid w:val="00D3493F"/>
    <w:rsid w:val="00D34D18"/>
    <w:rsid w:val="00D35071"/>
    <w:rsid w:val="00D37B8F"/>
    <w:rsid w:val="00D37D8A"/>
    <w:rsid w:val="00D40574"/>
    <w:rsid w:val="00D40715"/>
    <w:rsid w:val="00D41A52"/>
    <w:rsid w:val="00D41B13"/>
    <w:rsid w:val="00D44789"/>
    <w:rsid w:val="00D46800"/>
    <w:rsid w:val="00D46C7E"/>
    <w:rsid w:val="00D46D6E"/>
    <w:rsid w:val="00D4786B"/>
    <w:rsid w:val="00D50B41"/>
    <w:rsid w:val="00D50E0E"/>
    <w:rsid w:val="00D51662"/>
    <w:rsid w:val="00D519B7"/>
    <w:rsid w:val="00D51D7E"/>
    <w:rsid w:val="00D546B6"/>
    <w:rsid w:val="00D54C49"/>
    <w:rsid w:val="00D55598"/>
    <w:rsid w:val="00D557BF"/>
    <w:rsid w:val="00D56517"/>
    <w:rsid w:val="00D571B4"/>
    <w:rsid w:val="00D60C9C"/>
    <w:rsid w:val="00D62722"/>
    <w:rsid w:val="00D6289E"/>
    <w:rsid w:val="00D6337A"/>
    <w:rsid w:val="00D63C8B"/>
    <w:rsid w:val="00D63CFD"/>
    <w:rsid w:val="00D641D6"/>
    <w:rsid w:val="00D65888"/>
    <w:rsid w:val="00D66301"/>
    <w:rsid w:val="00D701DD"/>
    <w:rsid w:val="00D70B1F"/>
    <w:rsid w:val="00D717AD"/>
    <w:rsid w:val="00D72659"/>
    <w:rsid w:val="00D72C6E"/>
    <w:rsid w:val="00D72DDD"/>
    <w:rsid w:val="00D7419B"/>
    <w:rsid w:val="00D742B5"/>
    <w:rsid w:val="00D7654E"/>
    <w:rsid w:val="00D80209"/>
    <w:rsid w:val="00D8047B"/>
    <w:rsid w:val="00D81445"/>
    <w:rsid w:val="00D82509"/>
    <w:rsid w:val="00D825EA"/>
    <w:rsid w:val="00D82A17"/>
    <w:rsid w:val="00D83995"/>
    <w:rsid w:val="00D83CC0"/>
    <w:rsid w:val="00D83D8F"/>
    <w:rsid w:val="00D84607"/>
    <w:rsid w:val="00D84901"/>
    <w:rsid w:val="00D86250"/>
    <w:rsid w:val="00D8651C"/>
    <w:rsid w:val="00D86879"/>
    <w:rsid w:val="00D87EFC"/>
    <w:rsid w:val="00D91654"/>
    <w:rsid w:val="00D93CB3"/>
    <w:rsid w:val="00D95665"/>
    <w:rsid w:val="00D96D6A"/>
    <w:rsid w:val="00D96F97"/>
    <w:rsid w:val="00D97421"/>
    <w:rsid w:val="00D97481"/>
    <w:rsid w:val="00D97C66"/>
    <w:rsid w:val="00DA10A4"/>
    <w:rsid w:val="00DA1B90"/>
    <w:rsid w:val="00DA42B5"/>
    <w:rsid w:val="00DA5B20"/>
    <w:rsid w:val="00DA70B4"/>
    <w:rsid w:val="00DA78F5"/>
    <w:rsid w:val="00DB0CC6"/>
    <w:rsid w:val="00DB278E"/>
    <w:rsid w:val="00DB32BF"/>
    <w:rsid w:val="00DB3ABE"/>
    <w:rsid w:val="00DB3EE8"/>
    <w:rsid w:val="00DB5238"/>
    <w:rsid w:val="00DB5A3C"/>
    <w:rsid w:val="00DB5B03"/>
    <w:rsid w:val="00DB6078"/>
    <w:rsid w:val="00DB63A4"/>
    <w:rsid w:val="00DB76D9"/>
    <w:rsid w:val="00DB7A60"/>
    <w:rsid w:val="00DC0D6A"/>
    <w:rsid w:val="00DC0E99"/>
    <w:rsid w:val="00DC162F"/>
    <w:rsid w:val="00DC2E09"/>
    <w:rsid w:val="00DC330A"/>
    <w:rsid w:val="00DC4A62"/>
    <w:rsid w:val="00DC5A6B"/>
    <w:rsid w:val="00DC6559"/>
    <w:rsid w:val="00DC6563"/>
    <w:rsid w:val="00DC6A5E"/>
    <w:rsid w:val="00DC6E17"/>
    <w:rsid w:val="00DC7221"/>
    <w:rsid w:val="00DD0A8C"/>
    <w:rsid w:val="00DD0F62"/>
    <w:rsid w:val="00DD20B7"/>
    <w:rsid w:val="00DD233A"/>
    <w:rsid w:val="00DD254F"/>
    <w:rsid w:val="00DD2820"/>
    <w:rsid w:val="00DD2851"/>
    <w:rsid w:val="00DD431B"/>
    <w:rsid w:val="00DD54CA"/>
    <w:rsid w:val="00DD57EB"/>
    <w:rsid w:val="00DD5DE3"/>
    <w:rsid w:val="00DD5F50"/>
    <w:rsid w:val="00DD7206"/>
    <w:rsid w:val="00DD7D54"/>
    <w:rsid w:val="00DE04F8"/>
    <w:rsid w:val="00DE069B"/>
    <w:rsid w:val="00DE096C"/>
    <w:rsid w:val="00DE1FFC"/>
    <w:rsid w:val="00DE2D03"/>
    <w:rsid w:val="00DE368D"/>
    <w:rsid w:val="00DE38DF"/>
    <w:rsid w:val="00DE3B47"/>
    <w:rsid w:val="00DE3D20"/>
    <w:rsid w:val="00DE4028"/>
    <w:rsid w:val="00DE43D9"/>
    <w:rsid w:val="00DE6CFB"/>
    <w:rsid w:val="00DE7017"/>
    <w:rsid w:val="00DE76B9"/>
    <w:rsid w:val="00DE788A"/>
    <w:rsid w:val="00DF0540"/>
    <w:rsid w:val="00DF1356"/>
    <w:rsid w:val="00DF2B25"/>
    <w:rsid w:val="00DF444A"/>
    <w:rsid w:val="00DF505B"/>
    <w:rsid w:val="00DF631B"/>
    <w:rsid w:val="00DF78FB"/>
    <w:rsid w:val="00E005BB"/>
    <w:rsid w:val="00E006CC"/>
    <w:rsid w:val="00E00849"/>
    <w:rsid w:val="00E019D5"/>
    <w:rsid w:val="00E02095"/>
    <w:rsid w:val="00E04B1D"/>
    <w:rsid w:val="00E05350"/>
    <w:rsid w:val="00E05851"/>
    <w:rsid w:val="00E05AD0"/>
    <w:rsid w:val="00E11F9C"/>
    <w:rsid w:val="00E125C6"/>
    <w:rsid w:val="00E162B6"/>
    <w:rsid w:val="00E1739F"/>
    <w:rsid w:val="00E1762B"/>
    <w:rsid w:val="00E179DC"/>
    <w:rsid w:val="00E20610"/>
    <w:rsid w:val="00E2163F"/>
    <w:rsid w:val="00E24AAC"/>
    <w:rsid w:val="00E258BC"/>
    <w:rsid w:val="00E25EE0"/>
    <w:rsid w:val="00E25FA3"/>
    <w:rsid w:val="00E2702D"/>
    <w:rsid w:val="00E27C7C"/>
    <w:rsid w:val="00E30C19"/>
    <w:rsid w:val="00E3116D"/>
    <w:rsid w:val="00E351AC"/>
    <w:rsid w:val="00E35E8A"/>
    <w:rsid w:val="00E368C9"/>
    <w:rsid w:val="00E37663"/>
    <w:rsid w:val="00E3787C"/>
    <w:rsid w:val="00E37E61"/>
    <w:rsid w:val="00E40066"/>
    <w:rsid w:val="00E43E68"/>
    <w:rsid w:val="00E44556"/>
    <w:rsid w:val="00E44D46"/>
    <w:rsid w:val="00E454E2"/>
    <w:rsid w:val="00E458FF"/>
    <w:rsid w:val="00E46472"/>
    <w:rsid w:val="00E46890"/>
    <w:rsid w:val="00E46E66"/>
    <w:rsid w:val="00E4787F"/>
    <w:rsid w:val="00E50592"/>
    <w:rsid w:val="00E50A96"/>
    <w:rsid w:val="00E50ECC"/>
    <w:rsid w:val="00E523AE"/>
    <w:rsid w:val="00E52E82"/>
    <w:rsid w:val="00E52F76"/>
    <w:rsid w:val="00E537FF"/>
    <w:rsid w:val="00E556FA"/>
    <w:rsid w:val="00E557C1"/>
    <w:rsid w:val="00E565FB"/>
    <w:rsid w:val="00E56885"/>
    <w:rsid w:val="00E56AC9"/>
    <w:rsid w:val="00E577BF"/>
    <w:rsid w:val="00E60DC6"/>
    <w:rsid w:val="00E61319"/>
    <w:rsid w:val="00E64CCD"/>
    <w:rsid w:val="00E65AA4"/>
    <w:rsid w:val="00E65DDE"/>
    <w:rsid w:val="00E65E87"/>
    <w:rsid w:val="00E669C4"/>
    <w:rsid w:val="00E66EAD"/>
    <w:rsid w:val="00E6740C"/>
    <w:rsid w:val="00E7030A"/>
    <w:rsid w:val="00E70DF0"/>
    <w:rsid w:val="00E70E21"/>
    <w:rsid w:val="00E70FCB"/>
    <w:rsid w:val="00E71027"/>
    <w:rsid w:val="00E71691"/>
    <w:rsid w:val="00E71D99"/>
    <w:rsid w:val="00E71FB7"/>
    <w:rsid w:val="00E72466"/>
    <w:rsid w:val="00E725B6"/>
    <w:rsid w:val="00E72ED0"/>
    <w:rsid w:val="00E759AB"/>
    <w:rsid w:val="00E75ACD"/>
    <w:rsid w:val="00E76ADF"/>
    <w:rsid w:val="00E81AA1"/>
    <w:rsid w:val="00E821BF"/>
    <w:rsid w:val="00E835E9"/>
    <w:rsid w:val="00E840AA"/>
    <w:rsid w:val="00E85252"/>
    <w:rsid w:val="00E85665"/>
    <w:rsid w:val="00E858C0"/>
    <w:rsid w:val="00E8692D"/>
    <w:rsid w:val="00E87299"/>
    <w:rsid w:val="00E909DF"/>
    <w:rsid w:val="00E90EE0"/>
    <w:rsid w:val="00E9237B"/>
    <w:rsid w:val="00E92647"/>
    <w:rsid w:val="00E935EA"/>
    <w:rsid w:val="00E940B0"/>
    <w:rsid w:val="00E950BC"/>
    <w:rsid w:val="00E95510"/>
    <w:rsid w:val="00E95FC7"/>
    <w:rsid w:val="00EA03B6"/>
    <w:rsid w:val="00EA120A"/>
    <w:rsid w:val="00EA13E3"/>
    <w:rsid w:val="00EA1480"/>
    <w:rsid w:val="00EA2ABA"/>
    <w:rsid w:val="00EA2E7A"/>
    <w:rsid w:val="00EA3BAC"/>
    <w:rsid w:val="00EA4B05"/>
    <w:rsid w:val="00EA5046"/>
    <w:rsid w:val="00EA546C"/>
    <w:rsid w:val="00EA5653"/>
    <w:rsid w:val="00EA5B26"/>
    <w:rsid w:val="00EA5B42"/>
    <w:rsid w:val="00EA70FF"/>
    <w:rsid w:val="00EA7911"/>
    <w:rsid w:val="00EA7C36"/>
    <w:rsid w:val="00EB1EB7"/>
    <w:rsid w:val="00EB264B"/>
    <w:rsid w:val="00EB30C9"/>
    <w:rsid w:val="00EB31F4"/>
    <w:rsid w:val="00EB37BB"/>
    <w:rsid w:val="00EB4370"/>
    <w:rsid w:val="00EB5A71"/>
    <w:rsid w:val="00EB5EB2"/>
    <w:rsid w:val="00EB6D36"/>
    <w:rsid w:val="00EC26B0"/>
    <w:rsid w:val="00EC3897"/>
    <w:rsid w:val="00EC3E42"/>
    <w:rsid w:val="00EC3E4C"/>
    <w:rsid w:val="00EC4745"/>
    <w:rsid w:val="00EC4FED"/>
    <w:rsid w:val="00EC5A36"/>
    <w:rsid w:val="00EC6B24"/>
    <w:rsid w:val="00EC7073"/>
    <w:rsid w:val="00EC7600"/>
    <w:rsid w:val="00ED3388"/>
    <w:rsid w:val="00ED440C"/>
    <w:rsid w:val="00EE15CE"/>
    <w:rsid w:val="00EE1C69"/>
    <w:rsid w:val="00EE2BC4"/>
    <w:rsid w:val="00EE3379"/>
    <w:rsid w:val="00EE52D6"/>
    <w:rsid w:val="00EE6C9E"/>
    <w:rsid w:val="00EE77F7"/>
    <w:rsid w:val="00EE7DB4"/>
    <w:rsid w:val="00EF0435"/>
    <w:rsid w:val="00EF11AE"/>
    <w:rsid w:val="00EF1969"/>
    <w:rsid w:val="00EF2589"/>
    <w:rsid w:val="00EF25EC"/>
    <w:rsid w:val="00EF34B9"/>
    <w:rsid w:val="00EF383F"/>
    <w:rsid w:val="00EF4D92"/>
    <w:rsid w:val="00EF5378"/>
    <w:rsid w:val="00EF573C"/>
    <w:rsid w:val="00EF6541"/>
    <w:rsid w:val="00EF6550"/>
    <w:rsid w:val="00EF7F46"/>
    <w:rsid w:val="00F02B7B"/>
    <w:rsid w:val="00F04175"/>
    <w:rsid w:val="00F0678A"/>
    <w:rsid w:val="00F074BF"/>
    <w:rsid w:val="00F077A8"/>
    <w:rsid w:val="00F07B5E"/>
    <w:rsid w:val="00F102CD"/>
    <w:rsid w:val="00F1048B"/>
    <w:rsid w:val="00F10951"/>
    <w:rsid w:val="00F10B61"/>
    <w:rsid w:val="00F132A8"/>
    <w:rsid w:val="00F1394D"/>
    <w:rsid w:val="00F142FD"/>
    <w:rsid w:val="00F15947"/>
    <w:rsid w:val="00F177C2"/>
    <w:rsid w:val="00F201B9"/>
    <w:rsid w:val="00F218B7"/>
    <w:rsid w:val="00F21A48"/>
    <w:rsid w:val="00F24E6F"/>
    <w:rsid w:val="00F250C0"/>
    <w:rsid w:val="00F25BBC"/>
    <w:rsid w:val="00F26294"/>
    <w:rsid w:val="00F31BDD"/>
    <w:rsid w:val="00F321ED"/>
    <w:rsid w:val="00F33550"/>
    <w:rsid w:val="00F338E7"/>
    <w:rsid w:val="00F33973"/>
    <w:rsid w:val="00F35C20"/>
    <w:rsid w:val="00F35F68"/>
    <w:rsid w:val="00F3765A"/>
    <w:rsid w:val="00F40413"/>
    <w:rsid w:val="00F40E31"/>
    <w:rsid w:val="00F42E3D"/>
    <w:rsid w:val="00F43B23"/>
    <w:rsid w:val="00F5030C"/>
    <w:rsid w:val="00F5235F"/>
    <w:rsid w:val="00F52C95"/>
    <w:rsid w:val="00F5367B"/>
    <w:rsid w:val="00F5387B"/>
    <w:rsid w:val="00F5467E"/>
    <w:rsid w:val="00F54BA5"/>
    <w:rsid w:val="00F54BE0"/>
    <w:rsid w:val="00F54FF0"/>
    <w:rsid w:val="00F57CFE"/>
    <w:rsid w:val="00F60A49"/>
    <w:rsid w:val="00F60F45"/>
    <w:rsid w:val="00F63864"/>
    <w:rsid w:val="00F6407E"/>
    <w:rsid w:val="00F6562B"/>
    <w:rsid w:val="00F66D2D"/>
    <w:rsid w:val="00F71596"/>
    <w:rsid w:val="00F7399D"/>
    <w:rsid w:val="00F73E5E"/>
    <w:rsid w:val="00F74C40"/>
    <w:rsid w:val="00F75964"/>
    <w:rsid w:val="00F76033"/>
    <w:rsid w:val="00F7618B"/>
    <w:rsid w:val="00F7699A"/>
    <w:rsid w:val="00F80137"/>
    <w:rsid w:val="00F8252F"/>
    <w:rsid w:val="00F8391F"/>
    <w:rsid w:val="00F83B13"/>
    <w:rsid w:val="00F84339"/>
    <w:rsid w:val="00F846A9"/>
    <w:rsid w:val="00F8554C"/>
    <w:rsid w:val="00F856E9"/>
    <w:rsid w:val="00F85F2D"/>
    <w:rsid w:val="00F862D0"/>
    <w:rsid w:val="00F86355"/>
    <w:rsid w:val="00F869A4"/>
    <w:rsid w:val="00F86D4B"/>
    <w:rsid w:val="00F90909"/>
    <w:rsid w:val="00F93B5C"/>
    <w:rsid w:val="00F94116"/>
    <w:rsid w:val="00F95126"/>
    <w:rsid w:val="00F95B7B"/>
    <w:rsid w:val="00F95D6A"/>
    <w:rsid w:val="00F962F3"/>
    <w:rsid w:val="00F96371"/>
    <w:rsid w:val="00F96718"/>
    <w:rsid w:val="00FA04AD"/>
    <w:rsid w:val="00FA19CC"/>
    <w:rsid w:val="00FA1DC6"/>
    <w:rsid w:val="00FA2035"/>
    <w:rsid w:val="00FA296B"/>
    <w:rsid w:val="00FA2C37"/>
    <w:rsid w:val="00FA41CF"/>
    <w:rsid w:val="00FA467D"/>
    <w:rsid w:val="00FA5B3F"/>
    <w:rsid w:val="00FA69A5"/>
    <w:rsid w:val="00FA6B86"/>
    <w:rsid w:val="00FA759D"/>
    <w:rsid w:val="00FA7D2B"/>
    <w:rsid w:val="00FB2C32"/>
    <w:rsid w:val="00FB37FF"/>
    <w:rsid w:val="00FB5436"/>
    <w:rsid w:val="00FB57A6"/>
    <w:rsid w:val="00FB5905"/>
    <w:rsid w:val="00FB6567"/>
    <w:rsid w:val="00FC0D89"/>
    <w:rsid w:val="00FC0FA3"/>
    <w:rsid w:val="00FC1E77"/>
    <w:rsid w:val="00FC41C1"/>
    <w:rsid w:val="00FC4261"/>
    <w:rsid w:val="00FC4360"/>
    <w:rsid w:val="00FC6328"/>
    <w:rsid w:val="00FC6FB3"/>
    <w:rsid w:val="00FD0B7B"/>
    <w:rsid w:val="00FD1787"/>
    <w:rsid w:val="00FD20F9"/>
    <w:rsid w:val="00FD2772"/>
    <w:rsid w:val="00FD31FF"/>
    <w:rsid w:val="00FE00B5"/>
    <w:rsid w:val="00FE027F"/>
    <w:rsid w:val="00FE2EE5"/>
    <w:rsid w:val="00FE32C0"/>
    <w:rsid w:val="00FE4E3F"/>
    <w:rsid w:val="00FE5BFD"/>
    <w:rsid w:val="00FE6EE8"/>
    <w:rsid w:val="00FE6F63"/>
    <w:rsid w:val="00FE71B9"/>
    <w:rsid w:val="00FE76F1"/>
    <w:rsid w:val="00FF01BC"/>
    <w:rsid w:val="00FF15AD"/>
    <w:rsid w:val="00FF1BB7"/>
    <w:rsid w:val="00FF2778"/>
    <w:rsid w:val="00FF2BC5"/>
    <w:rsid w:val="00FF3188"/>
    <w:rsid w:val="00FF39B4"/>
    <w:rsid w:val="00FF4AE2"/>
    <w:rsid w:val="00FF50FC"/>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15:docId w15:val="{A92907F9-3C28-471A-9C73-7A757ADC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1C1E47"/>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476C08"/>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61362E"/>
    <w:pPr>
      <w:keepNext/>
      <w:keepLines/>
      <w:numPr>
        <w:numId w:val="9"/>
      </w:numPr>
      <w:spacing w:before="120"/>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E44D46"/>
    <w:pPr>
      <w:keepNext/>
      <w:keepLines/>
      <w:spacing w:before="40"/>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1E47"/>
    <w:rPr>
      <w:b/>
      <w:bCs/>
      <w:sz w:val="28"/>
      <w:szCs w:val="28"/>
    </w:rPr>
  </w:style>
  <w:style w:type="character" w:customStyle="1" w:styleId="Heading2Char">
    <w:name w:val="Heading 2 Char"/>
    <w:basedOn w:val="DefaultParagraphFont"/>
    <w:link w:val="Heading2"/>
    <w:uiPriority w:val="99"/>
    <w:locked/>
    <w:rsid w:val="00476C08"/>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61362E"/>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F43B23"/>
    <w:pPr>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F43B23"/>
    <w:pPr>
      <w:ind w:left="24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E44D46"/>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F43B2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character" w:customStyle="1" w:styleId="cf01">
    <w:name w:val="cf01"/>
    <w:basedOn w:val="DefaultParagraphFont"/>
    <w:rsid w:val="00996CB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508445904">
      <w:bodyDiv w:val="1"/>
      <w:marLeft w:val="0"/>
      <w:marRight w:val="0"/>
      <w:marTop w:val="0"/>
      <w:marBottom w:val="0"/>
      <w:divBdr>
        <w:top w:val="none" w:sz="0" w:space="0" w:color="auto"/>
        <w:left w:val="none" w:sz="0" w:space="0" w:color="auto"/>
        <w:bottom w:val="none" w:sz="0" w:space="0" w:color="auto"/>
        <w:right w:val="none" w:sz="0" w:space="0" w:color="auto"/>
      </w:divBdr>
    </w:div>
    <w:div w:id="535771931">
      <w:bodyDiv w:val="1"/>
      <w:marLeft w:val="0"/>
      <w:marRight w:val="0"/>
      <w:marTop w:val="0"/>
      <w:marBottom w:val="0"/>
      <w:divBdr>
        <w:top w:val="none" w:sz="0" w:space="0" w:color="auto"/>
        <w:left w:val="none" w:sz="0" w:space="0" w:color="auto"/>
        <w:bottom w:val="none" w:sz="0" w:space="0" w:color="auto"/>
        <w:right w:val="none" w:sz="0" w:space="0" w:color="auto"/>
      </w:divBdr>
    </w:div>
    <w:div w:id="555893112">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88795504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354843220">
      <w:bodyDiv w:val="1"/>
      <w:marLeft w:val="0"/>
      <w:marRight w:val="0"/>
      <w:marTop w:val="0"/>
      <w:marBottom w:val="0"/>
      <w:divBdr>
        <w:top w:val="none" w:sz="0" w:space="0" w:color="auto"/>
        <w:left w:val="none" w:sz="0" w:space="0" w:color="auto"/>
        <w:bottom w:val="none" w:sz="0" w:space="0" w:color="auto"/>
        <w:right w:val="none" w:sz="0" w:space="0" w:color="auto"/>
      </w:divBdr>
    </w:div>
    <w:div w:id="1506870034">
      <w:bodyDiv w:val="1"/>
      <w:marLeft w:val="0"/>
      <w:marRight w:val="0"/>
      <w:marTop w:val="0"/>
      <w:marBottom w:val="0"/>
      <w:divBdr>
        <w:top w:val="none" w:sz="0" w:space="0" w:color="auto"/>
        <w:left w:val="none" w:sz="0" w:space="0" w:color="auto"/>
        <w:bottom w:val="none" w:sz="0" w:space="0" w:color="auto"/>
        <w:right w:val="none" w:sz="0" w:space="0" w:color="auto"/>
      </w:divBdr>
    </w:div>
    <w:div w:id="170702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data.bls.gov/PDQW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dgibbs</dc:creator>
  <cp:lastModifiedBy>Eccles, Tanesha - OSHA</cp:lastModifiedBy>
  <cp:revision>2</cp:revision>
  <cp:lastPrinted>2017-07-11T15:59:00Z</cp:lastPrinted>
  <dcterms:created xsi:type="dcterms:W3CDTF">2025-05-28T18:16:00Z</dcterms:created>
  <dcterms:modified xsi:type="dcterms:W3CDTF">2025-05-28T18:16:00Z</dcterms:modified>
</cp:coreProperties>
</file>