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3F211ED7" w:rsidR="000A134A" w:rsidRPr="001C1E47" w:rsidRDefault="002511E9" w:rsidP="002D7FDC">
      <w:pPr>
        <w:pStyle w:val="Heading1"/>
      </w:pPr>
      <w:bookmarkStart w:id="0" w:name="_Toc118900169"/>
      <w:bookmarkStart w:id="1" w:name="_Toc118905008"/>
      <w:r w:rsidRPr="001C1E47">
        <w:rPr>
          <w:iCs/>
        </w:rPr>
        <w:t>FY 20</w:t>
      </w:r>
      <w:r w:rsidR="00185C7D" w:rsidRPr="001C1E47">
        <w:rPr>
          <w:iCs/>
        </w:rPr>
        <w:t>2</w:t>
      </w:r>
      <w:r w:rsidR="009A1089">
        <w:rPr>
          <w:iCs/>
        </w:rPr>
        <w:t>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32CDCC15" w14:textId="77777777" w:rsidR="00EB5EA3" w:rsidRDefault="00EB5EA3" w:rsidP="001C1E47">
      <w:pPr>
        <w:widowControl/>
        <w:autoSpaceDE/>
        <w:autoSpaceDN/>
        <w:adjustRightInd/>
        <w:rPr>
          <w:rFonts w:cs="Calibri"/>
          <w:b/>
          <w:color w:val="000000" w:themeColor="text1"/>
          <w:sz w:val="28"/>
          <w:szCs w:val="28"/>
        </w:rPr>
      </w:pPr>
      <w:r>
        <w:rPr>
          <w:rFonts w:cs="Calibri"/>
          <w:b/>
          <w:color w:val="000000" w:themeColor="text1"/>
          <w:sz w:val="28"/>
          <w:szCs w:val="28"/>
        </w:rPr>
        <w:t>State of Arizona</w:t>
      </w:r>
    </w:p>
    <w:p w14:paraId="51905CA0" w14:textId="65B02D7C" w:rsidR="000A134A" w:rsidRPr="00627198" w:rsidRDefault="0092202E" w:rsidP="001C1E47">
      <w:pPr>
        <w:widowControl/>
        <w:autoSpaceDE/>
        <w:autoSpaceDN/>
        <w:adjustRightInd/>
        <w:rPr>
          <w:rFonts w:cs="Calibri"/>
          <w:b/>
          <w:color w:val="000000" w:themeColor="text1"/>
          <w:sz w:val="28"/>
          <w:szCs w:val="28"/>
        </w:rPr>
      </w:pPr>
      <w:r w:rsidRPr="00627198">
        <w:rPr>
          <w:rFonts w:cs="Calibri"/>
          <w:b/>
          <w:color w:val="000000" w:themeColor="text1"/>
          <w:sz w:val="28"/>
          <w:szCs w:val="28"/>
        </w:rPr>
        <w:t>Industrial Commission of Arizona (ICA)</w:t>
      </w:r>
    </w:p>
    <w:p w14:paraId="28CAC44C" w14:textId="59B8C272" w:rsidR="00824C52" w:rsidRPr="00627198" w:rsidRDefault="00824C52" w:rsidP="001C1E47">
      <w:pPr>
        <w:widowControl/>
        <w:autoSpaceDE/>
        <w:autoSpaceDN/>
        <w:adjustRightInd/>
        <w:rPr>
          <w:rFonts w:cs="Calibri"/>
          <w:b/>
          <w:color w:val="000000" w:themeColor="text1"/>
          <w:sz w:val="28"/>
          <w:szCs w:val="28"/>
        </w:rPr>
      </w:pPr>
      <w:r w:rsidRPr="00627198">
        <w:rPr>
          <w:rFonts w:cs="Calibri"/>
          <w:b/>
          <w:color w:val="000000" w:themeColor="text1"/>
          <w:sz w:val="28"/>
          <w:szCs w:val="28"/>
        </w:rPr>
        <w:t>Arizona Division of Occupational Safety and Health (ADOSH)</w:t>
      </w:r>
    </w:p>
    <w:p w14:paraId="33BDDAA9" w14:textId="77777777" w:rsidR="000A134A" w:rsidRPr="00627198" w:rsidRDefault="000A134A" w:rsidP="0061177B">
      <w:pPr>
        <w:widowControl/>
        <w:autoSpaceDE/>
        <w:autoSpaceDN/>
        <w:adjustRightInd/>
        <w:rPr>
          <w:rFonts w:cs="Calibri"/>
          <w:bCs/>
          <w:sz w:val="28"/>
          <w:szCs w:val="28"/>
        </w:rPr>
      </w:pPr>
    </w:p>
    <w:p w14:paraId="0E828210" w14:textId="5815446C" w:rsidR="000A134A" w:rsidRPr="001C1E47" w:rsidRDefault="00395666" w:rsidP="0061177B">
      <w:pPr>
        <w:widowControl/>
        <w:autoSpaceDE/>
        <w:autoSpaceDN/>
        <w:adjustRightInd/>
        <w:rPr>
          <w:rFonts w:cs="Calibri"/>
          <w:bCs/>
        </w:rPr>
      </w:pPr>
      <w:r>
        <w:rPr>
          <w:noProof/>
        </w:rPr>
        <w:drawing>
          <wp:inline distT="0" distB="0" distL="0" distR="0" wp14:anchorId="42EED666" wp14:editId="78BE8D02">
            <wp:extent cx="1379220" cy="1333500"/>
            <wp:effectExtent l="0" t="0" r="0" b="0"/>
            <wp:docPr id="931882145" name="Picture 931882145" descr="Official Seal of the state of Ariz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1882145" name="image1.png" descr="Official Seal of the state of Arizona."/>
                    <pic:cNvPicPr/>
                  </pic:nvPicPr>
                  <pic:blipFill>
                    <a:blip r:embed="rId11">
                      <a:extLst>
                        <a:ext uri="{28A0092B-C50C-407E-A947-70E740481C1C}">
                          <a14:useLocalDpi xmlns:a14="http://schemas.microsoft.com/office/drawing/2010/main" val="0"/>
                        </a:ext>
                      </a:extLst>
                    </a:blip>
                    <a:stretch>
                      <a:fillRect/>
                    </a:stretch>
                  </pic:blipFill>
                  <pic:spPr>
                    <a:xfrm>
                      <a:off x="0" y="0"/>
                      <a:ext cx="1379220" cy="1333500"/>
                    </a:xfrm>
                    <a:prstGeom prst="rect">
                      <a:avLst/>
                    </a:prstGeom>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6CB8AD27" w14:textId="22C3AAD0"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w:t>
      </w:r>
      <w:r w:rsidR="00282BAA">
        <w:rPr>
          <w:rFonts w:eastAsia="Batang" w:cs="Calibri"/>
          <w:b/>
          <w:sz w:val="28"/>
          <w:szCs w:val="28"/>
        </w:rPr>
        <w:t>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w:t>
      </w:r>
      <w:r w:rsidR="00282BAA">
        <w:rPr>
          <w:rFonts w:eastAsia="Batang" w:cs="Calibri"/>
          <w:b/>
          <w:sz w:val="28"/>
          <w:szCs w:val="28"/>
        </w:rPr>
        <w:t>4</w:t>
      </w:r>
    </w:p>
    <w:p w14:paraId="03D79AE5" w14:textId="77777777" w:rsidR="000A134A" w:rsidRPr="001C1E47" w:rsidRDefault="000A134A" w:rsidP="00660015">
      <w:pPr>
        <w:widowControl/>
        <w:autoSpaceDE/>
        <w:autoSpaceDN/>
        <w:adjustRightInd/>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46908197"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ED5BA2">
        <w:rPr>
          <w:rFonts w:eastAsia="Batang" w:cs="Calibri"/>
          <w:b/>
        </w:rPr>
        <w:t>November 5, 1974</w:t>
      </w:r>
    </w:p>
    <w:p w14:paraId="3062998A" w14:textId="514A23F5" w:rsidR="000A134A" w:rsidRPr="00132AC8"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color w:val="000000" w:themeColor="text1"/>
        </w:rPr>
      </w:pPr>
      <w:r w:rsidRPr="001C1E47">
        <w:rPr>
          <w:rFonts w:eastAsia="Batang" w:cs="Calibri"/>
          <w:b/>
        </w:rPr>
        <w:t xml:space="preserve">Program Certification Date: </w:t>
      </w:r>
      <w:r w:rsidR="00132AC8">
        <w:rPr>
          <w:rFonts w:eastAsia="Batang" w:cs="Calibri"/>
          <w:b/>
        </w:rPr>
        <w:t xml:space="preserve"> </w:t>
      </w:r>
      <w:r w:rsidR="00132AC8" w:rsidRPr="00132AC8">
        <w:rPr>
          <w:rFonts w:eastAsia="Batang" w:cs="Calibri"/>
          <w:b/>
          <w:color w:val="000000" w:themeColor="text1"/>
        </w:rPr>
        <w:t>September 18, 1981</w:t>
      </w:r>
    </w:p>
    <w:p w14:paraId="51A91D4F" w14:textId="24525B40"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32AC8">
        <w:rPr>
          <w:rFonts w:eastAsia="Batang" w:cs="Calibri"/>
          <w:b/>
          <w:color w:val="000000" w:themeColor="text1"/>
        </w:rPr>
        <w:t xml:space="preserve">Final Approval Date: </w:t>
      </w:r>
      <w:r w:rsidR="00132AC8" w:rsidRPr="00132AC8">
        <w:rPr>
          <w:rFonts w:eastAsia="Batang" w:cs="Calibri"/>
          <w:b/>
          <w:color w:val="000000" w:themeColor="text1"/>
        </w:rPr>
        <w:t xml:space="preserve"> June 20, 1985</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334B7D">
      <w:pPr>
        <w:widowControl/>
        <w:autoSpaceDE/>
        <w:autoSpaceDN/>
        <w:adjustRightInd/>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371F4A38" w:rsidR="000A134A" w:rsidRPr="001C1E47" w:rsidRDefault="000A134A" w:rsidP="00C53328">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0CE4F3D3" w:rsidR="000A134A" w:rsidRPr="001C1E47" w:rsidRDefault="009A1089" w:rsidP="00C53328">
      <w:pPr>
        <w:widowControl/>
        <w:autoSpaceDE/>
        <w:autoSpaceDN/>
        <w:adjustRightInd/>
        <w:rPr>
          <w:rFonts w:cs="Calibri"/>
          <w:b/>
        </w:rPr>
      </w:pPr>
      <w:r>
        <w:rPr>
          <w:rFonts w:cs="Calibri"/>
          <w:b/>
        </w:rPr>
        <w:t>San Francisco Region</w:t>
      </w:r>
    </w:p>
    <w:p w14:paraId="50EE0B64" w14:textId="3A858D90" w:rsidR="000A134A" w:rsidRPr="00062D4B" w:rsidRDefault="00062D4B" w:rsidP="00C53328">
      <w:pPr>
        <w:widowControl/>
        <w:autoSpaceDE/>
        <w:autoSpaceDN/>
        <w:adjustRightInd/>
        <w:rPr>
          <w:rFonts w:cs="Calibri"/>
          <w:b/>
          <w:color w:val="000000" w:themeColor="text1"/>
        </w:rPr>
      </w:pPr>
      <w:r w:rsidRPr="00062D4B">
        <w:rPr>
          <w:rFonts w:cs="Calibri"/>
          <w:b/>
          <w:color w:val="000000" w:themeColor="text1"/>
        </w:rPr>
        <w:t>San Francisco, California</w:t>
      </w:r>
    </w:p>
    <w:p w14:paraId="5737E281" w14:textId="77777777" w:rsidR="000A134A" w:rsidRPr="00334B7D" w:rsidRDefault="000A134A" w:rsidP="00334B7D">
      <w:pPr>
        <w:widowControl/>
        <w:autoSpaceDE/>
        <w:autoSpaceDN/>
        <w:adjustRightInd/>
        <w:rPr>
          <w:rFonts w:cs="Calibri"/>
        </w:rPr>
      </w:pPr>
    </w:p>
    <w:p w14:paraId="18164B2D" w14:textId="77777777" w:rsidR="000A134A" w:rsidRPr="001C1E47" w:rsidRDefault="000A134A" w:rsidP="00ED5BA2">
      <w:pPr>
        <w:widowControl/>
        <w:autoSpaceDE/>
        <w:autoSpaceDN/>
        <w:adjustRightInd/>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F06BD8">
      <w:pPr>
        <w:widowControl/>
        <w:autoSpaceDE/>
        <w:autoSpaceDN/>
        <w:adjustRightInd/>
        <w:rPr>
          <w:rFonts w:cs="Calibri"/>
          <w:b/>
        </w:rPr>
      </w:pPr>
    </w:p>
    <w:p w14:paraId="26D1C94C" w14:textId="7F5FD7C5" w:rsidR="00F43B23" w:rsidRDefault="000A134A" w:rsidP="009349CD">
      <w:pPr>
        <w:widowControl/>
        <w:autoSpaceDE/>
        <w:autoSpaceDN/>
        <w:adjustRightInd/>
        <w:jc w:val="center"/>
        <w:rPr>
          <w:rFonts w:cs="Calibri"/>
          <w:b/>
          <w:sz w:val="40"/>
          <w:szCs w:val="40"/>
        </w:rPr>
      </w:pPr>
      <w:r w:rsidRPr="001C1E47">
        <w:rPr>
          <w:rFonts w:cs="Calibri"/>
          <w:noProof/>
        </w:rPr>
        <w:drawing>
          <wp:inline distT="0" distB="0" distL="0" distR="0" wp14:anchorId="1D849888" wp14:editId="3F7AB49D">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00F43B23">
        <w:rPr>
          <w:rFonts w:cs="Calibri"/>
          <w:b/>
          <w:sz w:val="40"/>
          <w:szCs w:val="40"/>
        </w:rPr>
        <w:br w:type="page"/>
      </w:r>
    </w:p>
    <w:p w14:paraId="253E64F1" w14:textId="2FAB4601" w:rsidR="002A6CAA" w:rsidRPr="0014572A" w:rsidRDefault="00F43B23">
      <w:pPr>
        <w:widowControl/>
        <w:autoSpaceDE/>
        <w:autoSpaceDN/>
        <w:adjustRightInd/>
        <w:rPr>
          <w:rFonts w:cs="Calibri"/>
          <w:b/>
          <w:sz w:val="28"/>
          <w:szCs w:val="28"/>
        </w:rPr>
      </w:pPr>
      <w:r w:rsidRPr="00386ED8">
        <w:rPr>
          <w:rFonts w:cs="Calibri"/>
          <w:b/>
          <w:bCs/>
          <w:sz w:val="28"/>
          <w:szCs w:val="28"/>
        </w:rPr>
        <w:lastRenderedPageBreak/>
        <w:t xml:space="preserve">Table </w:t>
      </w:r>
      <w:r w:rsidRPr="0014572A">
        <w:rPr>
          <w:rFonts w:cs="Calibri"/>
          <w:b/>
          <w:bCs/>
          <w:sz w:val="28"/>
          <w:szCs w:val="28"/>
        </w:rPr>
        <w:t>of Contents</w:t>
      </w:r>
    </w:p>
    <w:p w14:paraId="6E51717B" w14:textId="5D91E4E3" w:rsidR="008175EA" w:rsidRDefault="000F63C1">
      <w:pPr>
        <w:pStyle w:val="TOC2"/>
        <w:rPr>
          <w:rFonts w:eastAsiaTheme="minorEastAsia" w:cstheme="minorBidi"/>
          <w:bCs w:val="0"/>
          <w:noProof/>
          <w:kern w:val="2"/>
          <w:sz w:val="24"/>
          <w:szCs w:val="24"/>
          <w14:ligatures w14:val="standardContextual"/>
        </w:rPr>
      </w:pPr>
      <w:r w:rsidRPr="0014572A">
        <w:rPr>
          <w:szCs w:val="28"/>
        </w:rPr>
        <w:fldChar w:fldCharType="begin"/>
      </w:r>
      <w:r w:rsidRPr="0014572A">
        <w:rPr>
          <w:szCs w:val="28"/>
        </w:rPr>
        <w:instrText xml:space="preserve"> TOC \o "2-3" \h \z \u \t "Level 1,1" </w:instrText>
      </w:r>
      <w:r w:rsidRPr="0014572A">
        <w:rPr>
          <w:szCs w:val="28"/>
        </w:rPr>
        <w:fldChar w:fldCharType="separate"/>
      </w:r>
      <w:hyperlink w:anchor="_Toc190424175" w:history="1">
        <w:r w:rsidR="008175EA" w:rsidRPr="00685B03">
          <w:rPr>
            <w:rStyle w:val="Hyperlink"/>
            <w:noProof/>
          </w:rPr>
          <w:t>I.</w:t>
        </w:r>
        <w:r w:rsidR="008175EA">
          <w:rPr>
            <w:rFonts w:eastAsiaTheme="minorEastAsia" w:cstheme="minorBidi"/>
            <w:bCs w:val="0"/>
            <w:noProof/>
            <w:kern w:val="2"/>
            <w:sz w:val="24"/>
            <w:szCs w:val="24"/>
            <w14:ligatures w14:val="standardContextual"/>
          </w:rPr>
          <w:tab/>
        </w:r>
        <w:r w:rsidR="008175EA" w:rsidRPr="00685B03">
          <w:rPr>
            <w:rStyle w:val="Hyperlink"/>
            <w:noProof/>
          </w:rPr>
          <w:t>Executive Summary</w:t>
        </w:r>
        <w:r w:rsidR="008175EA">
          <w:rPr>
            <w:noProof/>
            <w:webHidden/>
          </w:rPr>
          <w:tab/>
        </w:r>
        <w:r w:rsidR="008175EA">
          <w:rPr>
            <w:noProof/>
            <w:webHidden/>
          </w:rPr>
          <w:fldChar w:fldCharType="begin"/>
        </w:r>
        <w:r w:rsidR="008175EA">
          <w:rPr>
            <w:noProof/>
            <w:webHidden/>
          </w:rPr>
          <w:instrText xml:space="preserve"> PAGEREF _Toc190424175 \h </w:instrText>
        </w:r>
        <w:r w:rsidR="008175EA">
          <w:rPr>
            <w:noProof/>
            <w:webHidden/>
          </w:rPr>
        </w:r>
        <w:r w:rsidR="008175EA">
          <w:rPr>
            <w:noProof/>
            <w:webHidden/>
          </w:rPr>
          <w:fldChar w:fldCharType="separate"/>
        </w:r>
        <w:r w:rsidR="0035255C">
          <w:rPr>
            <w:noProof/>
            <w:webHidden/>
          </w:rPr>
          <w:t>3</w:t>
        </w:r>
        <w:r w:rsidR="008175EA">
          <w:rPr>
            <w:noProof/>
            <w:webHidden/>
          </w:rPr>
          <w:fldChar w:fldCharType="end"/>
        </w:r>
      </w:hyperlink>
    </w:p>
    <w:p w14:paraId="457B748B" w14:textId="539413C5" w:rsidR="008175EA" w:rsidRDefault="008175EA">
      <w:pPr>
        <w:pStyle w:val="TOC2"/>
        <w:rPr>
          <w:rFonts w:eastAsiaTheme="minorEastAsia" w:cstheme="minorBidi"/>
          <w:bCs w:val="0"/>
          <w:noProof/>
          <w:kern w:val="2"/>
          <w:sz w:val="24"/>
          <w:szCs w:val="24"/>
          <w14:ligatures w14:val="standardContextual"/>
        </w:rPr>
      </w:pPr>
      <w:hyperlink w:anchor="_Toc190424176" w:history="1">
        <w:r w:rsidRPr="00685B03">
          <w:rPr>
            <w:rStyle w:val="Hyperlink"/>
            <w:noProof/>
          </w:rPr>
          <w:t>II.</w:t>
        </w:r>
        <w:r>
          <w:rPr>
            <w:rFonts w:eastAsiaTheme="minorEastAsia" w:cstheme="minorBidi"/>
            <w:bCs w:val="0"/>
            <w:noProof/>
            <w:kern w:val="2"/>
            <w:sz w:val="24"/>
            <w:szCs w:val="24"/>
            <w14:ligatures w14:val="standardContextual"/>
          </w:rPr>
          <w:tab/>
        </w:r>
        <w:r w:rsidRPr="00685B03">
          <w:rPr>
            <w:rStyle w:val="Hyperlink"/>
            <w:noProof/>
          </w:rPr>
          <w:t>State Plan Background</w:t>
        </w:r>
        <w:r>
          <w:rPr>
            <w:noProof/>
            <w:webHidden/>
          </w:rPr>
          <w:tab/>
        </w:r>
        <w:r>
          <w:rPr>
            <w:noProof/>
            <w:webHidden/>
          </w:rPr>
          <w:fldChar w:fldCharType="begin"/>
        </w:r>
        <w:r>
          <w:rPr>
            <w:noProof/>
            <w:webHidden/>
          </w:rPr>
          <w:instrText xml:space="preserve"> PAGEREF _Toc190424176 \h </w:instrText>
        </w:r>
        <w:r>
          <w:rPr>
            <w:noProof/>
            <w:webHidden/>
          </w:rPr>
        </w:r>
        <w:r>
          <w:rPr>
            <w:noProof/>
            <w:webHidden/>
          </w:rPr>
          <w:fldChar w:fldCharType="separate"/>
        </w:r>
        <w:r w:rsidR="0035255C">
          <w:rPr>
            <w:noProof/>
            <w:webHidden/>
          </w:rPr>
          <w:t>3</w:t>
        </w:r>
        <w:r>
          <w:rPr>
            <w:noProof/>
            <w:webHidden/>
          </w:rPr>
          <w:fldChar w:fldCharType="end"/>
        </w:r>
      </w:hyperlink>
    </w:p>
    <w:p w14:paraId="2C32D1E3" w14:textId="3AA834BD" w:rsidR="008175EA" w:rsidRDefault="008175EA">
      <w:pPr>
        <w:pStyle w:val="TOC2"/>
        <w:rPr>
          <w:rFonts w:eastAsiaTheme="minorEastAsia" w:cstheme="minorBidi"/>
          <w:bCs w:val="0"/>
          <w:noProof/>
          <w:kern w:val="2"/>
          <w:sz w:val="24"/>
          <w:szCs w:val="24"/>
          <w14:ligatures w14:val="standardContextual"/>
        </w:rPr>
      </w:pPr>
      <w:hyperlink w:anchor="_Toc190424177" w:history="1">
        <w:r w:rsidRPr="00685B03">
          <w:rPr>
            <w:rStyle w:val="Hyperlink"/>
            <w:noProof/>
          </w:rPr>
          <w:t>III.</w:t>
        </w:r>
        <w:r>
          <w:rPr>
            <w:rFonts w:eastAsiaTheme="minorEastAsia" w:cstheme="minorBidi"/>
            <w:bCs w:val="0"/>
            <w:noProof/>
            <w:kern w:val="2"/>
            <w:sz w:val="24"/>
            <w:szCs w:val="24"/>
            <w14:ligatures w14:val="standardContextual"/>
          </w:rPr>
          <w:tab/>
        </w:r>
        <w:r w:rsidRPr="00685B03">
          <w:rPr>
            <w:rStyle w:val="Hyperlink"/>
            <w:noProof/>
          </w:rPr>
          <w:t>Assessment of State Plan Progress and Performance</w:t>
        </w:r>
        <w:r>
          <w:rPr>
            <w:noProof/>
            <w:webHidden/>
          </w:rPr>
          <w:tab/>
        </w:r>
        <w:r>
          <w:rPr>
            <w:noProof/>
            <w:webHidden/>
          </w:rPr>
          <w:fldChar w:fldCharType="begin"/>
        </w:r>
        <w:r>
          <w:rPr>
            <w:noProof/>
            <w:webHidden/>
          </w:rPr>
          <w:instrText xml:space="preserve"> PAGEREF _Toc190424177 \h </w:instrText>
        </w:r>
        <w:r>
          <w:rPr>
            <w:noProof/>
            <w:webHidden/>
          </w:rPr>
        </w:r>
        <w:r>
          <w:rPr>
            <w:noProof/>
            <w:webHidden/>
          </w:rPr>
          <w:fldChar w:fldCharType="separate"/>
        </w:r>
        <w:r w:rsidR="0035255C">
          <w:rPr>
            <w:noProof/>
            <w:webHidden/>
          </w:rPr>
          <w:t>5</w:t>
        </w:r>
        <w:r>
          <w:rPr>
            <w:noProof/>
            <w:webHidden/>
          </w:rPr>
          <w:fldChar w:fldCharType="end"/>
        </w:r>
      </w:hyperlink>
    </w:p>
    <w:p w14:paraId="34AABFB1" w14:textId="2D86B4F5" w:rsidR="008175EA" w:rsidRPr="008175EA" w:rsidRDefault="008175EA">
      <w:pPr>
        <w:pStyle w:val="TOC3"/>
        <w:rPr>
          <w:rFonts w:eastAsiaTheme="minorEastAsia" w:cstheme="minorBidi"/>
          <w:noProof/>
          <w:kern w:val="2"/>
          <w:sz w:val="28"/>
          <w:szCs w:val="28"/>
          <w14:ligatures w14:val="standardContextual"/>
        </w:rPr>
      </w:pPr>
      <w:hyperlink w:anchor="_Toc190424178" w:history="1">
        <w:r w:rsidRPr="008175EA">
          <w:rPr>
            <w:rStyle w:val="Hyperlink"/>
            <w:noProof/>
            <w:sz w:val="28"/>
            <w:szCs w:val="28"/>
          </w:rPr>
          <w:t>A.  Data and Methodology</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_Toc190424178 \h </w:instrText>
        </w:r>
        <w:r w:rsidRPr="008175EA">
          <w:rPr>
            <w:noProof/>
            <w:webHidden/>
            <w:sz w:val="28"/>
            <w:szCs w:val="28"/>
          </w:rPr>
        </w:r>
        <w:r w:rsidRPr="008175EA">
          <w:rPr>
            <w:noProof/>
            <w:webHidden/>
            <w:sz w:val="28"/>
            <w:szCs w:val="28"/>
          </w:rPr>
          <w:fldChar w:fldCharType="separate"/>
        </w:r>
        <w:r w:rsidR="0035255C">
          <w:rPr>
            <w:noProof/>
            <w:webHidden/>
            <w:sz w:val="28"/>
            <w:szCs w:val="28"/>
          </w:rPr>
          <w:t>5</w:t>
        </w:r>
        <w:r w:rsidRPr="008175EA">
          <w:rPr>
            <w:noProof/>
            <w:webHidden/>
            <w:sz w:val="28"/>
            <w:szCs w:val="28"/>
          </w:rPr>
          <w:fldChar w:fldCharType="end"/>
        </w:r>
      </w:hyperlink>
    </w:p>
    <w:p w14:paraId="1588B50E" w14:textId="111D4572" w:rsidR="008175EA" w:rsidRPr="008175EA" w:rsidRDefault="008175EA">
      <w:pPr>
        <w:pStyle w:val="TOC3"/>
        <w:rPr>
          <w:rFonts w:eastAsiaTheme="minorEastAsia" w:cstheme="minorBidi"/>
          <w:noProof/>
          <w:kern w:val="2"/>
          <w:sz w:val="28"/>
          <w:szCs w:val="28"/>
          <w14:ligatures w14:val="standardContextual"/>
        </w:rPr>
      </w:pPr>
      <w:hyperlink w:anchor="_Toc190424179" w:history="1">
        <w:r w:rsidRPr="008175EA">
          <w:rPr>
            <w:rStyle w:val="Hyperlink"/>
            <w:noProof/>
            <w:sz w:val="28"/>
            <w:szCs w:val="28"/>
          </w:rPr>
          <w:t>B.  Findings and Observations</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_Toc190424179 \h </w:instrText>
        </w:r>
        <w:r w:rsidRPr="008175EA">
          <w:rPr>
            <w:noProof/>
            <w:webHidden/>
            <w:sz w:val="28"/>
            <w:szCs w:val="28"/>
          </w:rPr>
        </w:r>
        <w:r w:rsidRPr="008175EA">
          <w:rPr>
            <w:noProof/>
            <w:webHidden/>
            <w:sz w:val="28"/>
            <w:szCs w:val="28"/>
          </w:rPr>
          <w:fldChar w:fldCharType="separate"/>
        </w:r>
        <w:r w:rsidR="0035255C">
          <w:rPr>
            <w:noProof/>
            <w:webHidden/>
            <w:sz w:val="28"/>
            <w:szCs w:val="28"/>
          </w:rPr>
          <w:t>6</w:t>
        </w:r>
        <w:r w:rsidRPr="008175EA">
          <w:rPr>
            <w:noProof/>
            <w:webHidden/>
            <w:sz w:val="28"/>
            <w:szCs w:val="28"/>
          </w:rPr>
          <w:fldChar w:fldCharType="end"/>
        </w:r>
      </w:hyperlink>
    </w:p>
    <w:p w14:paraId="3896A610" w14:textId="1AC85283" w:rsidR="008175EA" w:rsidRPr="008175EA" w:rsidRDefault="008175EA">
      <w:pPr>
        <w:pStyle w:val="TOC3"/>
        <w:rPr>
          <w:rFonts w:eastAsiaTheme="minorEastAsia" w:cstheme="minorBidi"/>
          <w:noProof/>
          <w:kern w:val="2"/>
          <w:sz w:val="28"/>
          <w:szCs w:val="28"/>
          <w14:ligatures w14:val="standardContextual"/>
        </w:rPr>
      </w:pPr>
      <w:hyperlink w:anchor="_Toc190424180" w:history="1">
        <w:r w:rsidRPr="008175EA">
          <w:rPr>
            <w:rStyle w:val="Hyperlink"/>
            <w:noProof/>
            <w:sz w:val="28"/>
            <w:szCs w:val="28"/>
          </w:rPr>
          <w:t>C.  State Activity Mandated Measures (SAMM) Highlights</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_Toc190424180 \h </w:instrText>
        </w:r>
        <w:r w:rsidRPr="008175EA">
          <w:rPr>
            <w:noProof/>
            <w:webHidden/>
            <w:sz w:val="28"/>
            <w:szCs w:val="28"/>
          </w:rPr>
        </w:r>
        <w:r w:rsidRPr="008175EA">
          <w:rPr>
            <w:noProof/>
            <w:webHidden/>
            <w:sz w:val="28"/>
            <w:szCs w:val="28"/>
          </w:rPr>
          <w:fldChar w:fldCharType="separate"/>
        </w:r>
        <w:r w:rsidR="0035255C">
          <w:rPr>
            <w:noProof/>
            <w:webHidden/>
            <w:sz w:val="28"/>
            <w:szCs w:val="28"/>
          </w:rPr>
          <w:t>10</w:t>
        </w:r>
        <w:r w:rsidRPr="008175EA">
          <w:rPr>
            <w:noProof/>
            <w:webHidden/>
            <w:sz w:val="28"/>
            <w:szCs w:val="28"/>
          </w:rPr>
          <w:fldChar w:fldCharType="end"/>
        </w:r>
      </w:hyperlink>
    </w:p>
    <w:p w14:paraId="066D94B3" w14:textId="6DD1491B" w:rsidR="008175EA" w:rsidRPr="008175EA" w:rsidRDefault="008175EA" w:rsidP="0035255C">
      <w:pPr>
        <w:pStyle w:val="TOC3"/>
        <w:ind w:firstLine="0"/>
        <w:rPr>
          <w:rFonts w:eastAsiaTheme="minorEastAsia" w:cstheme="minorBidi"/>
          <w:noProof/>
          <w:kern w:val="2"/>
          <w:sz w:val="28"/>
          <w:szCs w:val="28"/>
          <w14:ligatures w14:val="standardContextual"/>
        </w:rPr>
      </w:pPr>
      <w:hyperlink w:anchor="_Toc190424181" w:history="1">
        <w:r w:rsidRPr="008175EA">
          <w:rPr>
            <w:rStyle w:val="Hyperlink"/>
            <w:noProof/>
            <w:sz w:val="28"/>
            <w:szCs w:val="28"/>
          </w:rPr>
          <w:t>Appendix A – New and Continued Findings and Recommendations</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_Toc190424181 \h </w:instrText>
        </w:r>
        <w:r w:rsidRPr="008175EA">
          <w:rPr>
            <w:noProof/>
            <w:webHidden/>
            <w:sz w:val="28"/>
            <w:szCs w:val="28"/>
          </w:rPr>
        </w:r>
        <w:r w:rsidRPr="008175EA">
          <w:rPr>
            <w:noProof/>
            <w:webHidden/>
            <w:sz w:val="28"/>
            <w:szCs w:val="28"/>
          </w:rPr>
          <w:fldChar w:fldCharType="separate"/>
        </w:r>
        <w:r w:rsidR="0035255C">
          <w:rPr>
            <w:noProof/>
            <w:webHidden/>
            <w:sz w:val="28"/>
            <w:szCs w:val="28"/>
          </w:rPr>
          <w:t>15</w:t>
        </w:r>
        <w:r w:rsidRPr="008175EA">
          <w:rPr>
            <w:noProof/>
            <w:webHidden/>
            <w:sz w:val="28"/>
            <w:szCs w:val="28"/>
          </w:rPr>
          <w:fldChar w:fldCharType="end"/>
        </w:r>
      </w:hyperlink>
    </w:p>
    <w:p w14:paraId="34EE452F" w14:textId="69B0753D" w:rsidR="008175EA" w:rsidRPr="008175EA" w:rsidRDefault="008175EA" w:rsidP="0035255C">
      <w:pPr>
        <w:pStyle w:val="TOC3"/>
        <w:ind w:firstLine="0"/>
        <w:rPr>
          <w:rFonts w:eastAsiaTheme="minorEastAsia" w:cstheme="minorBidi"/>
          <w:noProof/>
          <w:kern w:val="2"/>
          <w:sz w:val="28"/>
          <w:szCs w:val="28"/>
          <w14:ligatures w14:val="standardContextual"/>
        </w:rPr>
      </w:pPr>
      <w:hyperlink w:anchor="_Toc190424182" w:history="1">
        <w:r w:rsidRPr="008175EA">
          <w:rPr>
            <w:rStyle w:val="Hyperlink"/>
            <w:noProof/>
            <w:sz w:val="28"/>
            <w:szCs w:val="28"/>
          </w:rPr>
          <w:t>Appendix B – Observations Subject to Continued Monitoring</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_Toc190424182 \h </w:instrText>
        </w:r>
        <w:r w:rsidRPr="008175EA">
          <w:rPr>
            <w:noProof/>
            <w:webHidden/>
            <w:sz w:val="28"/>
            <w:szCs w:val="28"/>
          </w:rPr>
        </w:r>
        <w:r w:rsidRPr="008175EA">
          <w:rPr>
            <w:noProof/>
            <w:webHidden/>
            <w:sz w:val="28"/>
            <w:szCs w:val="28"/>
          </w:rPr>
          <w:fldChar w:fldCharType="separate"/>
        </w:r>
        <w:r w:rsidR="0035255C">
          <w:rPr>
            <w:noProof/>
            <w:webHidden/>
            <w:sz w:val="28"/>
            <w:szCs w:val="28"/>
          </w:rPr>
          <w:t>16</w:t>
        </w:r>
        <w:r w:rsidRPr="008175EA">
          <w:rPr>
            <w:noProof/>
            <w:webHidden/>
            <w:sz w:val="28"/>
            <w:szCs w:val="28"/>
          </w:rPr>
          <w:fldChar w:fldCharType="end"/>
        </w:r>
      </w:hyperlink>
    </w:p>
    <w:p w14:paraId="33E0F1B8" w14:textId="40310538" w:rsidR="008175EA" w:rsidRPr="008175EA" w:rsidRDefault="008175EA" w:rsidP="0035255C">
      <w:pPr>
        <w:pStyle w:val="TOC3"/>
        <w:ind w:firstLine="0"/>
        <w:rPr>
          <w:rFonts w:eastAsiaTheme="minorEastAsia" w:cstheme="minorBidi"/>
          <w:noProof/>
          <w:kern w:val="2"/>
          <w:sz w:val="28"/>
          <w:szCs w:val="28"/>
          <w14:ligatures w14:val="standardContextual"/>
        </w:rPr>
      </w:pPr>
      <w:hyperlink w:anchor="_Toc190424183" w:history="1">
        <w:r w:rsidRPr="008175EA">
          <w:rPr>
            <w:rStyle w:val="Hyperlink"/>
            <w:noProof/>
            <w:sz w:val="28"/>
            <w:szCs w:val="28"/>
          </w:rPr>
          <w:t>Appendix C - Status of FY 2023 Findings and Recommendations</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_Toc190424183 \h </w:instrText>
        </w:r>
        <w:r w:rsidRPr="008175EA">
          <w:rPr>
            <w:noProof/>
            <w:webHidden/>
            <w:sz w:val="28"/>
            <w:szCs w:val="28"/>
          </w:rPr>
        </w:r>
        <w:r w:rsidRPr="008175EA">
          <w:rPr>
            <w:noProof/>
            <w:webHidden/>
            <w:sz w:val="28"/>
            <w:szCs w:val="28"/>
          </w:rPr>
          <w:fldChar w:fldCharType="separate"/>
        </w:r>
        <w:r w:rsidR="0035255C">
          <w:rPr>
            <w:noProof/>
            <w:webHidden/>
            <w:sz w:val="28"/>
            <w:szCs w:val="28"/>
          </w:rPr>
          <w:t>17</w:t>
        </w:r>
        <w:r w:rsidRPr="008175EA">
          <w:rPr>
            <w:noProof/>
            <w:webHidden/>
            <w:sz w:val="28"/>
            <w:szCs w:val="28"/>
          </w:rPr>
          <w:fldChar w:fldCharType="end"/>
        </w:r>
      </w:hyperlink>
    </w:p>
    <w:p w14:paraId="57A5EAEC" w14:textId="2A1097CC" w:rsidR="008175EA" w:rsidRPr="008175EA" w:rsidRDefault="008175EA" w:rsidP="0035255C">
      <w:pPr>
        <w:pStyle w:val="TOC3"/>
        <w:ind w:firstLine="0"/>
        <w:rPr>
          <w:rFonts w:eastAsiaTheme="minorEastAsia" w:cstheme="minorBidi"/>
          <w:noProof/>
          <w:kern w:val="2"/>
          <w:sz w:val="28"/>
          <w:szCs w:val="28"/>
          <w14:ligatures w14:val="standardContextual"/>
        </w:rPr>
      </w:pPr>
      <w:hyperlink w:anchor="_Toc190424184" w:history="1">
        <w:r w:rsidRPr="008175EA">
          <w:rPr>
            <w:rStyle w:val="Hyperlink"/>
            <w:noProof/>
            <w:sz w:val="28"/>
            <w:szCs w:val="28"/>
          </w:rPr>
          <w:t>Appendix D – FY 2024 State Activity Mandated Measures (SAMM) Report</w:t>
        </w:r>
        <w:r w:rsidRPr="008175EA">
          <w:rPr>
            <w:noProof/>
            <w:webHidden/>
            <w:sz w:val="28"/>
            <w:szCs w:val="28"/>
          </w:rPr>
          <w:tab/>
        </w:r>
        <w:r w:rsidRPr="008175EA">
          <w:rPr>
            <w:noProof/>
            <w:webHidden/>
            <w:sz w:val="28"/>
            <w:szCs w:val="28"/>
          </w:rPr>
          <w:fldChar w:fldCharType="begin"/>
        </w:r>
        <w:r w:rsidRPr="008175EA">
          <w:rPr>
            <w:noProof/>
            <w:webHidden/>
            <w:sz w:val="28"/>
            <w:szCs w:val="28"/>
          </w:rPr>
          <w:instrText xml:space="preserve"> PAGEREF _Toc190424184 \h </w:instrText>
        </w:r>
        <w:r w:rsidRPr="008175EA">
          <w:rPr>
            <w:noProof/>
            <w:webHidden/>
            <w:sz w:val="28"/>
            <w:szCs w:val="28"/>
          </w:rPr>
        </w:r>
        <w:r w:rsidRPr="008175EA">
          <w:rPr>
            <w:noProof/>
            <w:webHidden/>
            <w:sz w:val="28"/>
            <w:szCs w:val="28"/>
          </w:rPr>
          <w:fldChar w:fldCharType="separate"/>
        </w:r>
        <w:r w:rsidR="0035255C">
          <w:rPr>
            <w:noProof/>
            <w:webHidden/>
            <w:sz w:val="28"/>
            <w:szCs w:val="28"/>
          </w:rPr>
          <w:t>20</w:t>
        </w:r>
        <w:r w:rsidRPr="008175EA">
          <w:rPr>
            <w:noProof/>
            <w:webHidden/>
            <w:sz w:val="28"/>
            <w:szCs w:val="28"/>
          </w:rPr>
          <w:fldChar w:fldCharType="end"/>
        </w:r>
      </w:hyperlink>
    </w:p>
    <w:p w14:paraId="12289C78" w14:textId="133239BA" w:rsidR="00F533B6" w:rsidRPr="0014572A" w:rsidRDefault="000F63C1" w:rsidP="00F533B6">
      <w:pPr>
        <w:rPr>
          <w:sz w:val="28"/>
          <w:szCs w:val="28"/>
        </w:rPr>
      </w:pPr>
      <w:r w:rsidRPr="0014572A">
        <w:rPr>
          <w:sz w:val="28"/>
          <w:szCs w:val="28"/>
        </w:rPr>
        <w:fldChar w:fldCharType="end"/>
      </w:r>
      <w:r w:rsidR="00B823A3" w:rsidRPr="0014572A">
        <w:rPr>
          <w:sz w:val="28"/>
          <w:szCs w:val="28"/>
        </w:rPr>
        <w:br w:type="page"/>
      </w:r>
      <w:bookmarkStart w:id="2" w:name="_Toc338764303"/>
      <w:bookmarkStart w:id="3" w:name="_Toc118900170"/>
      <w:bookmarkStart w:id="4" w:name="_Toc118905009"/>
    </w:p>
    <w:p w14:paraId="57C8B837" w14:textId="0EA0AB3A" w:rsidR="000A134A" w:rsidRPr="001C1E47" w:rsidRDefault="000A134A" w:rsidP="002D09AF">
      <w:pPr>
        <w:pStyle w:val="Heading2"/>
      </w:pPr>
      <w:bookmarkStart w:id="5" w:name="_Toc190424175"/>
      <w:r w:rsidRPr="001C1E47">
        <w:t>Executive Summary</w:t>
      </w:r>
      <w:bookmarkEnd w:id="2"/>
      <w:bookmarkEnd w:id="3"/>
      <w:bookmarkEnd w:id="4"/>
      <w:bookmarkEnd w:id="5"/>
    </w:p>
    <w:p w14:paraId="4A4FF058" w14:textId="77777777" w:rsidR="000A134A" w:rsidRPr="001C1E47" w:rsidRDefault="000A134A" w:rsidP="000B58F1">
      <w:pPr>
        <w:widowControl/>
        <w:autoSpaceDE/>
        <w:autoSpaceDN/>
        <w:adjustRightInd/>
        <w:rPr>
          <w:rFonts w:cs="Calibri"/>
          <w:b/>
        </w:rPr>
      </w:pPr>
    </w:p>
    <w:p w14:paraId="3CEC67A4" w14:textId="6FEB3ADE" w:rsidR="4782476F" w:rsidRDefault="4782476F" w:rsidP="000B58F1">
      <w:r w:rsidRPr="719D249B">
        <w:rPr>
          <w:rFonts w:eastAsia="Calibri" w:cs="Calibri"/>
        </w:rPr>
        <w:t xml:space="preserve">The primary purpose of this report is to assess the </w:t>
      </w:r>
      <w:r w:rsidR="00983417">
        <w:rPr>
          <w:rFonts w:eastAsia="Calibri" w:cs="Calibri"/>
        </w:rPr>
        <w:t xml:space="preserve">Arizona </w:t>
      </w:r>
      <w:r w:rsidRPr="719D249B">
        <w:rPr>
          <w:rFonts w:eastAsia="Calibri" w:cs="Calibri"/>
        </w:rPr>
        <w:t>State Plan’s progress in Fiscal Year (FY) 202</w:t>
      </w:r>
      <w:r w:rsidR="00E8489C">
        <w:rPr>
          <w:rFonts w:eastAsia="Calibri" w:cs="Calibri"/>
        </w:rPr>
        <w:t>4</w:t>
      </w:r>
      <w:r w:rsidRPr="719D249B">
        <w:rPr>
          <w:rFonts w:eastAsia="Calibri" w:cs="Calibri"/>
        </w:rPr>
        <w:t xml:space="preserve"> in resolving outstanding findings </w:t>
      </w:r>
      <w:r w:rsidR="00443285">
        <w:rPr>
          <w:rFonts w:eastAsia="Calibri" w:cs="Calibri"/>
        </w:rPr>
        <w:t xml:space="preserve">identified in </w:t>
      </w:r>
      <w:r w:rsidRPr="719D249B">
        <w:rPr>
          <w:rFonts w:eastAsia="Calibri" w:cs="Calibri"/>
        </w:rPr>
        <w:t>the FY 202</w:t>
      </w:r>
      <w:r w:rsidR="00E8489C">
        <w:rPr>
          <w:rFonts w:eastAsia="Calibri" w:cs="Calibri"/>
        </w:rPr>
        <w:t>3</w:t>
      </w:r>
      <w:r w:rsidRPr="719D249B">
        <w:rPr>
          <w:rFonts w:eastAsia="Calibri" w:cs="Calibri"/>
        </w:rPr>
        <w:t xml:space="preserve"> Comprehensive Federal Annual Monitoring Evaluation (FAME) Report. </w:t>
      </w:r>
      <w:r w:rsidR="00D17F96">
        <w:rPr>
          <w:rFonts w:eastAsia="Calibri" w:cs="Calibri"/>
        </w:rPr>
        <w:t xml:space="preserve"> The Arizona Division of Occupational Safety and Health (</w:t>
      </w:r>
      <w:r w:rsidRPr="719D249B">
        <w:rPr>
          <w:rFonts w:eastAsia="Calibri" w:cs="Calibri"/>
        </w:rPr>
        <w:t>ADOSH</w:t>
      </w:r>
      <w:r w:rsidR="00D17F96">
        <w:rPr>
          <w:rFonts w:eastAsia="Calibri" w:cs="Calibri"/>
        </w:rPr>
        <w:t>)</w:t>
      </w:r>
      <w:r w:rsidRPr="719D249B">
        <w:rPr>
          <w:rFonts w:eastAsia="Calibri" w:cs="Calibri"/>
        </w:rPr>
        <w:t xml:space="preserve"> is responsible for the enforcement of regulations protecting workers from health and safety hazards in </w:t>
      </w:r>
      <w:bookmarkStart w:id="6" w:name="_Int_I4qQXZbl"/>
      <w:proofErr w:type="gramStart"/>
      <w:r w:rsidRPr="719D249B">
        <w:rPr>
          <w:rFonts w:eastAsia="Calibri" w:cs="Calibri"/>
        </w:rPr>
        <w:t>the majority of</w:t>
      </w:r>
      <w:bookmarkEnd w:id="6"/>
      <w:proofErr w:type="gramEnd"/>
      <w:r w:rsidRPr="719D249B">
        <w:rPr>
          <w:rFonts w:eastAsia="Calibri" w:cs="Calibri"/>
        </w:rPr>
        <w:t xml:space="preserve"> Arizona’s workplaces.</w:t>
      </w:r>
    </w:p>
    <w:p w14:paraId="5181619D" w14:textId="3738C8A7" w:rsidR="4782476F" w:rsidRDefault="4782476F" w:rsidP="000B58F1">
      <w:r w:rsidRPr="719D249B">
        <w:rPr>
          <w:rFonts w:eastAsia="Calibri" w:cs="Calibri"/>
        </w:rPr>
        <w:t xml:space="preserve"> </w:t>
      </w:r>
    </w:p>
    <w:p w14:paraId="76DEC5EB" w14:textId="460B54BC" w:rsidR="00D72810" w:rsidRDefault="00E50516" w:rsidP="008B5500">
      <w:pPr>
        <w:rPr>
          <w:rFonts w:eastAsia="Calibri" w:cs="Calibri"/>
          <w:color w:val="242424"/>
        </w:rPr>
      </w:pPr>
      <w:r>
        <w:rPr>
          <w:rFonts w:eastAsia="Calibri" w:cs="Calibri"/>
          <w:color w:val="242424"/>
        </w:rPr>
        <w:t>Arizona made</w:t>
      </w:r>
      <w:r w:rsidR="00314815">
        <w:rPr>
          <w:rFonts w:eastAsia="Calibri" w:cs="Calibri"/>
          <w:color w:val="242424"/>
        </w:rPr>
        <w:t xml:space="preserve"> several</w:t>
      </w:r>
      <w:r>
        <w:rPr>
          <w:rFonts w:eastAsia="Calibri" w:cs="Calibri"/>
          <w:color w:val="242424"/>
        </w:rPr>
        <w:t xml:space="preserve"> </w:t>
      </w:r>
      <w:r w:rsidR="00C514C1">
        <w:rPr>
          <w:rFonts w:eastAsia="Calibri" w:cs="Calibri"/>
          <w:color w:val="242424"/>
        </w:rPr>
        <w:t>positive improvements this review period</w:t>
      </w:r>
      <w:r w:rsidR="00252F4F">
        <w:rPr>
          <w:rFonts w:eastAsia="Calibri" w:cs="Calibri"/>
          <w:color w:val="242424"/>
        </w:rPr>
        <w:t>, including</w:t>
      </w:r>
      <w:r w:rsidR="00314815">
        <w:rPr>
          <w:rFonts w:eastAsia="Calibri" w:cs="Calibri"/>
          <w:color w:val="242424"/>
        </w:rPr>
        <w:t xml:space="preserve"> conduct</w:t>
      </w:r>
      <w:r w:rsidR="00252F4F">
        <w:rPr>
          <w:rFonts w:eastAsia="Calibri" w:cs="Calibri"/>
          <w:color w:val="242424"/>
        </w:rPr>
        <w:t>ing</w:t>
      </w:r>
      <w:r w:rsidR="00314815">
        <w:rPr>
          <w:rFonts w:eastAsia="Calibri" w:cs="Calibri"/>
          <w:color w:val="242424"/>
        </w:rPr>
        <w:t xml:space="preserve"> </w:t>
      </w:r>
      <w:r w:rsidR="007B0CB1">
        <w:rPr>
          <w:rFonts w:eastAsia="Calibri" w:cs="Calibri"/>
          <w:color w:val="242424"/>
        </w:rPr>
        <w:t xml:space="preserve">more inspections than any year </w:t>
      </w:r>
      <w:r w:rsidR="00762A19">
        <w:rPr>
          <w:rFonts w:eastAsia="Calibri" w:cs="Calibri"/>
          <w:color w:val="242424"/>
        </w:rPr>
        <w:t>since</w:t>
      </w:r>
      <w:r w:rsidR="00B12A18">
        <w:rPr>
          <w:rFonts w:eastAsia="Calibri" w:cs="Calibri"/>
          <w:color w:val="242424"/>
        </w:rPr>
        <w:t xml:space="preserve"> FY 2017.  </w:t>
      </w:r>
      <w:r w:rsidR="00DE3EC9">
        <w:rPr>
          <w:rFonts w:eastAsia="Calibri" w:cs="Calibri"/>
          <w:color w:val="242424"/>
        </w:rPr>
        <w:t>A</w:t>
      </w:r>
      <w:r w:rsidR="00947326">
        <w:rPr>
          <w:rFonts w:eastAsia="Calibri" w:cs="Calibri"/>
          <w:color w:val="242424"/>
        </w:rPr>
        <w:t>verage penalt</w:t>
      </w:r>
      <w:r w:rsidR="00DE3EC9">
        <w:rPr>
          <w:rFonts w:eastAsia="Calibri" w:cs="Calibri"/>
          <w:color w:val="242424"/>
        </w:rPr>
        <w:t>ies assessed for citations increase</w:t>
      </w:r>
      <w:r w:rsidR="004D30A5">
        <w:rPr>
          <w:rFonts w:eastAsia="Calibri" w:cs="Calibri"/>
          <w:color w:val="242424"/>
        </w:rPr>
        <w:t>d</w:t>
      </w:r>
      <w:r w:rsidR="00D80E86">
        <w:rPr>
          <w:rFonts w:eastAsia="Calibri" w:cs="Calibri"/>
          <w:color w:val="242424"/>
        </w:rPr>
        <w:t xml:space="preserve"> this year</w:t>
      </w:r>
      <w:r w:rsidR="004D30A5">
        <w:rPr>
          <w:rFonts w:eastAsia="Calibri" w:cs="Calibri"/>
          <w:color w:val="242424"/>
        </w:rPr>
        <w:t xml:space="preserve"> and exceeded the national average </w:t>
      </w:r>
      <w:proofErr w:type="gramStart"/>
      <w:r w:rsidR="004D30A5">
        <w:rPr>
          <w:rFonts w:eastAsia="Calibri" w:cs="Calibri"/>
          <w:color w:val="242424"/>
        </w:rPr>
        <w:t>as a result of</w:t>
      </w:r>
      <w:proofErr w:type="gramEnd"/>
      <w:r w:rsidR="004D30A5">
        <w:rPr>
          <w:rFonts w:eastAsia="Calibri" w:cs="Calibri"/>
          <w:color w:val="242424"/>
        </w:rPr>
        <w:t xml:space="preserve"> Arizona</w:t>
      </w:r>
      <w:r w:rsidR="00B37EEB">
        <w:rPr>
          <w:rFonts w:eastAsia="Calibri" w:cs="Calibri"/>
          <w:color w:val="242424"/>
        </w:rPr>
        <w:t xml:space="preserve"> House Bill 2120 signed in FY 2022</w:t>
      </w:r>
      <w:r w:rsidR="004D30A5">
        <w:rPr>
          <w:rFonts w:eastAsia="Calibri" w:cs="Calibri"/>
          <w:color w:val="242424"/>
        </w:rPr>
        <w:t>.</w:t>
      </w:r>
      <w:r w:rsidR="00D72810">
        <w:rPr>
          <w:rFonts w:eastAsia="Calibri" w:cs="Calibri"/>
          <w:color w:val="242424"/>
        </w:rPr>
        <w:t xml:space="preserve"> </w:t>
      </w:r>
      <w:r w:rsidR="00A14211">
        <w:rPr>
          <w:rFonts w:eastAsia="Calibri" w:cs="Calibri"/>
          <w:color w:val="242424"/>
        </w:rPr>
        <w:t xml:space="preserve">Lastly, </w:t>
      </w:r>
      <w:r w:rsidR="00A61D65">
        <w:rPr>
          <w:rFonts w:eastAsia="Calibri" w:cs="Calibri"/>
          <w:color w:val="242424"/>
        </w:rPr>
        <w:t>ADOSH</w:t>
      </w:r>
      <w:r w:rsidR="00F41687">
        <w:rPr>
          <w:rFonts w:eastAsia="Calibri" w:cs="Calibri"/>
          <w:color w:val="242424"/>
        </w:rPr>
        <w:t xml:space="preserve"> </w:t>
      </w:r>
      <w:r w:rsidR="00A14211">
        <w:rPr>
          <w:rFonts w:eastAsia="Calibri" w:cs="Calibri"/>
          <w:color w:val="242424"/>
        </w:rPr>
        <w:t xml:space="preserve">enhanced their procedures to </w:t>
      </w:r>
      <w:r w:rsidR="00A61D65">
        <w:rPr>
          <w:rFonts w:eastAsia="Calibri" w:cs="Calibri"/>
          <w:color w:val="242424"/>
        </w:rPr>
        <w:t>adopt federal program changes</w:t>
      </w:r>
      <w:r w:rsidR="00A14211">
        <w:rPr>
          <w:rFonts w:eastAsia="Calibri" w:cs="Calibri"/>
          <w:color w:val="242424"/>
        </w:rPr>
        <w:t>, some of which were outstanding from previous year</w:t>
      </w:r>
      <w:r w:rsidR="007A5507">
        <w:rPr>
          <w:rFonts w:eastAsia="Calibri" w:cs="Calibri"/>
          <w:color w:val="242424"/>
        </w:rPr>
        <w:t>s</w:t>
      </w:r>
      <w:r w:rsidR="00A14211">
        <w:rPr>
          <w:rFonts w:eastAsia="Calibri" w:cs="Calibri"/>
          <w:color w:val="242424"/>
        </w:rPr>
        <w:t xml:space="preserve">. </w:t>
      </w:r>
    </w:p>
    <w:p w14:paraId="0F35232C" w14:textId="77777777" w:rsidR="00D72810" w:rsidRDefault="00D72810" w:rsidP="008B5500">
      <w:pPr>
        <w:rPr>
          <w:rFonts w:eastAsia="Calibri" w:cs="Calibri"/>
          <w:color w:val="242424"/>
        </w:rPr>
      </w:pPr>
    </w:p>
    <w:p w14:paraId="354C740F" w14:textId="3C1CECA6" w:rsidR="005002C4" w:rsidRDefault="00C9790F" w:rsidP="00497A7C">
      <w:pPr>
        <w:rPr>
          <w:rFonts w:eastAsia="Calibri" w:cs="Calibri"/>
          <w:color w:val="242424"/>
        </w:rPr>
      </w:pPr>
      <w:r>
        <w:rPr>
          <w:rFonts w:eastAsia="Calibri" w:cs="Calibri"/>
          <w:color w:val="242424"/>
        </w:rPr>
        <w:t>The</w:t>
      </w:r>
      <w:r w:rsidR="00497A7C">
        <w:rPr>
          <w:rFonts w:eastAsia="Calibri" w:cs="Calibri"/>
          <w:color w:val="242424"/>
        </w:rPr>
        <w:t xml:space="preserve"> </w:t>
      </w:r>
      <w:r w:rsidR="00C10A05">
        <w:rPr>
          <w:rFonts w:eastAsia="Calibri" w:cs="Calibri"/>
          <w:color w:val="242424"/>
        </w:rPr>
        <w:t>2023 Arizona Special Study</w:t>
      </w:r>
      <w:r w:rsidR="007A5507">
        <w:rPr>
          <w:rFonts w:eastAsia="Calibri" w:cs="Calibri"/>
          <w:color w:val="242424"/>
        </w:rPr>
        <w:t xml:space="preserve"> concluded</w:t>
      </w:r>
      <w:r w:rsidR="0074094B">
        <w:rPr>
          <w:rFonts w:eastAsia="Calibri" w:cs="Calibri"/>
          <w:color w:val="242424"/>
        </w:rPr>
        <w:t xml:space="preserve"> </w:t>
      </w:r>
      <w:r w:rsidR="004766CF">
        <w:rPr>
          <w:rFonts w:eastAsia="Calibri" w:cs="Calibri"/>
          <w:color w:val="242424"/>
        </w:rPr>
        <w:t>in May 2024</w:t>
      </w:r>
      <w:r w:rsidR="007A5507">
        <w:rPr>
          <w:rFonts w:eastAsia="Calibri" w:cs="Calibri"/>
          <w:color w:val="242424"/>
        </w:rPr>
        <w:t xml:space="preserve"> </w:t>
      </w:r>
      <w:r w:rsidR="002D08B1">
        <w:rPr>
          <w:rFonts w:eastAsia="Calibri" w:cs="Calibri"/>
          <w:color w:val="242424"/>
        </w:rPr>
        <w:t>and</w:t>
      </w:r>
      <w:r w:rsidR="00C10A05">
        <w:rPr>
          <w:rFonts w:eastAsia="Calibri" w:cs="Calibri"/>
          <w:color w:val="242424"/>
        </w:rPr>
        <w:t xml:space="preserve"> </w:t>
      </w:r>
      <w:r w:rsidR="00497A7C">
        <w:rPr>
          <w:rFonts w:eastAsia="Calibri" w:cs="Calibri"/>
          <w:color w:val="242424"/>
        </w:rPr>
        <w:t>resulted in ADOSH making</w:t>
      </w:r>
      <w:r w:rsidR="008E23C7">
        <w:rPr>
          <w:rFonts w:eastAsia="Calibri" w:cs="Calibri"/>
          <w:color w:val="242424"/>
        </w:rPr>
        <w:t xml:space="preserve"> substantial enhancements to their </w:t>
      </w:r>
      <w:r w:rsidR="007632FA">
        <w:rPr>
          <w:rFonts w:eastAsia="Calibri" w:cs="Calibri"/>
          <w:color w:val="242424"/>
        </w:rPr>
        <w:t>“Salesforce”</w:t>
      </w:r>
      <w:r w:rsidR="007951F0">
        <w:rPr>
          <w:rFonts w:eastAsia="Calibri" w:cs="Calibri"/>
          <w:color w:val="242424"/>
        </w:rPr>
        <w:t xml:space="preserve"> </w:t>
      </w:r>
      <w:r w:rsidR="00F457D8">
        <w:rPr>
          <w:rFonts w:eastAsia="Calibri" w:cs="Calibri"/>
          <w:color w:val="242424"/>
        </w:rPr>
        <w:t xml:space="preserve">interface system </w:t>
      </w:r>
      <w:r w:rsidR="007951F0">
        <w:rPr>
          <w:rFonts w:eastAsia="Calibri" w:cs="Calibri"/>
          <w:color w:val="242424"/>
        </w:rPr>
        <w:t>to improve the data integration process with the OSHA Information System (OIS)</w:t>
      </w:r>
      <w:r w:rsidR="0097773B">
        <w:rPr>
          <w:rFonts w:eastAsia="Calibri" w:cs="Calibri"/>
          <w:color w:val="242424"/>
        </w:rPr>
        <w:t xml:space="preserve">.  </w:t>
      </w:r>
      <w:r w:rsidR="00A61D65">
        <w:rPr>
          <w:rFonts w:eastAsia="Calibri" w:cs="Calibri"/>
          <w:color w:val="242424"/>
        </w:rPr>
        <w:t>I</w:t>
      </w:r>
      <w:r w:rsidR="0097773B">
        <w:rPr>
          <w:rFonts w:eastAsia="Calibri" w:cs="Calibri"/>
          <w:color w:val="242424"/>
        </w:rPr>
        <w:t xml:space="preserve">nternal controls were developed and implemented for the State Plan to </w:t>
      </w:r>
      <w:r w:rsidR="00A0343E">
        <w:rPr>
          <w:rFonts w:eastAsia="Calibri" w:cs="Calibri"/>
          <w:color w:val="242424"/>
        </w:rPr>
        <w:t xml:space="preserve">ensure </w:t>
      </w:r>
      <w:r w:rsidR="00B45C22">
        <w:rPr>
          <w:rFonts w:eastAsia="Calibri" w:cs="Calibri"/>
          <w:color w:val="242424"/>
        </w:rPr>
        <w:t xml:space="preserve">complaints </w:t>
      </w:r>
      <w:r w:rsidR="00634394">
        <w:rPr>
          <w:rFonts w:eastAsia="Calibri" w:cs="Calibri"/>
          <w:color w:val="242424"/>
        </w:rPr>
        <w:t xml:space="preserve">and inspections </w:t>
      </w:r>
      <w:r w:rsidR="008D497A">
        <w:rPr>
          <w:rFonts w:eastAsia="Calibri" w:cs="Calibri"/>
          <w:color w:val="242424"/>
        </w:rPr>
        <w:t>were processed and handled in a</w:t>
      </w:r>
      <w:r w:rsidR="004C1B44">
        <w:rPr>
          <w:rFonts w:eastAsia="Calibri" w:cs="Calibri"/>
          <w:color w:val="242424"/>
        </w:rPr>
        <w:t xml:space="preserve"> manner at least as effective as OSHA</w:t>
      </w:r>
      <w:r w:rsidR="007951F0">
        <w:rPr>
          <w:rFonts w:eastAsia="Calibri" w:cs="Calibri"/>
          <w:color w:val="242424"/>
        </w:rPr>
        <w:t xml:space="preserve">.  </w:t>
      </w:r>
      <w:r w:rsidR="008E23C7">
        <w:rPr>
          <w:rFonts w:eastAsia="Calibri" w:cs="Calibri"/>
          <w:color w:val="242424"/>
        </w:rPr>
        <w:t xml:space="preserve"> </w:t>
      </w:r>
    </w:p>
    <w:p w14:paraId="7FED1FFB" w14:textId="77777777" w:rsidR="005002C4" w:rsidRDefault="005002C4" w:rsidP="008B5500">
      <w:pPr>
        <w:rPr>
          <w:rFonts w:eastAsia="Calibri" w:cs="Calibri"/>
          <w:color w:val="242424"/>
        </w:rPr>
      </w:pPr>
    </w:p>
    <w:p w14:paraId="756B6D4F" w14:textId="3D6AAEDE" w:rsidR="00531F2A" w:rsidRDefault="002A00AA" w:rsidP="008B5500">
      <w:pPr>
        <w:rPr>
          <w:rFonts w:eastAsia="Calibri" w:cs="Calibri"/>
          <w:color w:val="242424"/>
        </w:rPr>
      </w:pPr>
      <w:r>
        <w:rPr>
          <w:rFonts w:eastAsia="Calibri" w:cs="Calibri"/>
          <w:color w:val="242424"/>
        </w:rPr>
        <w:t>Arizona</w:t>
      </w:r>
      <w:r w:rsidR="00AC22F3">
        <w:rPr>
          <w:rFonts w:eastAsia="Calibri" w:cs="Calibri"/>
          <w:color w:val="242424"/>
        </w:rPr>
        <w:t xml:space="preserve"> </w:t>
      </w:r>
      <w:r w:rsidR="00955566">
        <w:rPr>
          <w:rFonts w:eastAsia="Calibri" w:cs="Calibri"/>
          <w:color w:val="242424"/>
        </w:rPr>
        <w:t xml:space="preserve">experienced some </w:t>
      </w:r>
      <w:r w:rsidR="003717B7">
        <w:rPr>
          <w:rFonts w:eastAsia="Calibri" w:cs="Calibri"/>
          <w:color w:val="242424"/>
        </w:rPr>
        <w:t>challenges this review period</w:t>
      </w:r>
      <w:r w:rsidR="00955566">
        <w:rPr>
          <w:rFonts w:eastAsia="Calibri" w:cs="Calibri"/>
          <w:color w:val="242424"/>
        </w:rPr>
        <w:t xml:space="preserve">, including </w:t>
      </w:r>
      <w:r w:rsidR="00834784">
        <w:rPr>
          <w:rFonts w:eastAsia="Calibri" w:cs="Calibri"/>
          <w:color w:val="242424"/>
        </w:rPr>
        <w:t xml:space="preserve">continued staffing fluctuations, which limited the number of trained compliance staff available to conduct inspections.  </w:t>
      </w:r>
      <w:r w:rsidR="007A36B6">
        <w:rPr>
          <w:rFonts w:eastAsia="Calibri" w:cs="Calibri"/>
          <w:color w:val="242424"/>
        </w:rPr>
        <w:t xml:space="preserve">The </w:t>
      </w:r>
      <w:r w:rsidR="00CE1A74">
        <w:rPr>
          <w:rFonts w:eastAsia="Calibri" w:cs="Calibri"/>
          <w:color w:val="242424"/>
        </w:rPr>
        <w:t>program remained persistent and continued to</w:t>
      </w:r>
      <w:r w:rsidR="008D0290">
        <w:rPr>
          <w:rFonts w:eastAsia="Calibri" w:cs="Calibri"/>
          <w:color w:val="242424"/>
        </w:rPr>
        <w:t xml:space="preserve"> recruit and</w:t>
      </w:r>
      <w:r w:rsidR="00CE1A74">
        <w:rPr>
          <w:rFonts w:eastAsia="Calibri" w:cs="Calibri"/>
          <w:color w:val="242424"/>
        </w:rPr>
        <w:t xml:space="preserve"> </w:t>
      </w:r>
      <w:r w:rsidR="008D0290">
        <w:rPr>
          <w:rFonts w:eastAsia="Calibri" w:cs="Calibri"/>
          <w:color w:val="242424"/>
        </w:rPr>
        <w:t xml:space="preserve">fill vacancies when </w:t>
      </w:r>
      <w:r w:rsidR="000B75BC">
        <w:rPr>
          <w:rFonts w:eastAsia="Calibri" w:cs="Calibri"/>
          <w:color w:val="242424"/>
        </w:rPr>
        <w:t>resources allowed</w:t>
      </w:r>
      <w:r w:rsidR="008D0290">
        <w:rPr>
          <w:rFonts w:eastAsia="Calibri" w:cs="Calibri"/>
          <w:color w:val="242424"/>
        </w:rPr>
        <w:t xml:space="preserve">.  </w:t>
      </w:r>
      <w:r w:rsidR="00C9790F">
        <w:rPr>
          <w:rFonts w:eastAsia="Calibri" w:cs="Calibri"/>
          <w:color w:val="242424"/>
        </w:rPr>
        <w:t xml:space="preserve">Although the total number of inspections </w:t>
      </w:r>
      <w:r w:rsidR="005D0521">
        <w:rPr>
          <w:rFonts w:eastAsia="Calibri" w:cs="Calibri"/>
          <w:color w:val="242424"/>
        </w:rPr>
        <w:t>increased by 76 from</w:t>
      </w:r>
      <w:r w:rsidR="00C9790F">
        <w:rPr>
          <w:rFonts w:eastAsia="Calibri" w:cs="Calibri"/>
          <w:color w:val="242424"/>
        </w:rPr>
        <w:t xml:space="preserve"> the previous year, ADOSH fell short in attaining their project</w:t>
      </w:r>
      <w:r w:rsidR="004804E4">
        <w:rPr>
          <w:rFonts w:eastAsia="Calibri" w:cs="Calibri"/>
          <w:color w:val="242424"/>
        </w:rPr>
        <w:t>ed goal</w:t>
      </w:r>
      <w:r w:rsidR="002A01C0">
        <w:rPr>
          <w:rFonts w:eastAsia="Calibri" w:cs="Calibri"/>
          <w:color w:val="242424"/>
        </w:rPr>
        <w:t xml:space="preserve"> </w:t>
      </w:r>
      <w:r w:rsidR="00A053A0">
        <w:rPr>
          <w:rFonts w:eastAsia="Calibri" w:cs="Calibri"/>
          <w:color w:val="242424"/>
        </w:rPr>
        <w:t xml:space="preserve">of 1,175 </w:t>
      </w:r>
      <w:r w:rsidR="0025159D">
        <w:rPr>
          <w:rFonts w:eastAsia="Calibri" w:cs="Calibri"/>
          <w:color w:val="242424"/>
        </w:rPr>
        <w:t>with 616</w:t>
      </w:r>
      <w:r w:rsidR="002A01C0">
        <w:rPr>
          <w:rFonts w:eastAsia="Calibri" w:cs="Calibri"/>
          <w:color w:val="242424"/>
        </w:rPr>
        <w:t xml:space="preserve"> (52.4%)</w:t>
      </w:r>
      <w:r w:rsidR="00A053A0">
        <w:rPr>
          <w:rFonts w:eastAsia="Calibri" w:cs="Calibri"/>
          <w:color w:val="242424"/>
        </w:rPr>
        <w:t>.</w:t>
      </w:r>
      <w:r w:rsidR="00C9790F">
        <w:rPr>
          <w:rFonts w:eastAsia="Calibri" w:cs="Calibri"/>
          <w:color w:val="242424"/>
        </w:rPr>
        <w:t xml:space="preserve">  </w:t>
      </w:r>
      <w:r w:rsidR="00A019A5">
        <w:rPr>
          <w:rFonts w:eastAsia="Calibri" w:cs="Calibri"/>
          <w:color w:val="242424"/>
        </w:rPr>
        <w:t>The increase</w:t>
      </w:r>
      <w:r w:rsidR="006E2E15">
        <w:rPr>
          <w:rFonts w:eastAsia="Calibri" w:cs="Calibri"/>
          <w:color w:val="242424"/>
        </w:rPr>
        <w:t xml:space="preserve"> in</w:t>
      </w:r>
      <w:r w:rsidR="00A019A5">
        <w:rPr>
          <w:rFonts w:eastAsia="Calibri" w:cs="Calibri"/>
          <w:color w:val="242424"/>
        </w:rPr>
        <w:t xml:space="preserve"> number of inspections </w:t>
      </w:r>
      <w:r w:rsidR="00B75BC0">
        <w:rPr>
          <w:rFonts w:eastAsia="Calibri" w:cs="Calibri"/>
          <w:color w:val="242424"/>
        </w:rPr>
        <w:t>caused</w:t>
      </w:r>
      <w:r w:rsidR="006E2E15">
        <w:rPr>
          <w:rFonts w:eastAsia="Calibri" w:cs="Calibri"/>
          <w:color w:val="242424"/>
        </w:rPr>
        <w:t xml:space="preserve"> a bottleneck in the review process, </w:t>
      </w:r>
      <w:r w:rsidR="00755BF2">
        <w:rPr>
          <w:rFonts w:eastAsia="Calibri" w:cs="Calibri"/>
          <w:color w:val="242424"/>
        </w:rPr>
        <w:t xml:space="preserve">which </w:t>
      </w:r>
      <w:r w:rsidR="00F04E40">
        <w:rPr>
          <w:rFonts w:eastAsia="Calibri" w:cs="Calibri"/>
          <w:color w:val="242424"/>
        </w:rPr>
        <w:t>led to</w:t>
      </w:r>
      <w:r w:rsidR="00755BF2">
        <w:rPr>
          <w:rFonts w:eastAsia="Calibri" w:cs="Calibri"/>
          <w:color w:val="242424"/>
        </w:rPr>
        <w:t xml:space="preserve"> an </w:t>
      </w:r>
      <w:r w:rsidR="0061472A">
        <w:rPr>
          <w:rFonts w:eastAsia="Calibri" w:cs="Calibri"/>
          <w:color w:val="242424"/>
        </w:rPr>
        <w:t xml:space="preserve">uptick in </w:t>
      </w:r>
      <w:r w:rsidR="00755BF2">
        <w:rPr>
          <w:rFonts w:eastAsia="Calibri" w:cs="Calibri"/>
          <w:color w:val="242424"/>
        </w:rPr>
        <w:t>the</w:t>
      </w:r>
      <w:r w:rsidR="0061472A">
        <w:rPr>
          <w:rFonts w:eastAsia="Calibri" w:cs="Calibri"/>
          <w:color w:val="242424"/>
        </w:rPr>
        <w:t xml:space="preserve"> </w:t>
      </w:r>
      <w:r w:rsidR="007429A0">
        <w:rPr>
          <w:rFonts w:eastAsia="Calibri" w:cs="Calibri"/>
          <w:color w:val="242424"/>
        </w:rPr>
        <w:t>average lapse time</w:t>
      </w:r>
      <w:r w:rsidR="00755BF2">
        <w:rPr>
          <w:rFonts w:eastAsia="Calibri" w:cs="Calibri"/>
          <w:color w:val="242424"/>
        </w:rPr>
        <w:t>s</w:t>
      </w:r>
      <w:r w:rsidR="007429A0">
        <w:rPr>
          <w:rFonts w:eastAsia="Calibri" w:cs="Calibri"/>
          <w:color w:val="242424"/>
        </w:rPr>
        <w:t xml:space="preserve"> for safety and health inspections</w:t>
      </w:r>
      <w:r w:rsidR="00755BF2">
        <w:rPr>
          <w:rFonts w:eastAsia="Calibri" w:cs="Calibri"/>
          <w:color w:val="242424"/>
        </w:rPr>
        <w:t xml:space="preserve">.  Lastly, </w:t>
      </w:r>
      <w:r w:rsidR="0019355C">
        <w:rPr>
          <w:rFonts w:eastAsia="Calibri" w:cs="Calibri"/>
          <w:color w:val="242424"/>
        </w:rPr>
        <w:t xml:space="preserve">the average </w:t>
      </w:r>
      <w:r w:rsidR="003717B7">
        <w:rPr>
          <w:rFonts w:eastAsia="Calibri" w:cs="Calibri"/>
          <w:color w:val="242424"/>
        </w:rPr>
        <w:t>response times to initiate c</w:t>
      </w:r>
      <w:r>
        <w:rPr>
          <w:rFonts w:eastAsia="Calibri" w:cs="Calibri"/>
          <w:color w:val="242424"/>
        </w:rPr>
        <w:t>omplaint inspections and investigations</w:t>
      </w:r>
      <w:r w:rsidR="00970718">
        <w:rPr>
          <w:rFonts w:eastAsia="Calibri" w:cs="Calibri"/>
          <w:color w:val="242424"/>
        </w:rPr>
        <w:t xml:space="preserve"> </w:t>
      </w:r>
      <w:r w:rsidR="0019355C">
        <w:rPr>
          <w:rFonts w:eastAsia="Calibri" w:cs="Calibri"/>
          <w:color w:val="242424"/>
        </w:rPr>
        <w:t>surged</w:t>
      </w:r>
      <w:r w:rsidR="00177682">
        <w:rPr>
          <w:rFonts w:eastAsia="Calibri" w:cs="Calibri"/>
          <w:color w:val="242424"/>
        </w:rPr>
        <w:t xml:space="preserve">, which was a result of </w:t>
      </w:r>
      <w:r w:rsidR="00B75BC0">
        <w:rPr>
          <w:rFonts w:eastAsia="Calibri" w:cs="Calibri"/>
          <w:color w:val="242424"/>
        </w:rPr>
        <w:t xml:space="preserve">ADOSH’s action to resolve </w:t>
      </w:r>
      <w:r w:rsidR="00E365FD">
        <w:rPr>
          <w:rFonts w:eastAsia="Calibri" w:cs="Calibri"/>
          <w:color w:val="242424"/>
        </w:rPr>
        <w:t xml:space="preserve">over 1,000 complaints that </w:t>
      </w:r>
      <w:r w:rsidR="00B4200A">
        <w:rPr>
          <w:rFonts w:eastAsia="Calibri" w:cs="Calibri"/>
          <w:color w:val="242424"/>
        </w:rPr>
        <w:t xml:space="preserve">were </w:t>
      </w:r>
      <w:r w:rsidR="007B09E0">
        <w:rPr>
          <w:rFonts w:eastAsia="Calibri" w:cs="Calibri"/>
          <w:color w:val="242424"/>
        </w:rPr>
        <w:t xml:space="preserve">found in the Special Study to </w:t>
      </w:r>
      <w:r w:rsidR="00B4200A">
        <w:rPr>
          <w:rFonts w:eastAsia="Calibri" w:cs="Calibri"/>
          <w:color w:val="242424"/>
        </w:rPr>
        <w:t>have not</w:t>
      </w:r>
      <w:r w:rsidR="00E365FD">
        <w:rPr>
          <w:rFonts w:eastAsia="Calibri" w:cs="Calibri"/>
          <w:color w:val="242424"/>
        </w:rPr>
        <w:t xml:space="preserve"> </w:t>
      </w:r>
      <w:r w:rsidR="00717BA1">
        <w:rPr>
          <w:rFonts w:eastAsia="Calibri" w:cs="Calibri"/>
          <w:color w:val="242424"/>
        </w:rPr>
        <w:t xml:space="preserve">been </w:t>
      </w:r>
      <w:r w:rsidR="00E365FD">
        <w:rPr>
          <w:rFonts w:eastAsia="Calibri" w:cs="Calibri"/>
          <w:color w:val="242424"/>
        </w:rPr>
        <w:t>processed</w:t>
      </w:r>
      <w:r w:rsidR="0019355C">
        <w:rPr>
          <w:rFonts w:eastAsia="Calibri" w:cs="Calibri"/>
          <w:color w:val="242424"/>
        </w:rPr>
        <w:t>.</w:t>
      </w:r>
      <w:r w:rsidR="00D13A13">
        <w:rPr>
          <w:rFonts w:eastAsia="Calibri" w:cs="Calibri"/>
          <w:color w:val="242424"/>
        </w:rPr>
        <w:t xml:space="preserve"> </w:t>
      </w:r>
      <w:r w:rsidR="0019355C">
        <w:rPr>
          <w:rFonts w:eastAsia="Calibri" w:cs="Calibri"/>
          <w:color w:val="242424"/>
        </w:rPr>
        <w:t xml:space="preserve"> </w:t>
      </w:r>
    </w:p>
    <w:p w14:paraId="1C04F4EE" w14:textId="77777777" w:rsidR="006538A1" w:rsidRDefault="006538A1" w:rsidP="000B58F1"/>
    <w:p w14:paraId="1E19FBCB" w14:textId="1E241341" w:rsidR="00BD3862" w:rsidRDefault="00D6430B" w:rsidP="000B58F1">
      <w:r>
        <w:rPr>
          <w:rFonts w:eastAsia="Calibri" w:cs="Calibri"/>
        </w:rPr>
        <w:t>Overall, the</w:t>
      </w:r>
      <w:r w:rsidRPr="45A38A98">
        <w:rPr>
          <w:rFonts w:eastAsia="Calibri" w:cs="Calibri"/>
        </w:rPr>
        <w:t xml:space="preserve"> </w:t>
      </w:r>
      <w:r w:rsidR="00531D44" w:rsidRPr="45A38A98">
        <w:rPr>
          <w:rFonts w:eastAsia="Calibri" w:cs="Calibri"/>
        </w:rPr>
        <w:t xml:space="preserve">Arizona </w:t>
      </w:r>
      <w:r w:rsidR="4782476F" w:rsidRPr="45A38A98">
        <w:rPr>
          <w:rFonts w:eastAsia="Calibri" w:cs="Calibri"/>
        </w:rPr>
        <w:t xml:space="preserve">State Plan made progress to address the previous </w:t>
      </w:r>
      <w:r w:rsidR="00BA4822">
        <w:rPr>
          <w:rFonts w:eastAsia="Calibri" w:cs="Calibri"/>
        </w:rPr>
        <w:t xml:space="preserve">eight </w:t>
      </w:r>
      <w:r w:rsidR="4782476F" w:rsidRPr="45A38A98">
        <w:rPr>
          <w:rFonts w:eastAsia="Calibri" w:cs="Calibri"/>
        </w:rPr>
        <w:t xml:space="preserve">findings and </w:t>
      </w:r>
      <w:r w:rsidR="00BA4822">
        <w:rPr>
          <w:rFonts w:eastAsia="Calibri" w:cs="Calibri"/>
        </w:rPr>
        <w:t>three</w:t>
      </w:r>
      <w:r w:rsidR="4782476F" w:rsidRPr="45A38A98">
        <w:rPr>
          <w:rFonts w:eastAsia="Calibri" w:cs="Calibri"/>
        </w:rPr>
        <w:t xml:space="preserve"> observations from the FY 202</w:t>
      </w:r>
      <w:r w:rsidR="00073450">
        <w:rPr>
          <w:rFonts w:eastAsia="Calibri" w:cs="Calibri"/>
        </w:rPr>
        <w:t>3</w:t>
      </w:r>
      <w:r w:rsidR="4782476F" w:rsidRPr="45A38A98">
        <w:rPr>
          <w:rFonts w:eastAsia="Calibri" w:cs="Calibri"/>
        </w:rPr>
        <w:t xml:space="preserve"> Comprehensive FAME </w:t>
      </w:r>
      <w:r w:rsidR="00C83906">
        <w:rPr>
          <w:rFonts w:eastAsia="Calibri" w:cs="Calibri"/>
        </w:rPr>
        <w:t>r</w:t>
      </w:r>
      <w:r w:rsidR="4782476F" w:rsidRPr="45A38A98">
        <w:rPr>
          <w:rFonts w:eastAsia="Calibri" w:cs="Calibri"/>
        </w:rPr>
        <w:t xml:space="preserve">eport. </w:t>
      </w:r>
      <w:r w:rsidR="005C2FCF" w:rsidRPr="45A38A98">
        <w:rPr>
          <w:rFonts w:eastAsia="Calibri" w:cs="Calibri"/>
        </w:rPr>
        <w:t xml:space="preserve"> </w:t>
      </w:r>
      <w:r w:rsidR="00586BE9">
        <w:rPr>
          <w:rFonts w:eastAsia="Calibri" w:cs="Calibri"/>
        </w:rPr>
        <w:t>In FY 202</w:t>
      </w:r>
      <w:r w:rsidR="00654A73">
        <w:rPr>
          <w:rFonts w:eastAsia="Calibri" w:cs="Calibri"/>
        </w:rPr>
        <w:t>4</w:t>
      </w:r>
      <w:r w:rsidR="00586BE9">
        <w:rPr>
          <w:rFonts w:eastAsia="Calibri" w:cs="Calibri"/>
        </w:rPr>
        <w:t xml:space="preserve">, </w:t>
      </w:r>
      <w:r w:rsidR="0081075A">
        <w:rPr>
          <w:rFonts w:eastAsia="Calibri" w:cs="Calibri"/>
        </w:rPr>
        <w:t>three of the eight</w:t>
      </w:r>
      <w:r w:rsidR="4782476F" w:rsidRPr="45A38A98">
        <w:rPr>
          <w:rFonts w:eastAsia="Calibri" w:cs="Calibri"/>
        </w:rPr>
        <w:t xml:space="preserve"> finding</w:t>
      </w:r>
      <w:r w:rsidR="67D13EF0" w:rsidRPr="45A38A98">
        <w:rPr>
          <w:rFonts w:eastAsia="Calibri" w:cs="Calibri"/>
        </w:rPr>
        <w:t>s</w:t>
      </w:r>
      <w:r w:rsidR="4782476F" w:rsidRPr="45A38A98">
        <w:rPr>
          <w:rFonts w:eastAsia="Calibri" w:cs="Calibri"/>
        </w:rPr>
        <w:t xml:space="preserve"> were completed</w:t>
      </w:r>
      <w:r w:rsidR="0011063A">
        <w:rPr>
          <w:rFonts w:eastAsia="Calibri" w:cs="Calibri"/>
        </w:rPr>
        <w:t>,</w:t>
      </w:r>
      <w:r w:rsidR="003032A6" w:rsidRPr="45A38A98">
        <w:rPr>
          <w:rFonts w:eastAsia="Calibri" w:cs="Calibri"/>
        </w:rPr>
        <w:t xml:space="preserve"> </w:t>
      </w:r>
      <w:r w:rsidR="00C8127A">
        <w:rPr>
          <w:rFonts w:eastAsia="Calibri" w:cs="Calibri"/>
        </w:rPr>
        <w:t>one was closed, and four were continued</w:t>
      </w:r>
      <w:r w:rsidR="00F649AD">
        <w:rPr>
          <w:rFonts w:eastAsia="Calibri" w:cs="Calibri"/>
        </w:rPr>
        <w:t xml:space="preserve">.  </w:t>
      </w:r>
      <w:r w:rsidR="00B23352">
        <w:rPr>
          <w:rFonts w:eastAsia="Calibri" w:cs="Calibri"/>
        </w:rPr>
        <w:t xml:space="preserve">In addition, two of three previous observations were </w:t>
      </w:r>
      <w:r w:rsidR="004D6C08">
        <w:rPr>
          <w:rFonts w:eastAsia="Calibri" w:cs="Calibri"/>
        </w:rPr>
        <w:t>closed,</w:t>
      </w:r>
      <w:r w:rsidR="00CD5282">
        <w:rPr>
          <w:rFonts w:eastAsia="Calibri" w:cs="Calibri"/>
        </w:rPr>
        <w:t xml:space="preserve"> and one was continued.  </w:t>
      </w:r>
      <w:r w:rsidR="004532CD">
        <w:rPr>
          <w:rFonts w:eastAsia="Calibri" w:cs="Calibri"/>
        </w:rPr>
        <w:t>N</w:t>
      </w:r>
      <w:r w:rsidR="00A44CD2">
        <w:rPr>
          <w:rFonts w:eastAsia="Calibri" w:cs="Calibri"/>
        </w:rPr>
        <w:t>o new findings</w:t>
      </w:r>
      <w:r w:rsidR="004532CD">
        <w:rPr>
          <w:rFonts w:eastAsia="Calibri" w:cs="Calibri"/>
        </w:rPr>
        <w:t xml:space="preserve"> resulted</w:t>
      </w:r>
      <w:r w:rsidR="00A44CD2">
        <w:rPr>
          <w:rFonts w:eastAsia="Calibri" w:cs="Calibri"/>
        </w:rPr>
        <w:t xml:space="preserve">; however, two </w:t>
      </w:r>
      <w:r w:rsidR="00CD5282">
        <w:rPr>
          <w:rFonts w:eastAsia="Calibri" w:cs="Calibri"/>
        </w:rPr>
        <w:t>new observations</w:t>
      </w:r>
      <w:r w:rsidR="00A44CD2">
        <w:rPr>
          <w:rFonts w:eastAsia="Calibri" w:cs="Calibri"/>
        </w:rPr>
        <w:t xml:space="preserve"> were identified</w:t>
      </w:r>
      <w:r w:rsidR="00CD5282">
        <w:rPr>
          <w:rFonts w:eastAsia="Calibri" w:cs="Calibri"/>
        </w:rPr>
        <w:t xml:space="preserve"> that </w:t>
      </w:r>
      <w:r w:rsidR="004D6C08">
        <w:rPr>
          <w:rFonts w:eastAsia="Calibri" w:cs="Calibri"/>
        </w:rPr>
        <w:t>require Arizona’s attention</w:t>
      </w:r>
      <w:r w:rsidR="006705E2">
        <w:rPr>
          <w:rFonts w:eastAsia="Calibri" w:cs="Calibri"/>
        </w:rPr>
        <w:t xml:space="preserve"> and will be monitored </w:t>
      </w:r>
      <w:r w:rsidR="00A9068B">
        <w:rPr>
          <w:rFonts w:eastAsia="Calibri" w:cs="Calibri"/>
        </w:rPr>
        <w:t>into</w:t>
      </w:r>
      <w:r w:rsidR="006705E2">
        <w:rPr>
          <w:rFonts w:eastAsia="Calibri" w:cs="Calibri"/>
        </w:rPr>
        <w:t xml:space="preserve"> FY 2025</w:t>
      </w:r>
      <w:r w:rsidR="004D6C08">
        <w:rPr>
          <w:rFonts w:eastAsia="Calibri" w:cs="Calibri"/>
        </w:rPr>
        <w:t xml:space="preserve">.  </w:t>
      </w:r>
    </w:p>
    <w:p w14:paraId="13E8FFCC" w14:textId="77777777" w:rsidR="00CD1FD3" w:rsidRDefault="00CD1FD3" w:rsidP="000B58F1"/>
    <w:p w14:paraId="67E95E6F" w14:textId="6755D6C3" w:rsidR="000A134A" w:rsidRPr="001C1E47" w:rsidRDefault="001E71BA" w:rsidP="002D09AF">
      <w:pPr>
        <w:pStyle w:val="Heading2"/>
      </w:pPr>
      <w:bookmarkStart w:id="7" w:name="_Toc118900171"/>
      <w:bookmarkStart w:id="8" w:name="_Toc118905010"/>
      <w:bookmarkStart w:id="9" w:name="_Toc190424176"/>
      <w:r w:rsidRPr="001C1E47">
        <w:t>State Plan Background</w:t>
      </w:r>
      <w:bookmarkEnd w:id="7"/>
      <w:bookmarkEnd w:id="8"/>
      <w:bookmarkEnd w:id="9"/>
    </w:p>
    <w:p w14:paraId="7ED8AA2D" w14:textId="698C9610" w:rsidR="000A134A" w:rsidRDefault="000A134A" w:rsidP="000B58F1">
      <w:pPr>
        <w:widowControl/>
        <w:autoSpaceDE/>
        <w:autoSpaceDN/>
        <w:adjustRightInd/>
        <w:rPr>
          <w:rFonts w:cs="Calibri"/>
          <w:iCs/>
        </w:rPr>
      </w:pPr>
    </w:p>
    <w:p w14:paraId="24BE63E7" w14:textId="044D20A4" w:rsidR="7BA74BA4" w:rsidRDefault="0F4116CB" w:rsidP="11F2FBC7">
      <w:pPr>
        <w:spacing w:line="259" w:lineRule="auto"/>
      </w:pPr>
      <w:r w:rsidRPr="11F2FBC7">
        <w:rPr>
          <w:rFonts w:eastAsia="Calibri" w:cs="Calibri"/>
        </w:rPr>
        <w:t xml:space="preserve">The </w:t>
      </w:r>
      <w:r w:rsidR="00EE598B" w:rsidRPr="11F2FBC7">
        <w:rPr>
          <w:rFonts w:eastAsia="Calibri" w:cs="Calibri"/>
        </w:rPr>
        <w:t>S</w:t>
      </w:r>
      <w:r w:rsidRPr="11F2FBC7">
        <w:rPr>
          <w:rFonts w:eastAsia="Calibri" w:cs="Calibri"/>
        </w:rPr>
        <w:t xml:space="preserve">tate of Arizona operates an occupational safety and health program administered by ADOSH under the Industrial Commission of Arizona (ICA).  </w:t>
      </w:r>
      <w:r w:rsidR="00540EAA" w:rsidRPr="11F2FBC7">
        <w:rPr>
          <w:rFonts w:eastAsia="Calibri" w:cs="Calibri"/>
        </w:rPr>
        <w:t>Gaet</w:t>
      </w:r>
      <w:r w:rsidR="00E944DD" w:rsidRPr="11F2FBC7">
        <w:rPr>
          <w:rFonts w:eastAsia="Calibri" w:cs="Calibri"/>
        </w:rPr>
        <w:t xml:space="preserve">ano Testini </w:t>
      </w:r>
      <w:r w:rsidRPr="11F2FBC7">
        <w:rPr>
          <w:rFonts w:eastAsia="Calibri" w:cs="Calibri"/>
        </w:rPr>
        <w:t xml:space="preserve">served as the </w:t>
      </w:r>
      <w:r w:rsidR="00FB561D" w:rsidRPr="11F2FBC7">
        <w:rPr>
          <w:rFonts w:eastAsia="Calibri" w:cs="Calibri"/>
        </w:rPr>
        <w:t xml:space="preserve">Executive Deputy </w:t>
      </w:r>
      <w:r w:rsidRPr="11F2FBC7">
        <w:rPr>
          <w:rFonts w:eastAsia="Calibri" w:cs="Calibri"/>
        </w:rPr>
        <w:t xml:space="preserve">Director of the ICA and the State Plan Designee.  </w:t>
      </w:r>
      <w:r w:rsidR="0084731A" w:rsidRPr="11F2FBC7">
        <w:rPr>
          <w:rFonts w:eastAsia="Calibri" w:cs="Calibri"/>
        </w:rPr>
        <w:t xml:space="preserve">Mark Norton </w:t>
      </w:r>
      <w:r w:rsidRPr="11F2FBC7">
        <w:rPr>
          <w:rFonts w:eastAsia="Calibri" w:cs="Calibri"/>
        </w:rPr>
        <w:t>served as the Director for the ADOSH program</w:t>
      </w:r>
      <w:r w:rsidR="0084731A" w:rsidRPr="11F2FBC7">
        <w:rPr>
          <w:rFonts w:eastAsia="Calibri" w:cs="Calibri"/>
        </w:rPr>
        <w:t xml:space="preserve"> until </w:t>
      </w:r>
      <w:r w:rsidR="007A40E4" w:rsidRPr="11F2FBC7">
        <w:rPr>
          <w:rFonts w:eastAsia="Calibri" w:cs="Calibri"/>
        </w:rPr>
        <w:t>December 2023</w:t>
      </w:r>
      <w:r w:rsidR="003F76C9">
        <w:rPr>
          <w:rFonts w:eastAsia="Calibri" w:cs="Calibri"/>
        </w:rPr>
        <w:t xml:space="preserve">; </w:t>
      </w:r>
      <w:r w:rsidR="00781075" w:rsidRPr="11F2FBC7">
        <w:rPr>
          <w:rFonts w:eastAsia="Calibri" w:cs="Calibri"/>
        </w:rPr>
        <w:t>Phil Murphy</w:t>
      </w:r>
      <w:r w:rsidR="003425F2" w:rsidRPr="11F2FBC7">
        <w:rPr>
          <w:rFonts w:eastAsia="Calibri" w:cs="Calibri"/>
        </w:rPr>
        <w:t xml:space="preserve">, </w:t>
      </w:r>
      <w:r w:rsidR="00410FD8">
        <w:rPr>
          <w:rFonts w:eastAsia="Calibri" w:cs="Calibri"/>
        </w:rPr>
        <w:t>Assistant</w:t>
      </w:r>
      <w:r w:rsidR="00410FD8" w:rsidRPr="11F2FBC7">
        <w:rPr>
          <w:rFonts w:eastAsia="Calibri" w:cs="Calibri"/>
        </w:rPr>
        <w:t xml:space="preserve"> </w:t>
      </w:r>
      <w:r w:rsidR="003425F2" w:rsidRPr="11F2FBC7">
        <w:rPr>
          <w:rFonts w:eastAsia="Calibri" w:cs="Calibri"/>
        </w:rPr>
        <w:t xml:space="preserve">Director for Compliance, </w:t>
      </w:r>
      <w:r w:rsidR="00781075" w:rsidRPr="11F2FBC7">
        <w:rPr>
          <w:rFonts w:eastAsia="Calibri" w:cs="Calibri"/>
        </w:rPr>
        <w:t xml:space="preserve">served as the </w:t>
      </w:r>
      <w:r w:rsidR="003425F2" w:rsidRPr="11F2FBC7">
        <w:rPr>
          <w:rFonts w:eastAsia="Calibri" w:cs="Calibri"/>
        </w:rPr>
        <w:t xml:space="preserve">Interim Director until </w:t>
      </w:r>
      <w:r w:rsidR="003F76C9">
        <w:rPr>
          <w:rFonts w:eastAsia="Calibri" w:cs="Calibri"/>
        </w:rPr>
        <w:t xml:space="preserve">April 2024 when </w:t>
      </w:r>
      <w:r w:rsidR="007A40E4" w:rsidRPr="11F2FBC7">
        <w:rPr>
          <w:rFonts w:eastAsia="Calibri" w:cs="Calibri"/>
        </w:rPr>
        <w:t xml:space="preserve">Brian Hudson was appointed </w:t>
      </w:r>
      <w:r w:rsidR="003F76C9">
        <w:rPr>
          <w:rFonts w:eastAsia="Calibri" w:cs="Calibri"/>
        </w:rPr>
        <w:t>as the ADOSH Director</w:t>
      </w:r>
      <w:r w:rsidR="7D02813B" w:rsidRPr="11F2FBC7">
        <w:rPr>
          <w:rFonts w:eastAsia="Calibri" w:cs="Calibri"/>
        </w:rPr>
        <w:t xml:space="preserve">.  </w:t>
      </w:r>
      <w:r w:rsidR="46C1C968" w:rsidRPr="11F2FBC7">
        <w:rPr>
          <w:rFonts w:eastAsia="Calibri" w:cs="Calibri"/>
        </w:rPr>
        <w:t xml:space="preserve">Steve Morgan </w:t>
      </w:r>
      <w:r w:rsidR="3CF6FE25" w:rsidRPr="11F2FBC7">
        <w:rPr>
          <w:rFonts w:eastAsia="Calibri" w:cs="Calibri"/>
        </w:rPr>
        <w:t xml:space="preserve">was the </w:t>
      </w:r>
      <w:r w:rsidR="00410FD8">
        <w:rPr>
          <w:rFonts w:eastAsia="Calibri" w:cs="Calibri"/>
        </w:rPr>
        <w:t>Assistant</w:t>
      </w:r>
      <w:r w:rsidR="00410FD8" w:rsidRPr="11F2FBC7">
        <w:rPr>
          <w:rFonts w:eastAsia="Calibri" w:cs="Calibri"/>
        </w:rPr>
        <w:t xml:space="preserve"> </w:t>
      </w:r>
      <w:r w:rsidR="3CF6FE25" w:rsidRPr="11F2FBC7">
        <w:rPr>
          <w:rFonts w:eastAsia="Calibri" w:cs="Calibri"/>
        </w:rPr>
        <w:t xml:space="preserve">Director for the </w:t>
      </w:r>
      <w:r w:rsidR="005A3D0F">
        <w:rPr>
          <w:rFonts w:eastAsia="Calibri" w:cs="Calibri"/>
        </w:rPr>
        <w:t>C</w:t>
      </w:r>
      <w:r w:rsidR="005A3D0F" w:rsidRPr="11F2FBC7">
        <w:rPr>
          <w:rFonts w:eastAsia="Calibri" w:cs="Calibri"/>
        </w:rPr>
        <w:t xml:space="preserve">onsultation </w:t>
      </w:r>
      <w:r w:rsidR="00752AD0" w:rsidRPr="11F2FBC7">
        <w:rPr>
          <w:rFonts w:eastAsia="Calibri" w:cs="Calibri"/>
        </w:rPr>
        <w:t xml:space="preserve">until his resignation in </w:t>
      </w:r>
      <w:r w:rsidR="00234A29" w:rsidRPr="11F2FBC7">
        <w:rPr>
          <w:rFonts w:eastAsia="Calibri" w:cs="Calibri"/>
        </w:rPr>
        <w:t>March of 2024.</w:t>
      </w:r>
      <w:r w:rsidR="00752AD0" w:rsidRPr="11F2FBC7">
        <w:rPr>
          <w:rFonts w:eastAsia="Calibri" w:cs="Calibri"/>
        </w:rPr>
        <w:t xml:space="preserve">  </w:t>
      </w:r>
      <w:r w:rsidR="000B45E7" w:rsidRPr="11F2FBC7">
        <w:rPr>
          <w:rFonts w:eastAsia="Calibri" w:cs="Calibri"/>
        </w:rPr>
        <w:t xml:space="preserve">Bryce Rucker was appointed as the </w:t>
      </w:r>
      <w:r w:rsidR="00372B6F">
        <w:rPr>
          <w:rFonts w:eastAsia="Calibri" w:cs="Calibri"/>
        </w:rPr>
        <w:t>Assistant</w:t>
      </w:r>
      <w:r w:rsidR="0EFC557A" w:rsidRPr="11F2FBC7">
        <w:rPr>
          <w:rFonts w:eastAsia="Calibri" w:cs="Calibri"/>
        </w:rPr>
        <w:t xml:space="preserve"> </w:t>
      </w:r>
      <w:r w:rsidR="000B45E7" w:rsidRPr="11F2FBC7">
        <w:rPr>
          <w:rFonts w:eastAsia="Calibri" w:cs="Calibri"/>
        </w:rPr>
        <w:t xml:space="preserve">Director for </w:t>
      </w:r>
      <w:r w:rsidR="003F76C9">
        <w:rPr>
          <w:rFonts w:eastAsia="Calibri" w:cs="Calibri"/>
        </w:rPr>
        <w:t>C</w:t>
      </w:r>
      <w:r w:rsidR="000B45E7" w:rsidRPr="11F2FBC7">
        <w:rPr>
          <w:rFonts w:eastAsia="Calibri" w:cs="Calibri"/>
        </w:rPr>
        <w:t xml:space="preserve">onsultation in </w:t>
      </w:r>
      <w:r w:rsidR="27FC3334" w:rsidRPr="11F2FBC7">
        <w:rPr>
          <w:rFonts w:eastAsia="Calibri" w:cs="Calibri"/>
        </w:rPr>
        <w:t xml:space="preserve">August </w:t>
      </w:r>
      <w:r w:rsidR="00EE598B" w:rsidRPr="11F2FBC7">
        <w:rPr>
          <w:rFonts w:eastAsia="Calibri" w:cs="Calibri"/>
        </w:rPr>
        <w:t>2024.</w:t>
      </w:r>
      <w:r w:rsidR="3CF6FE25" w:rsidRPr="11F2FBC7">
        <w:rPr>
          <w:rFonts w:eastAsia="Calibri" w:cs="Calibri"/>
        </w:rPr>
        <w:t xml:space="preserve"> </w:t>
      </w:r>
      <w:r w:rsidR="00372B6F">
        <w:rPr>
          <w:rFonts w:eastAsia="Calibri" w:cs="Calibri"/>
        </w:rPr>
        <w:t>Brandt Smith served as the Assistant Director of Administration</w:t>
      </w:r>
      <w:r w:rsidR="006D173C">
        <w:rPr>
          <w:rFonts w:eastAsia="Calibri" w:cs="Calibri"/>
        </w:rPr>
        <w:t xml:space="preserve">.  </w:t>
      </w:r>
    </w:p>
    <w:p w14:paraId="6EA19C8B" w14:textId="3A5CA124" w:rsidR="7BA74BA4" w:rsidRDefault="7BA74BA4" w:rsidP="000B58F1">
      <w:r w:rsidRPr="090008D6">
        <w:rPr>
          <w:rFonts w:eastAsia="Calibri" w:cs="Calibri"/>
        </w:rPr>
        <w:t xml:space="preserve"> </w:t>
      </w:r>
    </w:p>
    <w:p w14:paraId="3938DD7D" w14:textId="0FFE4283" w:rsidR="7BA74BA4" w:rsidRDefault="7BA74BA4" w:rsidP="000B58F1">
      <w:r w:rsidRPr="45A38A98">
        <w:rPr>
          <w:rFonts w:eastAsia="Calibri" w:cs="Calibri"/>
        </w:rPr>
        <w:t>ADOSH’s organizational units include Administration</w:t>
      </w:r>
      <w:r w:rsidR="00274EC5" w:rsidRPr="45A38A98">
        <w:rPr>
          <w:rFonts w:eastAsia="Calibri" w:cs="Calibri"/>
        </w:rPr>
        <w:t>;</w:t>
      </w:r>
      <w:r w:rsidRPr="45A38A98">
        <w:rPr>
          <w:rFonts w:eastAsia="Calibri" w:cs="Calibri"/>
        </w:rPr>
        <w:t xml:space="preserve"> Safety</w:t>
      </w:r>
      <w:r w:rsidR="0095520A" w:rsidRPr="45A38A98">
        <w:rPr>
          <w:rFonts w:eastAsia="Calibri" w:cs="Calibri"/>
        </w:rPr>
        <w:t xml:space="preserve"> </w:t>
      </w:r>
      <w:r w:rsidR="00350A54">
        <w:rPr>
          <w:rFonts w:eastAsia="Calibri" w:cs="Calibri"/>
        </w:rPr>
        <w:t xml:space="preserve">and Health </w:t>
      </w:r>
      <w:r w:rsidR="0095520A" w:rsidRPr="45A38A98">
        <w:rPr>
          <w:rFonts w:eastAsia="Calibri" w:cs="Calibri"/>
        </w:rPr>
        <w:t>Compliance</w:t>
      </w:r>
      <w:r w:rsidR="00274EC5" w:rsidRPr="45A38A98">
        <w:rPr>
          <w:rFonts w:eastAsia="Calibri" w:cs="Calibri"/>
        </w:rPr>
        <w:t>;</w:t>
      </w:r>
      <w:r w:rsidR="310BD983" w:rsidRPr="45A38A98">
        <w:rPr>
          <w:rFonts w:eastAsia="Calibri" w:cs="Calibri"/>
        </w:rPr>
        <w:t xml:space="preserve"> </w:t>
      </w:r>
      <w:r w:rsidR="0095520A" w:rsidRPr="45A38A98">
        <w:rPr>
          <w:rFonts w:eastAsia="Calibri" w:cs="Calibri"/>
        </w:rPr>
        <w:t>Whistleblower</w:t>
      </w:r>
      <w:r w:rsidR="00274EC5" w:rsidRPr="45A38A98">
        <w:rPr>
          <w:rFonts w:eastAsia="Calibri" w:cs="Calibri"/>
        </w:rPr>
        <w:t>;</w:t>
      </w:r>
      <w:r w:rsidR="0095520A" w:rsidRPr="45A38A98">
        <w:rPr>
          <w:rFonts w:eastAsia="Calibri" w:cs="Calibri"/>
        </w:rPr>
        <w:t xml:space="preserve"> </w:t>
      </w:r>
      <w:r w:rsidRPr="45A38A98">
        <w:rPr>
          <w:rFonts w:eastAsia="Calibri" w:cs="Calibri"/>
        </w:rPr>
        <w:t>Consultation</w:t>
      </w:r>
      <w:r w:rsidR="0095520A" w:rsidRPr="45A38A98">
        <w:rPr>
          <w:rFonts w:eastAsia="Calibri" w:cs="Calibri"/>
        </w:rPr>
        <w:t>, Education, and Training (CET)</w:t>
      </w:r>
      <w:r w:rsidR="00274EC5" w:rsidRPr="45A38A98">
        <w:rPr>
          <w:rFonts w:eastAsia="Calibri" w:cs="Calibri"/>
        </w:rPr>
        <w:t>;</w:t>
      </w:r>
      <w:r w:rsidRPr="45A38A98">
        <w:rPr>
          <w:rFonts w:eastAsia="Calibri" w:cs="Calibri"/>
        </w:rPr>
        <w:t xml:space="preserve"> Boiler </w:t>
      </w:r>
      <w:r w:rsidR="0095520A" w:rsidRPr="45A38A98">
        <w:rPr>
          <w:rFonts w:eastAsia="Calibri" w:cs="Calibri"/>
        </w:rPr>
        <w:t xml:space="preserve">and </w:t>
      </w:r>
      <w:r w:rsidRPr="45A38A98">
        <w:rPr>
          <w:rFonts w:eastAsia="Calibri" w:cs="Calibri"/>
        </w:rPr>
        <w:t>Elevator Safety</w:t>
      </w:r>
      <w:r w:rsidR="00274EC5" w:rsidRPr="45A38A98">
        <w:rPr>
          <w:rFonts w:eastAsia="Calibri" w:cs="Calibri"/>
        </w:rPr>
        <w:t>;</w:t>
      </w:r>
      <w:r w:rsidRPr="45A38A98">
        <w:rPr>
          <w:rFonts w:eastAsia="Calibri" w:cs="Calibri"/>
        </w:rPr>
        <w:t xml:space="preserve"> </w:t>
      </w:r>
      <w:r w:rsidR="006A3BA4" w:rsidRPr="45A38A98">
        <w:rPr>
          <w:rFonts w:eastAsia="Calibri" w:cs="Calibri"/>
        </w:rPr>
        <w:t xml:space="preserve">and </w:t>
      </w:r>
      <w:r w:rsidRPr="45A38A98">
        <w:rPr>
          <w:rFonts w:eastAsia="Calibri" w:cs="Calibri"/>
        </w:rPr>
        <w:t xml:space="preserve">Research and Statistics.  </w:t>
      </w:r>
      <w:r w:rsidR="004D0CEB" w:rsidRPr="45A38A98">
        <w:rPr>
          <w:rFonts w:eastAsia="Calibri" w:cs="Calibri"/>
        </w:rPr>
        <w:t xml:space="preserve">The </w:t>
      </w:r>
      <w:r w:rsidRPr="45A38A98">
        <w:rPr>
          <w:rFonts w:eastAsia="Calibri" w:cs="Calibri"/>
        </w:rPr>
        <w:t xml:space="preserve">Boiler </w:t>
      </w:r>
      <w:r w:rsidR="00A7259F" w:rsidRPr="45A38A98">
        <w:rPr>
          <w:rFonts w:eastAsia="Calibri" w:cs="Calibri"/>
        </w:rPr>
        <w:t xml:space="preserve">and </w:t>
      </w:r>
      <w:r w:rsidRPr="45A38A98">
        <w:rPr>
          <w:rFonts w:eastAsia="Calibri" w:cs="Calibri"/>
        </w:rPr>
        <w:t xml:space="preserve">Elevator Safety and the Research and Statistics units </w:t>
      </w:r>
      <w:r w:rsidR="009F557F">
        <w:rPr>
          <w:rFonts w:eastAsia="Calibri" w:cs="Calibri"/>
        </w:rPr>
        <w:t>were</w:t>
      </w:r>
      <w:r w:rsidR="00274EC5" w:rsidRPr="45A38A98">
        <w:rPr>
          <w:rFonts w:eastAsia="Calibri" w:cs="Calibri"/>
        </w:rPr>
        <w:t xml:space="preserve"> not funded under </w:t>
      </w:r>
      <w:r w:rsidR="006C06E0" w:rsidRPr="45A38A98">
        <w:rPr>
          <w:rFonts w:eastAsia="Calibri" w:cs="Calibri"/>
        </w:rPr>
        <w:t>OSHA grant</w:t>
      </w:r>
      <w:r w:rsidR="001356F0" w:rsidRPr="45A38A98">
        <w:rPr>
          <w:rFonts w:eastAsia="Calibri" w:cs="Calibri"/>
        </w:rPr>
        <w:t>s</w:t>
      </w:r>
      <w:r w:rsidR="006C06E0" w:rsidRPr="45A38A98">
        <w:rPr>
          <w:rFonts w:eastAsia="Calibri" w:cs="Calibri"/>
        </w:rPr>
        <w:t>.</w:t>
      </w:r>
      <w:r w:rsidRPr="45A38A98">
        <w:rPr>
          <w:rFonts w:eastAsia="Calibri" w:cs="Calibri"/>
        </w:rPr>
        <w:t xml:space="preserve"> </w:t>
      </w:r>
      <w:r w:rsidR="00444303">
        <w:rPr>
          <w:rFonts w:eastAsia="Calibri" w:cs="Calibri"/>
        </w:rPr>
        <w:t xml:space="preserve"> </w:t>
      </w:r>
      <w:r w:rsidR="003222CB">
        <w:rPr>
          <w:rFonts w:eastAsia="Calibri" w:cs="Calibri"/>
        </w:rPr>
        <w:t xml:space="preserve">ADOSH maintains two offices, one in Phoenix and the other in Tucson. </w:t>
      </w:r>
    </w:p>
    <w:p w14:paraId="44F401AB" w14:textId="03D6F201" w:rsidR="7BA74BA4" w:rsidRDefault="7BA74BA4" w:rsidP="000B58F1">
      <w:r w:rsidRPr="090008D6">
        <w:rPr>
          <w:rFonts w:eastAsia="Calibri" w:cs="Calibri"/>
        </w:rPr>
        <w:t xml:space="preserve"> </w:t>
      </w:r>
    </w:p>
    <w:p w14:paraId="6FC1739D" w14:textId="5A8BAC9F" w:rsidR="007C7BAA" w:rsidRDefault="00A5300E" w:rsidP="000B58F1">
      <w:r>
        <w:rPr>
          <w:rFonts w:eastAsia="Calibri" w:cs="Calibri"/>
          <w:color w:val="000000" w:themeColor="text1"/>
        </w:rPr>
        <w:t xml:space="preserve">According to the demographic profile </w:t>
      </w:r>
      <w:r w:rsidR="005E412A">
        <w:rPr>
          <w:rFonts w:eastAsia="Calibri" w:cs="Calibri"/>
          <w:color w:val="000000" w:themeColor="text1"/>
        </w:rPr>
        <w:t xml:space="preserve">in the FY 2024 23(g) grant application, there were approximately </w:t>
      </w:r>
      <w:r w:rsidR="00F26754">
        <w:rPr>
          <w:rFonts w:eastAsia="Calibri" w:cs="Calibri"/>
          <w:color w:val="000000" w:themeColor="text1"/>
        </w:rPr>
        <w:t xml:space="preserve">2,880,690 </w:t>
      </w:r>
      <w:r w:rsidR="000800E5">
        <w:rPr>
          <w:rFonts w:eastAsia="Calibri" w:cs="Calibri"/>
          <w:color w:val="000000" w:themeColor="text1"/>
        </w:rPr>
        <w:t xml:space="preserve">workers employed </w:t>
      </w:r>
      <w:r w:rsidR="00222DCA">
        <w:rPr>
          <w:rFonts w:eastAsia="Calibri" w:cs="Calibri"/>
          <w:color w:val="000000" w:themeColor="text1"/>
        </w:rPr>
        <w:t>in all occupations</w:t>
      </w:r>
      <w:r w:rsidR="00F327FB">
        <w:rPr>
          <w:rFonts w:eastAsia="Calibri" w:cs="Calibri"/>
          <w:color w:val="000000" w:themeColor="text1"/>
        </w:rPr>
        <w:t xml:space="preserve"> throughout Arizona</w:t>
      </w:r>
      <w:r w:rsidR="00222DCA">
        <w:rPr>
          <w:rFonts w:eastAsia="Calibri" w:cs="Calibri"/>
          <w:color w:val="000000" w:themeColor="text1"/>
        </w:rPr>
        <w:t xml:space="preserve">.  </w:t>
      </w:r>
      <w:r w:rsidR="007C7BAA" w:rsidRPr="56B52501">
        <w:rPr>
          <w:rFonts w:eastAsia="Calibri" w:cs="Calibri"/>
          <w:color w:val="000000" w:themeColor="text1"/>
        </w:rPr>
        <w:t>ADOSH</w:t>
      </w:r>
      <w:r w:rsidR="00222DCA">
        <w:rPr>
          <w:rFonts w:eastAsia="Calibri" w:cs="Calibri"/>
          <w:color w:val="000000" w:themeColor="text1"/>
        </w:rPr>
        <w:t>’s</w:t>
      </w:r>
      <w:r w:rsidR="007C7BAA" w:rsidRPr="56B52501">
        <w:rPr>
          <w:rFonts w:eastAsia="Calibri" w:cs="Calibri"/>
        </w:rPr>
        <w:t xml:space="preserve"> jurisdiction </w:t>
      </w:r>
      <w:r w:rsidR="007C7BAA" w:rsidRPr="56B52501">
        <w:rPr>
          <w:rFonts w:eastAsia="Calibri" w:cs="Calibri"/>
          <w:color w:val="000000" w:themeColor="text1"/>
        </w:rPr>
        <w:t>covers</w:t>
      </w:r>
      <w:r w:rsidR="00AD79C8" w:rsidRPr="56B52501">
        <w:rPr>
          <w:rFonts w:eastAsia="Calibri" w:cs="Calibri"/>
          <w:color w:val="000000" w:themeColor="text1"/>
        </w:rPr>
        <w:t xml:space="preserve"> </w:t>
      </w:r>
      <w:r w:rsidR="007C7BAA" w:rsidRPr="56B52501">
        <w:rPr>
          <w:rFonts w:eastAsia="Calibri" w:cs="Calibri"/>
          <w:color w:val="000000" w:themeColor="text1"/>
        </w:rPr>
        <w:t xml:space="preserve">nearly all private employers and </w:t>
      </w:r>
      <w:r w:rsidR="00955901" w:rsidRPr="56B52501">
        <w:rPr>
          <w:rFonts w:eastAsia="Calibri" w:cs="Calibri"/>
          <w:color w:val="000000" w:themeColor="text1"/>
        </w:rPr>
        <w:t xml:space="preserve">state and local government </w:t>
      </w:r>
      <w:r w:rsidR="007C7BAA" w:rsidRPr="56B52501">
        <w:rPr>
          <w:rFonts w:eastAsia="Calibri" w:cs="Calibri"/>
          <w:color w:val="000000" w:themeColor="text1"/>
        </w:rPr>
        <w:t>workplaces</w:t>
      </w:r>
      <w:r w:rsidR="00AD79C8" w:rsidRPr="56B52501">
        <w:rPr>
          <w:rFonts w:eastAsia="Calibri" w:cs="Calibri"/>
          <w:color w:val="000000" w:themeColor="text1"/>
        </w:rPr>
        <w:t xml:space="preserve"> </w:t>
      </w:r>
      <w:proofErr w:type="gramStart"/>
      <w:r w:rsidR="00AD79C8" w:rsidRPr="56B52501">
        <w:rPr>
          <w:rFonts w:eastAsia="Calibri" w:cs="Calibri"/>
          <w:color w:val="000000" w:themeColor="text1"/>
        </w:rPr>
        <w:t>with the exception of</w:t>
      </w:r>
      <w:proofErr w:type="gramEnd"/>
      <w:r w:rsidR="00AD79C8" w:rsidRPr="56B52501">
        <w:rPr>
          <w:rFonts w:eastAsia="Calibri" w:cs="Calibri"/>
          <w:color w:val="000000" w:themeColor="text1"/>
        </w:rPr>
        <w:t xml:space="preserve"> </w:t>
      </w:r>
      <w:r w:rsidR="007C7BAA" w:rsidRPr="56B52501">
        <w:rPr>
          <w:rFonts w:eastAsia="Calibri" w:cs="Calibri"/>
          <w:color w:val="000000" w:themeColor="text1"/>
        </w:rPr>
        <w:t>mining</w:t>
      </w:r>
      <w:r w:rsidR="00102FF2">
        <w:rPr>
          <w:rFonts w:eastAsia="Calibri" w:cs="Calibri"/>
          <w:color w:val="000000" w:themeColor="text1"/>
        </w:rPr>
        <w:t>,</w:t>
      </w:r>
      <w:r w:rsidR="007C7BAA" w:rsidRPr="56B52501">
        <w:rPr>
          <w:rFonts w:eastAsia="Calibri" w:cs="Calibri"/>
          <w:color w:val="000000" w:themeColor="text1"/>
        </w:rPr>
        <w:t xml:space="preserve"> smelters</w:t>
      </w:r>
      <w:r w:rsidR="00102FF2">
        <w:rPr>
          <w:rFonts w:eastAsia="Calibri" w:cs="Calibri"/>
          <w:color w:val="000000" w:themeColor="text1"/>
        </w:rPr>
        <w:t>,</w:t>
      </w:r>
      <w:r w:rsidR="007C7BAA" w:rsidRPr="56B52501">
        <w:rPr>
          <w:rFonts w:eastAsia="Calibri" w:cs="Calibri"/>
          <w:color w:val="000000" w:themeColor="text1"/>
        </w:rPr>
        <w:t xml:space="preserve"> batch plants</w:t>
      </w:r>
      <w:r w:rsidR="00102FF2">
        <w:rPr>
          <w:rFonts w:eastAsia="Calibri" w:cs="Calibri"/>
          <w:color w:val="000000" w:themeColor="text1"/>
        </w:rPr>
        <w:t>,</w:t>
      </w:r>
      <w:r w:rsidR="001356F0" w:rsidRPr="56B52501">
        <w:rPr>
          <w:rFonts w:eastAsia="Calibri" w:cs="Calibri"/>
          <w:color w:val="000000" w:themeColor="text1"/>
        </w:rPr>
        <w:t xml:space="preserve"> </w:t>
      </w:r>
      <w:r w:rsidR="00AD79C8" w:rsidRPr="56B52501">
        <w:rPr>
          <w:rFonts w:eastAsia="Calibri" w:cs="Calibri"/>
          <w:color w:val="000000" w:themeColor="text1"/>
        </w:rPr>
        <w:t>and</w:t>
      </w:r>
      <w:r w:rsidR="001356F0" w:rsidRPr="56B52501">
        <w:rPr>
          <w:rFonts w:eastAsia="Calibri" w:cs="Calibri"/>
          <w:color w:val="000000" w:themeColor="text1"/>
        </w:rPr>
        <w:t xml:space="preserve"> contract employees and contractor-operated facilities engaged in United States Postal Service mail operations</w:t>
      </w:r>
      <w:r w:rsidR="00590AE7" w:rsidRPr="56B52501">
        <w:rPr>
          <w:rFonts w:eastAsia="Calibri" w:cs="Calibri"/>
          <w:color w:val="000000" w:themeColor="text1"/>
        </w:rPr>
        <w:t>.</w:t>
      </w:r>
      <w:r w:rsidR="001356F0" w:rsidRPr="56B52501">
        <w:rPr>
          <w:rFonts w:eastAsia="Calibri" w:cs="Calibri"/>
          <w:color w:val="000000" w:themeColor="text1"/>
        </w:rPr>
        <w:t xml:space="preserve"> </w:t>
      </w:r>
      <w:r w:rsidR="007C7BAA" w:rsidRPr="56B52501">
        <w:rPr>
          <w:rFonts w:eastAsia="Calibri" w:cs="Calibri"/>
          <w:color w:val="000000" w:themeColor="text1"/>
        </w:rPr>
        <w:t xml:space="preserve"> </w:t>
      </w:r>
      <w:r w:rsidR="001356F0" w:rsidRPr="56B52501">
        <w:rPr>
          <w:rFonts w:eastAsia="Calibri" w:cs="Calibri"/>
          <w:color w:val="000000" w:themeColor="text1"/>
        </w:rPr>
        <w:t xml:space="preserve">In addition, ADOSH does not cover </w:t>
      </w:r>
      <w:r w:rsidR="007C7BAA" w:rsidRPr="56B52501">
        <w:rPr>
          <w:rFonts w:eastAsia="Calibri" w:cs="Calibri"/>
          <w:color w:val="000000" w:themeColor="text1"/>
        </w:rPr>
        <w:t>areas of exclusive federal jurisdiction such as tribal lands</w:t>
      </w:r>
      <w:r w:rsidR="001356F0" w:rsidRPr="56B52501">
        <w:rPr>
          <w:rFonts w:eastAsia="Calibri" w:cs="Calibri"/>
          <w:color w:val="000000" w:themeColor="text1"/>
        </w:rPr>
        <w:t xml:space="preserve"> or federal employees.</w:t>
      </w:r>
      <w:r w:rsidR="007C7BAA" w:rsidRPr="56B52501">
        <w:rPr>
          <w:rFonts w:eastAsia="Calibri" w:cs="Calibri"/>
          <w:color w:val="000000" w:themeColor="text1"/>
        </w:rPr>
        <w:t xml:space="preserve"> </w:t>
      </w:r>
      <w:r w:rsidR="00490E82">
        <w:rPr>
          <w:rFonts w:eastAsia="Calibri" w:cs="Calibri"/>
          <w:color w:val="000000" w:themeColor="text1"/>
        </w:rPr>
        <w:t xml:space="preserve"> </w:t>
      </w:r>
      <w:r w:rsidR="0044125B">
        <w:rPr>
          <w:rFonts w:eastAsia="Calibri" w:cs="Calibri"/>
          <w:color w:val="000000" w:themeColor="text1"/>
        </w:rPr>
        <w:t xml:space="preserve">The same penalty structure was used for state and local government workplaces as the private sector.  </w:t>
      </w:r>
      <w:r w:rsidR="00563724">
        <w:rPr>
          <w:rFonts w:eastAsia="Calibri" w:cs="Calibri"/>
          <w:color w:val="000000" w:themeColor="text1"/>
        </w:rPr>
        <w:t xml:space="preserve">Inspections with proposed penalties </w:t>
      </w:r>
      <w:proofErr w:type="gramStart"/>
      <w:r w:rsidR="00563724">
        <w:rPr>
          <w:rFonts w:eastAsia="Calibri" w:cs="Calibri"/>
          <w:color w:val="000000" w:themeColor="text1"/>
        </w:rPr>
        <w:t>in excess of</w:t>
      </w:r>
      <w:proofErr w:type="gramEnd"/>
      <w:r w:rsidR="00563724">
        <w:rPr>
          <w:rFonts w:eastAsia="Calibri" w:cs="Calibri"/>
          <w:color w:val="000000" w:themeColor="text1"/>
        </w:rPr>
        <w:t xml:space="preserve"> $2,500, fatality investigations, and </w:t>
      </w:r>
      <w:r w:rsidR="00A62DED">
        <w:rPr>
          <w:rFonts w:eastAsia="Calibri" w:cs="Calibri"/>
          <w:color w:val="000000" w:themeColor="text1"/>
        </w:rPr>
        <w:t xml:space="preserve">citations related to worker injuries were presented before the </w:t>
      </w:r>
      <w:r w:rsidR="007C7BAA" w:rsidRPr="56B52501">
        <w:rPr>
          <w:rFonts w:eastAsia="Calibri" w:cs="Calibri"/>
          <w:color w:val="000000" w:themeColor="text1"/>
        </w:rPr>
        <w:t>Commissioners of the ICA, who may modify proposed citations and penalties prior to citation issuance.</w:t>
      </w:r>
    </w:p>
    <w:p w14:paraId="1C2D970B" w14:textId="6A97DDE2" w:rsidR="007C7BAA" w:rsidRDefault="007C7BAA" w:rsidP="000B58F1">
      <w:pPr>
        <w:rPr>
          <w:rFonts w:eastAsia="Calibri" w:cs="Calibri"/>
        </w:rPr>
      </w:pPr>
    </w:p>
    <w:p w14:paraId="7AC8D467" w14:textId="73003B3A" w:rsidR="7BA74BA4" w:rsidRDefault="7BA74BA4" w:rsidP="000B58F1">
      <w:r w:rsidRPr="090008D6">
        <w:rPr>
          <w:rFonts w:eastAsia="Calibri" w:cs="Calibri"/>
        </w:rPr>
        <w:t xml:space="preserve">The </w:t>
      </w:r>
      <w:proofErr w:type="gramStart"/>
      <w:r w:rsidRPr="090008D6">
        <w:rPr>
          <w:rFonts w:eastAsia="Calibri" w:cs="Calibri"/>
        </w:rPr>
        <w:t>23(g) grant</w:t>
      </w:r>
      <w:proofErr w:type="gramEnd"/>
      <w:r w:rsidRPr="090008D6">
        <w:rPr>
          <w:rFonts w:eastAsia="Calibri" w:cs="Calibri"/>
        </w:rPr>
        <w:t xml:space="preserve"> provided funding for a full-time </w:t>
      </w:r>
      <w:r w:rsidR="003D72BE">
        <w:rPr>
          <w:rFonts w:eastAsia="Calibri" w:cs="Calibri"/>
        </w:rPr>
        <w:t xml:space="preserve">equivalent (FTE) </w:t>
      </w:r>
      <w:r w:rsidRPr="090008D6">
        <w:rPr>
          <w:rFonts w:eastAsia="Calibri" w:cs="Calibri"/>
        </w:rPr>
        <w:t xml:space="preserve">staff comprised </w:t>
      </w:r>
      <w:r w:rsidR="00011783">
        <w:rPr>
          <w:rFonts w:eastAsia="Calibri" w:cs="Calibri"/>
        </w:rPr>
        <w:t xml:space="preserve">of </w:t>
      </w:r>
      <w:r w:rsidR="00FE58C2">
        <w:rPr>
          <w:rFonts w:eastAsia="Calibri" w:cs="Calibri"/>
        </w:rPr>
        <w:t xml:space="preserve">2.98 FTE managers, </w:t>
      </w:r>
      <w:r w:rsidR="000B26C0">
        <w:rPr>
          <w:rFonts w:eastAsia="Calibri" w:cs="Calibri"/>
        </w:rPr>
        <w:t xml:space="preserve">5.95 FTE first-line supervisors, </w:t>
      </w:r>
      <w:r w:rsidR="009173C2">
        <w:rPr>
          <w:rFonts w:eastAsia="Calibri" w:cs="Calibri"/>
        </w:rPr>
        <w:t>19.00 FTE</w:t>
      </w:r>
      <w:r w:rsidR="00000307" w:rsidRPr="090008D6">
        <w:rPr>
          <w:rFonts w:eastAsia="Calibri" w:cs="Calibri"/>
        </w:rPr>
        <w:t xml:space="preserve"> </w:t>
      </w:r>
      <w:r w:rsidRPr="090008D6">
        <w:rPr>
          <w:rFonts w:eastAsia="Calibri" w:cs="Calibri"/>
        </w:rPr>
        <w:t xml:space="preserve">safety compliance officers, </w:t>
      </w:r>
      <w:r w:rsidR="009173C2">
        <w:rPr>
          <w:rFonts w:eastAsia="Calibri" w:cs="Calibri"/>
        </w:rPr>
        <w:t>11.00 FTE</w:t>
      </w:r>
      <w:r w:rsidR="001F1C1B" w:rsidRPr="090008D6">
        <w:rPr>
          <w:rFonts w:eastAsia="Calibri" w:cs="Calibri"/>
        </w:rPr>
        <w:t xml:space="preserve"> </w:t>
      </w:r>
      <w:r w:rsidRPr="090008D6">
        <w:rPr>
          <w:rFonts w:eastAsia="Calibri" w:cs="Calibri"/>
        </w:rPr>
        <w:t>health compliance officers,</w:t>
      </w:r>
      <w:r w:rsidR="009173C2">
        <w:rPr>
          <w:rFonts w:eastAsia="Calibri" w:cs="Calibri"/>
        </w:rPr>
        <w:t xml:space="preserve"> 3.00 FTE whistleblower retaliation investigators, </w:t>
      </w:r>
      <w:r w:rsidR="00CE7EC6">
        <w:rPr>
          <w:rFonts w:eastAsia="Calibri" w:cs="Calibri"/>
        </w:rPr>
        <w:t>5.40</w:t>
      </w:r>
      <w:r w:rsidR="000331B3">
        <w:rPr>
          <w:rFonts w:eastAsia="Calibri" w:cs="Calibri"/>
        </w:rPr>
        <w:t xml:space="preserve"> FTE</w:t>
      </w:r>
      <w:r w:rsidR="00CE7EC6">
        <w:rPr>
          <w:rFonts w:eastAsia="Calibri" w:cs="Calibri"/>
        </w:rPr>
        <w:t xml:space="preserve"> clerical/administrative </w:t>
      </w:r>
      <w:r w:rsidRPr="090008D6">
        <w:rPr>
          <w:rFonts w:eastAsia="Calibri" w:cs="Calibri"/>
        </w:rPr>
        <w:t xml:space="preserve">staff, and </w:t>
      </w:r>
      <w:r w:rsidR="00BB6F11">
        <w:rPr>
          <w:rFonts w:eastAsia="Calibri" w:cs="Calibri"/>
        </w:rPr>
        <w:t>2.00 FTE</w:t>
      </w:r>
      <w:r w:rsidR="00CF4624" w:rsidRPr="090008D6">
        <w:rPr>
          <w:rFonts w:eastAsia="Calibri" w:cs="Calibri"/>
        </w:rPr>
        <w:t xml:space="preserve"> </w:t>
      </w:r>
      <w:r w:rsidRPr="090008D6">
        <w:rPr>
          <w:rFonts w:eastAsia="Calibri" w:cs="Calibri"/>
        </w:rPr>
        <w:t>trainers.</w:t>
      </w:r>
      <w:r w:rsidR="00826751">
        <w:rPr>
          <w:rFonts w:eastAsia="Calibri" w:cs="Calibri"/>
        </w:rPr>
        <w:t xml:space="preserve">  </w:t>
      </w:r>
      <w:r w:rsidR="00A779C0">
        <w:rPr>
          <w:rFonts w:eastAsia="Calibri" w:cs="Calibri"/>
        </w:rPr>
        <w:t>Seven</w:t>
      </w:r>
      <w:r w:rsidR="00A779C0" w:rsidRPr="090008D6">
        <w:rPr>
          <w:rFonts w:eastAsia="Calibri" w:cs="Calibri"/>
        </w:rPr>
        <w:t xml:space="preserve"> </w:t>
      </w:r>
      <w:r w:rsidRPr="090008D6">
        <w:rPr>
          <w:rFonts w:eastAsia="Calibri" w:cs="Calibri"/>
        </w:rPr>
        <w:t>consultants provided consultation for state and local government employers; 15% of their time was charged to the 23(g) grant and the remainder of their time was charged to a 21(d) Cooperative Agreement that covers private sector consultation activities.</w:t>
      </w:r>
      <w:r w:rsidR="00DD5F8F">
        <w:rPr>
          <w:rFonts w:eastAsia="Calibri" w:cs="Calibri"/>
        </w:rPr>
        <w:t xml:space="preserve">  </w:t>
      </w:r>
      <w:r w:rsidR="00826751" w:rsidRPr="005B531F">
        <w:t xml:space="preserve">The private sector consultation </w:t>
      </w:r>
      <w:r w:rsidR="00826751">
        <w:t xml:space="preserve">program is evaluated separately </w:t>
      </w:r>
      <w:r w:rsidR="00826751" w:rsidRPr="005B531F">
        <w:t>in the FY 202</w:t>
      </w:r>
      <w:r w:rsidR="00752AD0">
        <w:t>4</w:t>
      </w:r>
      <w:r w:rsidR="00826751" w:rsidRPr="005B531F">
        <w:t xml:space="preserve"> Regional Annual Consultation Evaluation Report (RACER).</w:t>
      </w:r>
      <w:r w:rsidR="00CD4C6A" w:rsidRPr="00CD4C6A">
        <w:rPr>
          <w:rFonts w:eastAsia="Calibri" w:cs="Calibri"/>
          <w:color w:val="242424"/>
        </w:rPr>
        <w:t xml:space="preserve"> </w:t>
      </w:r>
    </w:p>
    <w:p w14:paraId="149812CB" w14:textId="7AEF6148" w:rsidR="7BA74BA4" w:rsidRDefault="7BA74BA4" w:rsidP="000B58F1">
      <w:r w:rsidRPr="090008D6">
        <w:rPr>
          <w:rFonts w:eastAsia="Calibri" w:cs="Calibri"/>
          <w:color w:val="000000" w:themeColor="text1"/>
        </w:rPr>
        <w:t xml:space="preserve"> </w:t>
      </w:r>
    </w:p>
    <w:p w14:paraId="5E9E4A36" w14:textId="56C208E2" w:rsidR="00084E67" w:rsidRPr="00084E67" w:rsidRDefault="00084E67" w:rsidP="00084E67">
      <w:pPr>
        <w:rPr>
          <w:rFonts w:eastAsia="Calibri" w:cs="Calibri"/>
          <w:color w:val="000000" w:themeColor="text1"/>
        </w:rPr>
      </w:pPr>
      <w:r w:rsidRPr="00084E67">
        <w:rPr>
          <w:rFonts w:eastAsia="Calibri" w:cs="Calibri"/>
          <w:color w:val="000000" w:themeColor="text1"/>
        </w:rPr>
        <w:t>In FY 2024, the initial federal base award to fund the 23(g) program was $2,517,900.  Arizona matched the federal funds and added $136,328 in 100% state funds, bringing the total award to $5,172,128.  Due to the fund reduction of all OSHA 23(g) programs, the federal base award was decreased by $91,000.  Arizona reduced the state required match, accordingly, bringing the total award to $4,990,128.  Arizona did not accept any additional one-time only funds and did not de-obligate any federal funds.  Arizona did not spend $113,706 in 100% state funds.  The final expenditures were $4,876,422.</w:t>
      </w:r>
    </w:p>
    <w:p w14:paraId="455366F4" w14:textId="7991EF7A" w:rsidR="00096FE9" w:rsidRDefault="009603A1" w:rsidP="000B58F1">
      <w:pPr>
        <w:rPr>
          <w:rFonts w:eastAsia="Calibri" w:cs="Calibri"/>
          <w:color w:val="000000" w:themeColor="text1"/>
        </w:rPr>
      </w:pPr>
      <w:r w:rsidRPr="009603A1">
        <w:rPr>
          <w:rFonts w:eastAsia="Calibri" w:cs="Calibri"/>
          <w:color w:val="000000" w:themeColor="text1"/>
        </w:rPr>
        <w:t xml:space="preserve">The next financial monitoring review </w:t>
      </w:r>
      <w:r w:rsidR="37DAFB3E" w:rsidRPr="7D6DDE0C">
        <w:rPr>
          <w:rFonts w:eastAsia="Calibri" w:cs="Calibri"/>
          <w:color w:val="000000" w:themeColor="text1"/>
        </w:rPr>
        <w:t>will be in</w:t>
      </w:r>
      <w:r w:rsidRPr="7D6DDE0C">
        <w:rPr>
          <w:rFonts w:eastAsia="Calibri" w:cs="Calibri"/>
          <w:color w:val="000000" w:themeColor="text1"/>
        </w:rPr>
        <w:t xml:space="preserve"> FY 2025</w:t>
      </w:r>
      <w:r w:rsidR="00FF71FA" w:rsidRPr="7D6DDE0C">
        <w:rPr>
          <w:rFonts w:eastAsia="Calibri" w:cs="Calibri"/>
          <w:color w:val="000000" w:themeColor="text1"/>
        </w:rPr>
        <w:t>.</w:t>
      </w:r>
    </w:p>
    <w:p w14:paraId="07E4A0DB" w14:textId="77777777" w:rsidR="00783189" w:rsidRPr="001C1E47" w:rsidRDefault="00783189" w:rsidP="000B58F1">
      <w:pPr>
        <w:widowControl/>
        <w:autoSpaceDE/>
        <w:autoSpaceDN/>
        <w:adjustRightInd/>
        <w:contextualSpacing/>
        <w:rPr>
          <w:rFonts w:cs="Calibri"/>
          <w:b/>
        </w:rPr>
      </w:pPr>
    </w:p>
    <w:p w14:paraId="68FBAFD2" w14:textId="76946D8B" w:rsidR="00781312" w:rsidRPr="001C1E47" w:rsidRDefault="00781312" w:rsidP="000B58F1">
      <w:pPr>
        <w:widowControl/>
        <w:autoSpaceDE/>
        <w:autoSpaceDN/>
        <w:adjustRightInd/>
        <w:contextualSpacing/>
        <w:rPr>
          <w:rFonts w:cs="Calibri"/>
          <w:b/>
        </w:rPr>
      </w:pPr>
      <w:r w:rsidRPr="45A38A98">
        <w:rPr>
          <w:rFonts w:cs="Calibri"/>
          <w:b/>
          <w:bCs/>
        </w:rPr>
        <w:t>New Issues</w:t>
      </w:r>
    </w:p>
    <w:p w14:paraId="0AE4A75D" w14:textId="77777777" w:rsidR="00E0799E" w:rsidRDefault="00E0799E" w:rsidP="000B58F1">
      <w:pPr>
        <w:rPr>
          <w:rFonts w:eastAsia="Calibri" w:cs="Calibri"/>
          <w:color w:val="242424"/>
        </w:rPr>
      </w:pPr>
    </w:p>
    <w:p w14:paraId="77485C22" w14:textId="6F402552" w:rsidR="0018123D" w:rsidRPr="005B7B77" w:rsidRDefault="005F63CA" w:rsidP="000B58F1">
      <w:pPr>
        <w:rPr>
          <w:rFonts w:asciiTheme="minorHAnsi" w:eastAsia="Calibri" w:hAnsiTheme="minorHAnsi" w:cstheme="minorHAnsi"/>
          <w:color w:val="242424"/>
        </w:rPr>
      </w:pPr>
      <w:r w:rsidRPr="005B7B77">
        <w:rPr>
          <w:rFonts w:asciiTheme="minorHAnsi" w:eastAsia="Calibri" w:hAnsiTheme="minorHAnsi" w:cstheme="minorHAnsi"/>
          <w:color w:val="242424"/>
        </w:rPr>
        <w:t xml:space="preserve">In </w:t>
      </w:r>
      <w:r w:rsidR="004766CF" w:rsidRPr="005B7B77">
        <w:rPr>
          <w:rFonts w:asciiTheme="minorHAnsi" w:eastAsia="Calibri" w:hAnsiTheme="minorHAnsi" w:cstheme="minorHAnsi"/>
          <w:color w:val="242424"/>
        </w:rPr>
        <w:t xml:space="preserve">May </w:t>
      </w:r>
      <w:r w:rsidRPr="005B7B77">
        <w:rPr>
          <w:rFonts w:asciiTheme="minorHAnsi" w:eastAsia="Calibri" w:hAnsiTheme="minorHAnsi" w:cstheme="minorHAnsi"/>
          <w:color w:val="242424"/>
        </w:rPr>
        <w:t xml:space="preserve">2024, OSHA concluded </w:t>
      </w:r>
      <w:r w:rsidR="00A60F93" w:rsidRPr="005B7B77">
        <w:rPr>
          <w:rFonts w:asciiTheme="minorHAnsi" w:eastAsia="Calibri" w:hAnsiTheme="minorHAnsi" w:cstheme="minorHAnsi"/>
          <w:color w:val="242424"/>
        </w:rPr>
        <w:t>the Arizona Special Study</w:t>
      </w:r>
      <w:r w:rsidRPr="005B7B77">
        <w:rPr>
          <w:rFonts w:asciiTheme="minorHAnsi" w:eastAsia="Calibri" w:hAnsiTheme="minorHAnsi" w:cstheme="minorHAnsi"/>
          <w:color w:val="242424"/>
        </w:rPr>
        <w:t xml:space="preserve"> that was initiated in August 2023</w:t>
      </w:r>
      <w:r w:rsidR="00BC30E4" w:rsidRPr="005B7B77">
        <w:rPr>
          <w:rFonts w:asciiTheme="minorHAnsi" w:eastAsia="Calibri" w:hAnsiTheme="minorHAnsi" w:cstheme="minorHAnsi"/>
          <w:color w:val="242424"/>
        </w:rPr>
        <w:t>.  Th</w:t>
      </w:r>
      <w:r w:rsidR="0035284D" w:rsidRPr="005B7B77">
        <w:rPr>
          <w:rFonts w:asciiTheme="minorHAnsi" w:eastAsia="Calibri" w:hAnsiTheme="minorHAnsi" w:cstheme="minorHAnsi"/>
          <w:color w:val="242424"/>
        </w:rPr>
        <w:t>e</w:t>
      </w:r>
      <w:r w:rsidR="00BC30E4" w:rsidRPr="005B7B77">
        <w:rPr>
          <w:rFonts w:asciiTheme="minorHAnsi" w:eastAsia="Calibri" w:hAnsiTheme="minorHAnsi" w:cstheme="minorHAnsi"/>
          <w:color w:val="242424"/>
        </w:rPr>
        <w:t xml:space="preserve"> </w:t>
      </w:r>
      <w:r w:rsidR="000550E4" w:rsidRPr="005B7B77">
        <w:rPr>
          <w:rFonts w:asciiTheme="minorHAnsi" w:eastAsia="Calibri" w:hAnsiTheme="minorHAnsi" w:cstheme="minorHAnsi"/>
          <w:color w:val="242424"/>
        </w:rPr>
        <w:t>study resulted</w:t>
      </w:r>
      <w:r w:rsidR="00E31383" w:rsidRPr="005B7B77">
        <w:rPr>
          <w:rFonts w:asciiTheme="minorHAnsi" w:eastAsia="Calibri" w:hAnsiTheme="minorHAnsi" w:cstheme="minorHAnsi"/>
          <w:color w:val="242424"/>
        </w:rPr>
        <w:t xml:space="preserve"> </w:t>
      </w:r>
      <w:r w:rsidR="000550E4" w:rsidRPr="005B7B77">
        <w:rPr>
          <w:rFonts w:asciiTheme="minorHAnsi" w:eastAsia="Calibri" w:hAnsiTheme="minorHAnsi" w:cstheme="minorHAnsi"/>
          <w:color w:val="242424"/>
        </w:rPr>
        <w:t>from</w:t>
      </w:r>
      <w:r w:rsidRPr="005B7B77">
        <w:rPr>
          <w:rFonts w:asciiTheme="minorHAnsi" w:eastAsia="Calibri" w:hAnsiTheme="minorHAnsi" w:cstheme="minorHAnsi"/>
          <w:color w:val="242424"/>
        </w:rPr>
        <w:t xml:space="preserve"> concerns</w:t>
      </w:r>
      <w:r w:rsidR="000550E4" w:rsidRPr="005B7B77">
        <w:rPr>
          <w:rFonts w:asciiTheme="minorHAnsi" w:eastAsia="Calibri" w:hAnsiTheme="minorHAnsi" w:cstheme="minorHAnsi"/>
          <w:color w:val="242424"/>
        </w:rPr>
        <w:t xml:space="preserve"> of Arizona’s</w:t>
      </w:r>
      <w:r w:rsidRPr="005B7B77">
        <w:rPr>
          <w:rFonts w:asciiTheme="minorHAnsi" w:eastAsia="Calibri" w:hAnsiTheme="minorHAnsi" w:cstheme="minorHAnsi"/>
          <w:color w:val="242424"/>
        </w:rPr>
        <w:t xml:space="preserve"> Salesforce interface system not fully integrating</w:t>
      </w:r>
      <w:r w:rsidR="00167279" w:rsidRPr="005B7B77">
        <w:rPr>
          <w:rFonts w:asciiTheme="minorHAnsi" w:eastAsia="Calibri" w:hAnsiTheme="minorHAnsi" w:cstheme="minorHAnsi"/>
          <w:color w:val="242424"/>
        </w:rPr>
        <w:t xml:space="preserve"> data </w:t>
      </w:r>
      <w:r w:rsidRPr="005B7B77">
        <w:rPr>
          <w:rFonts w:asciiTheme="minorHAnsi" w:eastAsia="Calibri" w:hAnsiTheme="minorHAnsi" w:cstheme="minorHAnsi"/>
          <w:color w:val="242424"/>
        </w:rPr>
        <w:t>with OIS</w:t>
      </w:r>
      <w:r w:rsidR="005564F6" w:rsidRPr="005B7B77">
        <w:rPr>
          <w:rFonts w:asciiTheme="minorHAnsi" w:eastAsia="Calibri" w:hAnsiTheme="minorHAnsi" w:cstheme="minorHAnsi"/>
          <w:color w:val="242424"/>
        </w:rPr>
        <w:t xml:space="preserve"> and</w:t>
      </w:r>
      <w:r w:rsidRPr="005B7B77">
        <w:rPr>
          <w:rFonts w:asciiTheme="minorHAnsi" w:eastAsia="Calibri" w:hAnsiTheme="minorHAnsi" w:cstheme="minorHAnsi"/>
          <w:color w:val="242424"/>
        </w:rPr>
        <w:t xml:space="preserve"> unprogrammed activities (UPAs) and inspections were unaccounted for.  The </w:t>
      </w:r>
      <w:r w:rsidR="00E31383" w:rsidRPr="005B7B77">
        <w:rPr>
          <w:rFonts w:asciiTheme="minorHAnsi" w:eastAsia="Calibri" w:hAnsiTheme="minorHAnsi" w:cstheme="minorHAnsi"/>
          <w:color w:val="242424"/>
        </w:rPr>
        <w:t>S</w:t>
      </w:r>
      <w:r w:rsidRPr="005B7B77">
        <w:rPr>
          <w:rFonts w:asciiTheme="minorHAnsi" w:eastAsia="Calibri" w:hAnsiTheme="minorHAnsi" w:cstheme="minorHAnsi"/>
          <w:color w:val="242424"/>
        </w:rPr>
        <w:t xml:space="preserve">pecial </w:t>
      </w:r>
      <w:r w:rsidR="00E31383" w:rsidRPr="005B7B77">
        <w:rPr>
          <w:rFonts w:asciiTheme="minorHAnsi" w:eastAsia="Calibri" w:hAnsiTheme="minorHAnsi" w:cstheme="minorHAnsi"/>
          <w:color w:val="242424"/>
        </w:rPr>
        <w:t>S</w:t>
      </w:r>
      <w:r w:rsidRPr="005B7B77">
        <w:rPr>
          <w:rFonts w:asciiTheme="minorHAnsi" w:eastAsia="Calibri" w:hAnsiTheme="minorHAnsi" w:cstheme="minorHAnsi"/>
          <w:color w:val="242424"/>
        </w:rPr>
        <w:t xml:space="preserve">tudy resulted in seven findings that required correction </w:t>
      </w:r>
      <w:r w:rsidR="00B9628B" w:rsidRPr="005B7B77">
        <w:rPr>
          <w:rFonts w:asciiTheme="minorHAnsi" w:eastAsia="Calibri" w:hAnsiTheme="minorHAnsi" w:cstheme="minorHAnsi"/>
          <w:color w:val="242424"/>
        </w:rPr>
        <w:t>from</w:t>
      </w:r>
      <w:r w:rsidRPr="005B7B77">
        <w:rPr>
          <w:rFonts w:asciiTheme="minorHAnsi" w:eastAsia="Calibri" w:hAnsiTheme="minorHAnsi" w:cstheme="minorHAnsi"/>
          <w:color w:val="242424"/>
        </w:rPr>
        <w:t xml:space="preserve"> Arizona to perform at least as effective to OSHA.  </w:t>
      </w:r>
      <w:r w:rsidR="00E31383" w:rsidRPr="005B7B77">
        <w:rPr>
          <w:rFonts w:asciiTheme="minorHAnsi" w:eastAsia="Calibri" w:hAnsiTheme="minorHAnsi" w:cstheme="minorHAnsi"/>
          <w:color w:val="242424"/>
        </w:rPr>
        <w:t xml:space="preserve">Findings were related to </w:t>
      </w:r>
      <w:r w:rsidR="00FD0AC2" w:rsidRPr="005B7B77">
        <w:rPr>
          <w:rFonts w:asciiTheme="minorHAnsi" w:eastAsia="Calibri" w:hAnsiTheme="minorHAnsi" w:cstheme="minorHAnsi"/>
          <w:color w:val="242424"/>
        </w:rPr>
        <w:t xml:space="preserve">the </w:t>
      </w:r>
      <w:r w:rsidR="000A11BB" w:rsidRPr="005B7B77">
        <w:rPr>
          <w:rFonts w:asciiTheme="minorHAnsi" w:eastAsia="Calibri" w:hAnsiTheme="minorHAnsi" w:cstheme="minorHAnsi"/>
          <w:color w:val="242424"/>
        </w:rPr>
        <w:t xml:space="preserve">lack of management controls, </w:t>
      </w:r>
      <w:r w:rsidR="00EE41CA" w:rsidRPr="005B7B77">
        <w:rPr>
          <w:rFonts w:asciiTheme="minorHAnsi" w:eastAsia="Calibri" w:hAnsiTheme="minorHAnsi" w:cstheme="minorHAnsi"/>
          <w:color w:val="242424"/>
        </w:rPr>
        <w:t xml:space="preserve">Salesforce not integrating with OIS, and </w:t>
      </w:r>
      <w:r w:rsidR="00D82802" w:rsidRPr="005B7B77">
        <w:rPr>
          <w:rFonts w:asciiTheme="minorHAnsi" w:eastAsia="Calibri" w:hAnsiTheme="minorHAnsi" w:cstheme="minorHAnsi"/>
          <w:color w:val="242424"/>
        </w:rPr>
        <w:t xml:space="preserve">complaints not processed in accordance with </w:t>
      </w:r>
      <w:r w:rsidR="00710AC0" w:rsidRPr="005B7B77">
        <w:rPr>
          <w:rFonts w:asciiTheme="minorHAnsi" w:eastAsia="Calibri" w:hAnsiTheme="minorHAnsi" w:cstheme="minorHAnsi"/>
          <w:color w:val="242424"/>
        </w:rPr>
        <w:t xml:space="preserve">established </w:t>
      </w:r>
      <w:r w:rsidR="00D82802" w:rsidRPr="005B7B77">
        <w:rPr>
          <w:rFonts w:asciiTheme="minorHAnsi" w:eastAsia="Calibri" w:hAnsiTheme="minorHAnsi" w:cstheme="minorHAnsi"/>
          <w:color w:val="242424"/>
        </w:rPr>
        <w:t xml:space="preserve">policies and procedures.  </w:t>
      </w:r>
      <w:r w:rsidRPr="005B7B77">
        <w:rPr>
          <w:rFonts w:asciiTheme="minorHAnsi" w:eastAsia="Calibri" w:hAnsiTheme="minorHAnsi" w:cstheme="minorHAnsi"/>
          <w:color w:val="242424"/>
        </w:rPr>
        <w:t>As a result</w:t>
      </w:r>
      <w:r w:rsidR="00710AC0" w:rsidRPr="005B7B77">
        <w:rPr>
          <w:rFonts w:asciiTheme="minorHAnsi" w:eastAsia="Calibri" w:hAnsiTheme="minorHAnsi" w:cstheme="minorHAnsi"/>
          <w:color w:val="242424"/>
        </w:rPr>
        <w:t xml:space="preserve"> of the </w:t>
      </w:r>
      <w:r w:rsidR="00003D04" w:rsidRPr="005B7B77">
        <w:rPr>
          <w:rFonts w:asciiTheme="minorHAnsi" w:eastAsia="Calibri" w:hAnsiTheme="minorHAnsi" w:cstheme="minorHAnsi"/>
          <w:color w:val="242424"/>
        </w:rPr>
        <w:t>Special Study findings</w:t>
      </w:r>
      <w:r w:rsidRPr="005B7B77">
        <w:rPr>
          <w:rFonts w:asciiTheme="minorHAnsi" w:eastAsia="Calibri" w:hAnsiTheme="minorHAnsi" w:cstheme="minorHAnsi"/>
          <w:color w:val="242424"/>
        </w:rPr>
        <w:t xml:space="preserve">, Arizona </w:t>
      </w:r>
      <w:r w:rsidR="006D7281" w:rsidRPr="005B7B77">
        <w:rPr>
          <w:rFonts w:asciiTheme="minorHAnsi" w:eastAsia="Calibri" w:hAnsiTheme="minorHAnsi" w:cstheme="minorHAnsi"/>
          <w:color w:val="242424"/>
        </w:rPr>
        <w:t xml:space="preserve">took action to address these concerns and prevent future occurrences.  This involved revising </w:t>
      </w:r>
      <w:r w:rsidR="00E448AB" w:rsidRPr="005B7B77">
        <w:rPr>
          <w:rFonts w:asciiTheme="minorHAnsi" w:eastAsia="Calibri" w:hAnsiTheme="minorHAnsi" w:cstheme="minorHAnsi"/>
          <w:color w:val="242424"/>
        </w:rPr>
        <w:t xml:space="preserve">and </w:t>
      </w:r>
      <w:r w:rsidR="006D7281" w:rsidRPr="005B7B77">
        <w:rPr>
          <w:rFonts w:asciiTheme="minorHAnsi" w:eastAsia="Calibri" w:hAnsiTheme="minorHAnsi" w:cstheme="minorHAnsi"/>
          <w:color w:val="242424"/>
        </w:rPr>
        <w:t xml:space="preserve">implementing </w:t>
      </w:r>
      <w:r w:rsidR="00E448AB" w:rsidRPr="005B7B77">
        <w:rPr>
          <w:rFonts w:asciiTheme="minorHAnsi" w:eastAsia="Calibri" w:hAnsiTheme="minorHAnsi" w:cstheme="minorHAnsi"/>
          <w:color w:val="242424"/>
        </w:rPr>
        <w:t>enhanced</w:t>
      </w:r>
      <w:r w:rsidRPr="005B7B77">
        <w:rPr>
          <w:rFonts w:asciiTheme="minorHAnsi" w:eastAsia="Calibri" w:hAnsiTheme="minorHAnsi" w:cstheme="minorHAnsi"/>
          <w:color w:val="242424"/>
        </w:rPr>
        <w:t xml:space="preserve"> internal controls</w:t>
      </w:r>
      <w:r w:rsidR="00E448AB" w:rsidRPr="005B7B77">
        <w:rPr>
          <w:rFonts w:asciiTheme="minorHAnsi" w:eastAsia="Calibri" w:hAnsiTheme="minorHAnsi" w:cstheme="minorHAnsi"/>
          <w:color w:val="242424"/>
        </w:rPr>
        <w:t>, including self-audits,</w:t>
      </w:r>
      <w:r w:rsidRPr="005B7B77">
        <w:rPr>
          <w:rFonts w:asciiTheme="minorHAnsi" w:eastAsia="Calibri" w:hAnsiTheme="minorHAnsi" w:cstheme="minorHAnsi"/>
          <w:color w:val="242424"/>
        </w:rPr>
        <w:t xml:space="preserve"> to ensure UPAs and inspections were </w:t>
      </w:r>
      <w:r w:rsidR="00E448AB" w:rsidRPr="005B7B77">
        <w:rPr>
          <w:rFonts w:asciiTheme="minorHAnsi" w:eastAsia="Calibri" w:hAnsiTheme="minorHAnsi" w:cstheme="minorHAnsi"/>
          <w:color w:val="242424"/>
        </w:rPr>
        <w:t xml:space="preserve">processed and managed </w:t>
      </w:r>
      <w:r w:rsidRPr="005B7B77">
        <w:rPr>
          <w:rFonts w:asciiTheme="minorHAnsi" w:eastAsia="Calibri" w:hAnsiTheme="minorHAnsi" w:cstheme="minorHAnsi"/>
          <w:color w:val="242424"/>
        </w:rPr>
        <w:t>in accordance with approved policies and procedures</w:t>
      </w:r>
      <w:r w:rsidR="00276A59" w:rsidRPr="005B7B77">
        <w:rPr>
          <w:rFonts w:asciiTheme="minorHAnsi" w:eastAsia="Calibri" w:hAnsiTheme="minorHAnsi" w:cstheme="minorHAnsi"/>
          <w:color w:val="242424"/>
        </w:rPr>
        <w:t xml:space="preserve">.  In </w:t>
      </w:r>
      <w:r w:rsidR="00C749AF" w:rsidRPr="005B7B77">
        <w:rPr>
          <w:rFonts w:asciiTheme="minorHAnsi" w:eastAsia="Calibri" w:hAnsiTheme="minorHAnsi" w:cstheme="minorHAnsi"/>
          <w:color w:val="242424"/>
        </w:rPr>
        <w:t>addition,</w:t>
      </w:r>
      <w:r w:rsidR="00FC6C06" w:rsidRPr="005B7B77">
        <w:rPr>
          <w:rFonts w:asciiTheme="minorHAnsi" w:eastAsia="Calibri" w:hAnsiTheme="minorHAnsi" w:cstheme="minorHAnsi"/>
          <w:color w:val="242424"/>
        </w:rPr>
        <w:t xml:space="preserve"> ADOSH</w:t>
      </w:r>
      <w:r w:rsidR="00003D04" w:rsidRPr="005B7B77">
        <w:rPr>
          <w:rFonts w:asciiTheme="minorHAnsi" w:eastAsia="Calibri" w:hAnsiTheme="minorHAnsi" w:cstheme="minorHAnsi"/>
          <w:color w:val="242424"/>
        </w:rPr>
        <w:t xml:space="preserve">, along with </w:t>
      </w:r>
      <w:r w:rsidR="00FC6C06" w:rsidRPr="005B7B77">
        <w:rPr>
          <w:rFonts w:asciiTheme="minorHAnsi" w:eastAsia="Calibri" w:hAnsiTheme="minorHAnsi" w:cstheme="minorHAnsi"/>
          <w:color w:val="242424"/>
        </w:rPr>
        <w:t>Salesforce developers</w:t>
      </w:r>
      <w:r w:rsidR="00003D04" w:rsidRPr="005B7B77">
        <w:rPr>
          <w:rFonts w:asciiTheme="minorHAnsi" w:eastAsia="Calibri" w:hAnsiTheme="minorHAnsi" w:cstheme="minorHAnsi"/>
          <w:color w:val="242424"/>
        </w:rPr>
        <w:t>,</w:t>
      </w:r>
      <w:r w:rsidR="00FC6C06" w:rsidRPr="005B7B77">
        <w:rPr>
          <w:rFonts w:asciiTheme="minorHAnsi" w:eastAsia="Calibri" w:hAnsiTheme="minorHAnsi" w:cstheme="minorHAnsi"/>
          <w:color w:val="242424"/>
        </w:rPr>
        <w:t xml:space="preserve"> </w:t>
      </w:r>
      <w:r w:rsidR="008F0619" w:rsidRPr="005B7B77">
        <w:rPr>
          <w:rFonts w:asciiTheme="minorHAnsi" w:eastAsia="Calibri" w:hAnsiTheme="minorHAnsi" w:cstheme="minorHAnsi"/>
          <w:color w:val="242424"/>
        </w:rPr>
        <w:t>worked to identify and</w:t>
      </w:r>
      <w:r w:rsidR="00FC6C06" w:rsidRPr="005B7B77">
        <w:rPr>
          <w:rFonts w:asciiTheme="minorHAnsi" w:eastAsia="Calibri" w:hAnsiTheme="minorHAnsi" w:cstheme="minorHAnsi"/>
          <w:color w:val="242424"/>
        </w:rPr>
        <w:t xml:space="preserve"> resolve </w:t>
      </w:r>
      <w:r w:rsidR="00662B2E" w:rsidRPr="005B7B77">
        <w:rPr>
          <w:rFonts w:asciiTheme="minorHAnsi" w:eastAsia="Calibri" w:hAnsiTheme="minorHAnsi" w:cstheme="minorHAnsi"/>
          <w:color w:val="242424"/>
        </w:rPr>
        <w:t xml:space="preserve">data discrepancies and ensure </w:t>
      </w:r>
      <w:r w:rsidR="008F0619" w:rsidRPr="005B7B77">
        <w:rPr>
          <w:rFonts w:asciiTheme="minorHAnsi" w:eastAsia="Calibri" w:hAnsiTheme="minorHAnsi" w:cstheme="minorHAnsi"/>
          <w:color w:val="242424"/>
        </w:rPr>
        <w:t xml:space="preserve">information accurately </w:t>
      </w:r>
      <w:r w:rsidR="00F561BC" w:rsidRPr="005B7B77">
        <w:rPr>
          <w:rFonts w:asciiTheme="minorHAnsi" w:eastAsia="Calibri" w:hAnsiTheme="minorHAnsi" w:cstheme="minorHAnsi"/>
          <w:color w:val="242424"/>
        </w:rPr>
        <w:t>transferred</w:t>
      </w:r>
      <w:r w:rsidR="00662B2E" w:rsidRPr="005B7B77">
        <w:rPr>
          <w:rFonts w:asciiTheme="minorHAnsi" w:eastAsia="Calibri" w:hAnsiTheme="minorHAnsi" w:cstheme="minorHAnsi"/>
          <w:color w:val="242424"/>
        </w:rPr>
        <w:t xml:space="preserve"> over to OIS.</w:t>
      </w:r>
      <w:r w:rsidR="005564A4" w:rsidRPr="005B7B77">
        <w:rPr>
          <w:rFonts w:asciiTheme="minorHAnsi" w:eastAsia="Calibri" w:hAnsiTheme="minorHAnsi" w:cstheme="minorHAnsi"/>
          <w:color w:val="242424"/>
        </w:rPr>
        <w:t xml:space="preserve">  Lastly, Arizona </w:t>
      </w:r>
      <w:r w:rsidR="001056A0" w:rsidRPr="005B7B77">
        <w:rPr>
          <w:rFonts w:asciiTheme="minorHAnsi" w:eastAsia="Calibri" w:hAnsiTheme="minorHAnsi" w:cstheme="minorHAnsi"/>
          <w:color w:val="242424"/>
        </w:rPr>
        <w:t xml:space="preserve">dedicated an intake team to </w:t>
      </w:r>
      <w:r w:rsidR="00B86473" w:rsidRPr="005B7B77">
        <w:rPr>
          <w:rFonts w:asciiTheme="minorHAnsi" w:eastAsia="Calibri" w:hAnsiTheme="minorHAnsi" w:cstheme="minorHAnsi"/>
          <w:color w:val="242424"/>
        </w:rPr>
        <w:t>address the backlog of over 1,000 complaints that were not processed app</w:t>
      </w:r>
      <w:r w:rsidR="00FC6C06" w:rsidRPr="005B7B77">
        <w:rPr>
          <w:rFonts w:asciiTheme="minorHAnsi" w:eastAsia="Calibri" w:hAnsiTheme="minorHAnsi" w:cstheme="minorHAnsi"/>
          <w:color w:val="242424"/>
        </w:rPr>
        <w:t>ropriately</w:t>
      </w:r>
      <w:r w:rsidR="00127345" w:rsidRPr="005B7B77">
        <w:rPr>
          <w:rFonts w:asciiTheme="minorHAnsi" w:eastAsia="Calibri" w:hAnsiTheme="minorHAnsi" w:cstheme="minorHAnsi"/>
          <w:color w:val="242424"/>
        </w:rPr>
        <w:t xml:space="preserve">.  </w:t>
      </w:r>
    </w:p>
    <w:p w14:paraId="13B26F5C" w14:textId="77777777" w:rsidR="0081075A" w:rsidRPr="005B7B77" w:rsidRDefault="0081075A" w:rsidP="000B58F1">
      <w:pPr>
        <w:rPr>
          <w:rFonts w:asciiTheme="minorHAnsi" w:eastAsia="Calibri" w:hAnsiTheme="minorHAnsi" w:cstheme="minorHAnsi"/>
          <w:color w:val="242424"/>
        </w:rPr>
      </w:pPr>
    </w:p>
    <w:p w14:paraId="4A233B64" w14:textId="3FF0FEEC" w:rsidR="005635BB" w:rsidRPr="005B7B77" w:rsidRDefault="00E56A46" w:rsidP="000B58F1">
      <w:pPr>
        <w:rPr>
          <w:rFonts w:asciiTheme="minorHAnsi" w:eastAsia="Calibri" w:hAnsiTheme="minorHAnsi" w:cstheme="minorHAnsi"/>
          <w:color w:val="242424"/>
        </w:rPr>
      </w:pPr>
      <w:bookmarkStart w:id="10" w:name="_Hlk200026637"/>
      <w:r w:rsidRPr="005B7B77">
        <w:rPr>
          <w:rFonts w:asciiTheme="minorHAnsi" w:eastAsia="Calibri" w:hAnsiTheme="minorHAnsi" w:cstheme="minorHAnsi"/>
          <w:color w:val="242424"/>
        </w:rPr>
        <w:t xml:space="preserve">The </w:t>
      </w:r>
      <w:r w:rsidR="003421B9" w:rsidRPr="005B7B77">
        <w:rPr>
          <w:rFonts w:asciiTheme="minorHAnsi" w:eastAsia="Calibri" w:hAnsiTheme="minorHAnsi" w:cstheme="minorHAnsi"/>
          <w:color w:val="242424"/>
        </w:rPr>
        <w:t xml:space="preserve">ADOSH </w:t>
      </w:r>
      <w:r w:rsidR="00AE21F5" w:rsidRPr="005B7B77">
        <w:rPr>
          <w:rFonts w:asciiTheme="minorHAnsi" w:eastAsia="Calibri" w:hAnsiTheme="minorHAnsi" w:cstheme="minorHAnsi"/>
          <w:color w:val="242424"/>
        </w:rPr>
        <w:t xml:space="preserve">administration had undergone several </w:t>
      </w:r>
      <w:r w:rsidR="00127345" w:rsidRPr="005B7B77">
        <w:rPr>
          <w:rFonts w:asciiTheme="minorHAnsi" w:eastAsia="Calibri" w:hAnsiTheme="minorHAnsi" w:cstheme="minorHAnsi"/>
          <w:color w:val="242424"/>
        </w:rPr>
        <w:t xml:space="preserve">key leadership </w:t>
      </w:r>
      <w:r w:rsidR="00AE21F5" w:rsidRPr="005B7B77">
        <w:rPr>
          <w:rFonts w:asciiTheme="minorHAnsi" w:eastAsia="Calibri" w:hAnsiTheme="minorHAnsi" w:cstheme="minorHAnsi"/>
          <w:color w:val="242424"/>
        </w:rPr>
        <w:t xml:space="preserve">changes within </w:t>
      </w:r>
      <w:r w:rsidRPr="005B7B77">
        <w:rPr>
          <w:rFonts w:asciiTheme="minorHAnsi" w:eastAsia="Calibri" w:hAnsiTheme="minorHAnsi" w:cstheme="minorHAnsi"/>
          <w:color w:val="242424"/>
        </w:rPr>
        <w:t xml:space="preserve">the </w:t>
      </w:r>
      <w:r w:rsidR="00390A3E" w:rsidRPr="005B7B77">
        <w:rPr>
          <w:rFonts w:asciiTheme="minorHAnsi" w:eastAsia="Calibri" w:hAnsiTheme="minorHAnsi" w:cstheme="minorHAnsi"/>
          <w:color w:val="242424"/>
        </w:rPr>
        <w:t>review period</w:t>
      </w:r>
      <w:r w:rsidR="00973308">
        <w:rPr>
          <w:rFonts w:asciiTheme="minorHAnsi" w:eastAsia="Calibri" w:hAnsiTheme="minorHAnsi" w:cstheme="minorHAnsi"/>
          <w:color w:val="242424"/>
        </w:rPr>
        <w:t>. A</w:t>
      </w:r>
      <w:r w:rsidR="00F94177" w:rsidRPr="005B7B77">
        <w:rPr>
          <w:rFonts w:asciiTheme="minorHAnsi" w:eastAsia="Calibri" w:hAnsiTheme="minorHAnsi" w:cstheme="minorHAnsi"/>
          <w:color w:val="242424"/>
        </w:rPr>
        <w:t xml:space="preserve"> new </w:t>
      </w:r>
      <w:r w:rsidR="00B144D6">
        <w:rPr>
          <w:rFonts w:asciiTheme="minorHAnsi" w:eastAsia="Calibri" w:hAnsiTheme="minorHAnsi" w:cstheme="minorHAnsi"/>
          <w:color w:val="242424"/>
        </w:rPr>
        <w:t>D</w:t>
      </w:r>
      <w:r w:rsidR="00F94177" w:rsidRPr="005B7B77">
        <w:rPr>
          <w:rFonts w:asciiTheme="minorHAnsi" w:eastAsia="Calibri" w:hAnsiTheme="minorHAnsi" w:cstheme="minorHAnsi"/>
          <w:color w:val="242424"/>
        </w:rPr>
        <w:t>irector</w:t>
      </w:r>
      <w:r w:rsidR="00973308">
        <w:rPr>
          <w:rFonts w:asciiTheme="minorHAnsi" w:eastAsia="Calibri" w:hAnsiTheme="minorHAnsi" w:cstheme="minorHAnsi"/>
          <w:color w:val="242424"/>
        </w:rPr>
        <w:t xml:space="preserve"> was in place</w:t>
      </w:r>
      <w:r w:rsidR="00F94177" w:rsidRPr="005B7B77">
        <w:rPr>
          <w:rFonts w:asciiTheme="minorHAnsi" w:eastAsia="Calibri" w:hAnsiTheme="minorHAnsi" w:cstheme="minorHAnsi"/>
          <w:color w:val="242424"/>
        </w:rPr>
        <w:t xml:space="preserve"> </w:t>
      </w:r>
      <w:r w:rsidR="00BA5A66" w:rsidRPr="005B7B77">
        <w:rPr>
          <w:rFonts w:asciiTheme="minorHAnsi" w:eastAsia="Calibri" w:hAnsiTheme="minorHAnsi" w:cstheme="minorHAnsi"/>
          <w:color w:val="242424"/>
        </w:rPr>
        <w:t>September through</w:t>
      </w:r>
      <w:r w:rsidR="008C575A" w:rsidRPr="005B7B77">
        <w:rPr>
          <w:rFonts w:asciiTheme="minorHAnsi" w:eastAsia="Calibri" w:hAnsiTheme="minorHAnsi" w:cstheme="minorHAnsi"/>
          <w:color w:val="242424"/>
        </w:rPr>
        <w:t xml:space="preserve"> </w:t>
      </w:r>
      <w:r w:rsidR="00973308" w:rsidRPr="005B7B77">
        <w:rPr>
          <w:rFonts w:asciiTheme="minorHAnsi" w:eastAsia="Calibri" w:hAnsiTheme="minorHAnsi" w:cstheme="minorHAnsi"/>
          <w:color w:val="242424"/>
        </w:rPr>
        <w:t>December 2023 and</w:t>
      </w:r>
      <w:r w:rsidR="00973308">
        <w:rPr>
          <w:rFonts w:asciiTheme="minorHAnsi" w:eastAsia="Calibri" w:hAnsiTheme="minorHAnsi" w:cstheme="minorHAnsi"/>
          <w:color w:val="242424"/>
        </w:rPr>
        <w:t xml:space="preserve"> then resigned.  From December of 2023 to April of 2024, there was an interim Director.  Brian Hudson was appointed as Director in April of 2024</w:t>
      </w:r>
      <w:r w:rsidR="00BA5A66" w:rsidRPr="005B7B77">
        <w:rPr>
          <w:rFonts w:asciiTheme="minorHAnsi" w:eastAsia="Calibri" w:hAnsiTheme="minorHAnsi" w:cstheme="minorHAnsi"/>
          <w:color w:val="242424"/>
        </w:rPr>
        <w:t>.</w:t>
      </w:r>
      <w:r w:rsidR="005074F6" w:rsidRPr="005B7B77">
        <w:rPr>
          <w:rFonts w:asciiTheme="minorHAnsi" w:eastAsia="Calibri" w:hAnsiTheme="minorHAnsi" w:cstheme="minorHAnsi"/>
          <w:color w:val="242424"/>
        </w:rPr>
        <w:t xml:space="preserve">  </w:t>
      </w:r>
      <w:r w:rsidR="006A3073" w:rsidRPr="005B7B77">
        <w:rPr>
          <w:rFonts w:asciiTheme="minorHAnsi" w:eastAsia="Calibri" w:hAnsiTheme="minorHAnsi" w:cstheme="minorHAnsi"/>
          <w:color w:val="242424"/>
        </w:rPr>
        <w:t xml:space="preserve">The compliance team was divided into </w:t>
      </w:r>
      <w:r w:rsidR="00735DBE" w:rsidRPr="005B7B77">
        <w:rPr>
          <w:rFonts w:asciiTheme="minorHAnsi" w:eastAsia="Calibri" w:hAnsiTheme="minorHAnsi" w:cstheme="minorHAnsi"/>
          <w:color w:val="242424"/>
        </w:rPr>
        <w:t xml:space="preserve">five sections, one of which </w:t>
      </w:r>
      <w:r w:rsidR="00802883" w:rsidRPr="005B7B77">
        <w:rPr>
          <w:rFonts w:asciiTheme="minorHAnsi" w:eastAsia="Calibri" w:hAnsiTheme="minorHAnsi" w:cstheme="minorHAnsi"/>
          <w:color w:val="242424"/>
        </w:rPr>
        <w:t>included the</w:t>
      </w:r>
      <w:r w:rsidR="00735DBE" w:rsidRPr="005B7B77">
        <w:rPr>
          <w:rFonts w:asciiTheme="minorHAnsi" w:eastAsia="Calibri" w:hAnsiTheme="minorHAnsi" w:cstheme="minorHAnsi"/>
          <w:color w:val="242424"/>
        </w:rPr>
        <w:t xml:space="preserve"> </w:t>
      </w:r>
      <w:r w:rsidR="00C749AF" w:rsidRPr="005B7B77">
        <w:rPr>
          <w:rFonts w:asciiTheme="minorHAnsi" w:eastAsia="Calibri" w:hAnsiTheme="minorHAnsi" w:cstheme="minorHAnsi"/>
          <w:color w:val="242424"/>
        </w:rPr>
        <w:t>newly formed</w:t>
      </w:r>
      <w:r w:rsidR="00735DBE" w:rsidRPr="005B7B77">
        <w:rPr>
          <w:rFonts w:asciiTheme="minorHAnsi" w:eastAsia="Calibri" w:hAnsiTheme="minorHAnsi" w:cstheme="minorHAnsi"/>
          <w:color w:val="242424"/>
        </w:rPr>
        <w:t xml:space="preserve"> intake team to address incoming complaints as well as the backlog </w:t>
      </w:r>
      <w:r w:rsidR="00D86F2A">
        <w:rPr>
          <w:rFonts w:asciiTheme="minorHAnsi" w:eastAsia="Calibri" w:hAnsiTheme="minorHAnsi" w:cstheme="minorHAnsi"/>
          <w:color w:val="242424"/>
        </w:rPr>
        <w:t xml:space="preserve">of unresolved complaints </w:t>
      </w:r>
      <w:r w:rsidR="00735DBE" w:rsidRPr="005B7B77">
        <w:rPr>
          <w:rFonts w:asciiTheme="minorHAnsi" w:eastAsia="Calibri" w:hAnsiTheme="minorHAnsi" w:cstheme="minorHAnsi"/>
          <w:color w:val="242424"/>
        </w:rPr>
        <w:t>identified in the Special Study</w:t>
      </w:r>
      <w:bookmarkEnd w:id="10"/>
      <w:r w:rsidR="00735DBE" w:rsidRPr="005B7B77">
        <w:rPr>
          <w:rFonts w:asciiTheme="minorHAnsi" w:eastAsia="Calibri" w:hAnsiTheme="minorHAnsi" w:cstheme="minorHAnsi"/>
          <w:color w:val="242424"/>
        </w:rPr>
        <w:t xml:space="preserve">.  </w:t>
      </w:r>
    </w:p>
    <w:p w14:paraId="4D45CF2E" w14:textId="76833041" w:rsidR="00780E29" w:rsidRPr="005B7B77" w:rsidRDefault="00780E29" w:rsidP="000B58F1">
      <w:pPr>
        <w:widowControl/>
        <w:autoSpaceDE/>
        <w:autoSpaceDN/>
        <w:adjustRightInd/>
        <w:rPr>
          <w:rFonts w:asciiTheme="minorHAnsi" w:hAnsiTheme="minorHAnsi" w:cstheme="minorHAnsi"/>
          <w:iCs/>
        </w:rPr>
      </w:pPr>
    </w:p>
    <w:p w14:paraId="0A29FCDE" w14:textId="40051B71" w:rsidR="00054900" w:rsidRPr="00476C08" w:rsidRDefault="00054900" w:rsidP="002D09AF">
      <w:pPr>
        <w:pStyle w:val="Heading2"/>
      </w:pPr>
      <w:bookmarkStart w:id="11" w:name="_Toc118900172"/>
      <w:bookmarkStart w:id="12" w:name="_Toc118905011"/>
      <w:bookmarkStart w:id="13" w:name="_Toc190424177"/>
      <w:r w:rsidRPr="00476C08">
        <w:t xml:space="preserve">Assessment of State Plan </w:t>
      </w:r>
      <w:r w:rsidR="001E2FBB" w:rsidRPr="00476C08">
        <w:t xml:space="preserve">Progress and </w:t>
      </w:r>
      <w:r w:rsidRPr="00476C08">
        <w:t>Performance</w:t>
      </w:r>
      <w:bookmarkEnd w:id="11"/>
      <w:bookmarkEnd w:id="12"/>
      <w:bookmarkEnd w:id="13"/>
    </w:p>
    <w:p w14:paraId="07D68C5F" w14:textId="77777777" w:rsidR="00054900" w:rsidRPr="001C1E47" w:rsidRDefault="00054900" w:rsidP="009715A9">
      <w:pPr>
        <w:widowControl/>
        <w:autoSpaceDE/>
        <w:autoSpaceDN/>
        <w:adjustRightInd/>
        <w:ind w:firstLine="720"/>
        <w:rPr>
          <w:rFonts w:cs="Calibri"/>
        </w:rPr>
      </w:pPr>
    </w:p>
    <w:p w14:paraId="4CD3C312" w14:textId="1360561C" w:rsidR="000A134A" w:rsidRPr="00C53328" w:rsidRDefault="00C76609" w:rsidP="0045624F">
      <w:pPr>
        <w:pStyle w:val="Heading3"/>
      </w:pPr>
      <w:bookmarkStart w:id="14" w:name="_Toc118900173"/>
      <w:bookmarkStart w:id="15" w:name="_Toc118905012"/>
      <w:bookmarkStart w:id="16" w:name="_Toc190424178"/>
      <w:r>
        <w:t xml:space="preserve">A.  </w:t>
      </w:r>
      <w:r w:rsidR="000A134A" w:rsidRPr="00C53328">
        <w:t>Data and Methodology</w:t>
      </w:r>
      <w:bookmarkEnd w:id="14"/>
      <w:bookmarkEnd w:id="15"/>
      <w:bookmarkEnd w:id="16"/>
    </w:p>
    <w:p w14:paraId="2DED3755" w14:textId="77777777" w:rsidR="00E21037" w:rsidRDefault="00E21037" w:rsidP="000B58F1">
      <w:pPr>
        <w:widowControl/>
        <w:autoSpaceDE/>
        <w:autoSpaceDN/>
        <w:adjustRightInd/>
        <w:rPr>
          <w:rFonts w:cs="Calibri"/>
          <w:bCs/>
        </w:rPr>
      </w:pPr>
    </w:p>
    <w:p w14:paraId="72EF69F8" w14:textId="33220C9E" w:rsidR="000A134A" w:rsidRDefault="00E94EE6" w:rsidP="56B52501">
      <w:pPr>
        <w:widowControl/>
        <w:autoSpaceDE/>
        <w:autoSpaceDN/>
        <w:adjustRightInd/>
        <w:rPr>
          <w:rFonts w:cs="Calibri"/>
        </w:rPr>
      </w:pPr>
      <w:r w:rsidRPr="56B52501">
        <w:rPr>
          <w:rFonts w:cs="Calibri"/>
        </w:rPr>
        <w:t xml:space="preserve">OSHA has established a two-year cycle for the FAME process.  This is the follow-up year, and as such, </w:t>
      </w:r>
      <w:r w:rsidR="006F535A" w:rsidRPr="56B52501">
        <w:rPr>
          <w:rFonts w:cs="Calibri"/>
        </w:rPr>
        <w:t>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3C4AE5C9" w14:textId="77777777" w:rsidR="00AD79C8" w:rsidRDefault="00AD79C8" w:rsidP="000B58F1">
      <w:pPr>
        <w:widowControl/>
        <w:autoSpaceDE/>
        <w:autoSpaceDN/>
        <w:adjustRightInd/>
        <w:rPr>
          <w:rFonts w:cs="Calibri"/>
          <w:bCs/>
        </w:rPr>
      </w:pPr>
    </w:p>
    <w:p w14:paraId="2CC5D5D6" w14:textId="07A945B9" w:rsidR="006F535A" w:rsidRPr="00EB2232" w:rsidRDefault="00675525" w:rsidP="45A38A98">
      <w:pPr>
        <w:pStyle w:val="ListParagraph"/>
        <w:numPr>
          <w:ilvl w:val="0"/>
          <w:numId w:val="13"/>
        </w:numPr>
        <w:spacing w:after="0"/>
        <w:rPr>
          <w:sz w:val="24"/>
          <w:szCs w:val="24"/>
        </w:rPr>
      </w:pPr>
      <w:r w:rsidRPr="45A38A98">
        <w:rPr>
          <w:sz w:val="24"/>
          <w:szCs w:val="24"/>
        </w:rPr>
        <w:t>State Activity Mandated Measures</w:t>
      </w:r>
      <w:r w:rsidR="00AD79C8" w:rsidRPr="45A38A98">
        <w:rPr>
          <w:sz w:val="24"/>
          <w:szCs w:val="24"/>
        </w:rPr>
        <w:t xml:space="preserve"> (SAMM)</w:t>
      </w:r>
      <w:r w:rsidR="00583B7A" w:rsidRPr="45A38A98">
        <w:rPr>
          <w:sz w:val="24"/>
          <w:szCs w:val="24"/>
        </w:rPr>
        <w:t xml:space="preserve"> Report</w:t>
      </w:r>
      <w:r w:rsidRPr="45A38A98">
        <w:rPr>
          <w:sz w:val="24"/>
          <w:szCs w:val="24"/>
        </w:rPr>
        <w:t xml:space="preserve"> (</w:t>
      </w:r>
      <w:r w:rsidR="00583B7A" w:rsidRPr="45A38A98">
        <w:rPr>
          <w:sz w:val="24"/>
          <w:szCs w:val="24"/>
        </w:rPr>
        <w:t>Appendix D</w:t>
      </w:r>
      <w:r w:rsidR="00A77B4E">
        <w:rPr>
          <w:sz w:val="24"/>
          <w:szCs w:val="24"/>
        </w:rPr>
        <w:t>,</w:t>
      </w:r>
      <w:r w:rsidR="00583B7A" w:rsidRPr="45A38A98">
        <w:rPr>
          <w:sz w:val="24"/>
          <w:szCs w:val="24"/>
        </w:rPr>
        <w:t xml:space="preserve"> dated 11/</w:t>
      </w:r>
      <w:r w:rsidR="00C33003">
        <w:rPr>
          <w:sz w:val="24"/>
          <w:szCs w:val="24"/>
        </w:rPr>
        <w:t>12</w:t>
      </w:r>
      <w:r w:rsidR="00583B7A" w:rsidRPr="45A38A98">
        <w:rPr>
          <w:sz w:val="24"/>
          <w:szCs w:val="24"/>
        </w:rPr>
        <w:t>/202</w:t>
      </w:r>
      <w:r w:rsidR="00401E10">
        <w:rPr>
          <w:sz w:val="24"/>
          <w:szCs w:val="24"/>
        </w:rPr>
        <w:t>4</w:t>
      </w:r>
      <w:r w:rsidRPr="45A38A98">
        <w:rPr>
          <w:sz w:val="24"/>
          <w:szCs w:val="24"/>
        </w:rPr>
        <w:t xml:space="preserve">) </w:t>
      </w:r>
    </w:p>
    <w:p w14:paraId="326B69CB" w14:textId="00183E48" w:rsidR="00675525" w:rsidRPr="00EB2232" w:rsidRDefault="00675525" w:rsidP="000B58F1">
      <w:pPr>
        <w:pStyle w:val="ListParagraph"/>
        <w:numPr>
          <w:ilvl w:val="0"/>
          <w:numId w:val="13"/>
        </w:numPr>
        <w:spacing w:after="0"/>
        <w:rPr>
          <w:bCs/>
          <w:sz w:val="24"/>
          <w:szCs w:val="24"/>
        </w:rPr>
      </w:pPr>
      <w:r w:rsidRPr="00EB2232">
        <w:rPr>
          <w:bCs/>
          <w:sz w:val="24"/>
          <w:szCs w:val="24"/>
        </w:rPr>
        <w:t>State Information Report (SIR</w:t>
      </w:r>
      <w:r w:rsidR="18A22C2F" w:rsidRPr="3BF74A17">
        <w:rPr>
          <w:sz w:val="24"/>
          <w:szCs w:val="24"/>
        </w:rPr>
        <w:t>)</w:t>
      </w:r>
      <w:r w:rsidR="00DC1226" w:rsidRPr="00EB2232">
        <w:rPr>
          <w:bCs/>
          <w:sz w:val="24"/>
          <w:szCs w:val="24"/>
        </w:rPr>
        <w:t xml:space="preserve"> dated 11/</w:t>
      </w:r>
      <w:r w:rsidR="005307EA">
        <w:rPr>
          <w:bCs/>
          <w:sz w:val="24"/>
          <w:szCs w:val="24"/>
        </w:rPr>
        <w:t>12</w:t>
      </w:r>
      <w:r w:rsidR="00DC1226" w:rsidRPr="00EB2232">
        <w:rPr>
          <w:bCs/>
          <w:sz w:val="24"/>
          <w:szCs w:val="24"/>
        </w:rPr>
        <w:t>/202</w:t>
      </w:r>
      <w:r w:rsidR="00401E10">
        <w:rPr>
          <w:bCs/>
          <w:sz w:val="24"/>
          <w:szCs w:val="24"/>
        </w:rPr>
        <w:t>4</w:t>
      </w:r>
    </w:p>
    <w:p w14:paraId="75594B60" w14:textId="16D4A233" w:rsidR="00675525" w:rsidRPr="00EB2232" w:rsidRDefault="00C557AF" w:rsidP="000B58F1">
      <w:pPr>
        <w:pStyle w:val="ListParagraph"/>
        <w:numPr>
          <w:ilvl w:val="0"/>
          <w:numId w:val="13"/>
        </w:numPr>
        <w:spacing w:after="0"/>
        <w:rPr>
          <w:bCs/>
          <w:sz w:val="24"/>
          <w:szCs w:val="24"/>
        </w:rPr>
      </w:pPr>
      <w:r w:rsidRPr="00EB2232">
        <w:rPr>
          <w:bCs/>
          <w:sz w:val="24"/>
          <w:szCs w:val="24"/>
        </w:rPr>
        <w:t>State OSHA Annual Report (SOAR)</w:t>
      </w:r>
    </w:p>
    <w:p w14:paraId="28B8E2D4" w14:textId="31672BBF" w:rsidR="00C557AF" w:rsidRPr="00EB2232" w:rsidRDefault="00C557AF" w:rsidP="000B58F1">
      <w:pPr>
        <w:pStyle w:val="ListParagraph"/>
        <w:numPr>
          <w:ilvl w:val="0"/>
          <w:numId w:val="13"/>
        </w:numPr>
        <w:spacing w:after="0"/>
        <w:rPr>
          <w:bCs/>
          <w:sz w:val="24"/>
          <w:szCs w:val="24"/>
        </w:rPr>
      </w:pPr>
      <w:r w:rsidRPr="00EB2232">
        <w:rPr>
          <w:bCs/>
          <w:sz w:val="24"/>
          <w:szCs w:val="24"/>
        </w:rPr>
        <w:t>State Plan Annual Performance Plan</w:t>
      </w:r>
      <w:r w:rsidR="00EB2232" w:rsidRPr="00EB2232">
        <w:rPr>
          <w:bCs/>
          <w:sz w:val="24"/>
          <w:szCs w:val="24"/>
        </w:rPr>
        <w:t xml:space="preserve"> (APP)</w:t>
      </w:r>
      <w:r w:rsidRPr="00EB2232">
        <w:rPr>
          <w:bCs/>
          <w:sz w:val="24"/>
          <w:szCs w:val="24"/>
        </w:rPr>
        <w:t xml:space="preserve"> </w:t>
      </w:r>
    </w:p>
    <w:p w14:paraId="0A411F06" w14:textId="60A70D37" w:rsidR="00C06F59" w:rsidRPr="00EB2232" w:rsidRDefault="00C06F59" w:rsidP="000B58F1">
      <w:pPr>
        <w:pStyle w:val="ListParagraph"/>
        <w:numPr>
          <w:ilvl w:val="0"/>
          <w:numId w:val="13"/>
        </w:numPr>
        <w:spacing w:after="0"/>
        <w:rPr>
          <w:bCs/>
          <w:sz w:val="24"/>
          <w:szCs w:val="24"/>
        </w:rPr>
      </w:pPr>
      <w:r w:rsidRPr="00EB2232">
        <w:rPr>
          <w:bCs/>
          <w:sz w:val="24"/>
          <w:szCs w:val="24"/>
        </w:rPr>
        <w:t xml:space="preserve">State Plan </w:t>
      </w:r>
      <w:r w:rsidR="009C5249" w:rsidRPr="00EB2232">
        <w:rPr>
          <w:bCs/>
          <w:sz w:val="24"/>
          <w:szCs w:val="24"/>
        </w:rPr>
        <w:t xml:space="preserve">23(g) </w:t>
      </w:r>
      <w:r w:rsidRPr="00EB2232">
        <w:rPr>
          <w:bCs/>
          <w:sz w:val="24"/>
          <w:szCs w:val="24"/>
        </w:rPr>
        <w:t>Grant Application</w:t>
      </w:r>
    </w:p>
    <w:p w14:paraId="48DE7555" w14:textId="0C8C4CC7" w:rsidR="00783189" w:rsidRPr="00EB2232" w:rsidRDefault="00C06F59" w:rsidP="000B58F1">
      <w:pPr>
        <w:pStyle w:val="ListParagraph"/>
        <w:numPr>
          <w:ilvl w:val="0"/>
          <w:numId w:val="13"/>
        </w:numPr>
        <w:spacing w:after="0"/>
        <w:rPr>
          <w:sz w:val="24"/>
          <w:szCs w:val="24"/>
        </w:rPr>
      </w:pPr>
      <w:r w:rsidRPr="00EB2232">
        <w:rPr>
          <w:bCs/>
          <w:sz w:val="24"/>
          <w:szCs w:val="24"/>
        </w:rPr>
        <w:t>Quarterly monitoring meetings between OSHA and the State Plan</w:t>
      </w:r>
    </w:p>
    <w:p w14:paraId="7D6A37A5" w14:textId="403BCAE5" w:rsidR="00F13AF2" w:rsidRPr="00EB2232" w:rsidRDefault="009E2390" w:rsidP="000B58F1">
      <w:pPr>
        <w:pStyle w:val="ListParagraph"/>
        <w:numPr>
          <w:ilvl w:val="0"/>
          <w:numId w:val="13"/>
        </w:numPr>
        <w:spacing w:after="0"/>
        <w:rPr>
          <w:sz w:val="24"/>
          <w:szCs w:val="24"/>
        </w:rPr>
      </w:pPr>
      <w:r>
        <w:rPr>
          <w:sz w:val="24"/>
          <w:szCs w:val="24"/>
        </w:rPr>
        <w:t>Whistleblower Application in the OSHA IT Support System (OITSS)</w:t>
      </w:r>
    </w:p>
    <w:p w14:paraId="58F30350" w14:textId="6226BC91" w:rsidR="00AE7AA9" w:rsidRPr="00EB2232" w:rsidRDefault="00AE7AA9" w:rsidP="000B58F1">
      <w:pPr>
        <w:pStyle w:val="ListParagraph"/>
        <w:numPr>
          <w:ilvl w:val="0"/>
          <w:numId w:val="13"/>
        </w:numPr>
        <w:spacing w:after="0"/>
        <w:rPr>
          <w:sz w:val="24"/>
          <w:szCs w:val="24"/>
        </w:rPr>
      </w:pPr>
      <w:r w:rsidRPr="45A38A98">
        <w:rPr>
          <w:sz w:val="24"/>
          <w:szCs w:val="24"/>
        </w:rPr>
        <w:t xml:space="preserve">State Plan Application (SPA) </w:t>
      </w:r>
    </w:p>
    <w:p w14:paraId="4F3E9B2C" w14:textId="131C2A47" w:rsidR="009B1F5B" w:rsidRDefault="009B1F5B" w:rsidP="000B58F1">
      <w:pPr>
        <w:pStyle w:val="ListParagraph"/>
        <w:numPr>
          <w:ilvl w:val="0"/>
          <w:numId w:val="13"/>
        </w:numPr>
        <w:spacing w:after="0"/>
        <w:rPr>
          <w:sz w:val="24"/>
          <w:szCs w:val="24"/>
        </w:rPr>
      </w:pPr>
      <w:r w:rsidRPr="45A38A98">
        <w:rPr>
          <w:sz w:val="24"/>
          <w:szCs w:val="24"/>
        </w:rPr>
        <w:t>OSHA Information System</w:t>
      </w:r>
      <w:r w:rsidR="00AD79C8" w:rsidRPr="45A38A98">
        <w:rPr>
          <w:sz w:val="24"/>
          <w:szCs w:val="24"/>
        </w:rPr>
        <w:t xml:space="preserve"> (OIS)</w:t>
      </w:r>
      <w:r w:rsidRPr="45A38A98">
        <w:rPr>
          <w:sz w:val="24"/>
          <w:szCs w:val="24"/>
        </w:rPr>
        <w:t xml:space="preserve"> </w:t>
      </w:r>
    </w:p>
    <w:p w14:paraId="33DDDECC" w14:textId="5E9D2E4F" w:rsidR="003228C8" w:rsidRPr="00EB2232" w:rsidRDefault="00A0529D" w:rsidP="000B58F1">
      <w:pPr>
        <w:pStyle w:val="ListParagraph"/>
        <w:numPr>
          <w:ilvl w:val="0"/>
          <w:numId w:val="13"/>
        </w:numPr>
        <w:spacing w:after="0"/>
        <w:rPr>
          <w:sz w:val="24"/>
          <w:szCs w:val="24"/>
        </w:rPr>
      </w:pPr>
      <w:r>
        <w:rPr>
          <w:sz w:val="24"/>
          <w:szCs w:val="24"/>
        </w:rPr>
        <w:t>Arizona 2023 Special Study Report</w:t>
      </w:r>
    </w:p>
    <w:p w14:paraId="7480A753" w14:textId="77777777" w:rsidR="00EB2232" w:rsidRDefault="00EB2232" w:rsidP="00EB2232">
      <w:pPr>
        <w:pStyle w:val="ListParagraph"/>
        <w:spacing w:after="0"/>
        <w:rPr>
          <w:sz w:val="24"/>
          <w:szCs w:val="24"/>
        </w:rPr>
      </w:pPr>
    </w:p>
    <w:p w14:paraId="4FA5CDE3" w14:textId="77777777" w:rsidR="00B144D6" w:rsidRPr="00EB2232" w:rsidRDefault="00B144D6" w:rsidP="00EB2232">
      <w:pPr>
        <w:pStyle w:val="ListParagraph"/>
        <w:spacing w:after="0"/>
        <w:rPr>
          <w:sz w:val="24"/>
          <w:szCs w:val="24"/>
        </w:rPr>
      </w:pPr>
    </w:p>
    <w:p w14:paraId="5E67DDEC" w14:textId="33DDB6B2" w:rsidR="000A134A" w:rsidRPr="001C1E47" w:rsidRDefault="6839E8C5" w:rsidP="0045624F">
      <w:pPr>
        <w:pStyle w:val="Heading3"/>
      </w:pPr>
      <w:bookmarkStart w:id="17" w:name="_Toc118900174"/>
      <w:bookmarkStart w:id="18" w:name="_Toc118905013"/>
      <w:bookmarkStart w:id="19" w:name="_Toc190424179"/>
      <w:r>
        <w:t xml:space="preserve">B.  </w:t>
      </w:r>
      <w:r w:rsidR="625C2EF5">
        <w:t>Findings and Observations</w:t>
      </w:r>
      <w:bookmarkEnd w:id="17"/>
      <w:bookmarkEnd w:id="18"/>
      <w:bookmarkEnd w:id="19"/>
    </w:p>
    <w:p w14:paraId="01413B69" w14:textId="0753F002" w:rsidR="08722B81" w:rsidRDefault="08722B81" w:rsidP="08722B81">
      <w:pPr>
        <w:widowControl/>
        <w:rPr>
          <w:rFonts w:eastAsia="Calibri" w:cs="Calibri"/>
        </w:rPr>
      </w:pPr>
    </w:p>
    <w:p w14:paraId="1CB657B7" w14:textId="6F10ABA8" w:rsidR="005C1BFC" w:rsidRPr="0061362E" w:rsidRDefault="74107211" w:rsidP="08722B81">
      <w:pPr>
        <w:widowControl/>
        <w:autoSpaceDE/>
        <w:autoSpaceDN/>
        <w:adjustRightInd/>
        <w:rPr>
          <w:rFonts w:eastAsia="Calibri" w:cs="Calibri"/>
        </w:rPr>
      </w:pPr>
      <w:r w:rsidRPr="08722B81">
        <w:rPr>
          <w:rFonts w:eastAsia="Calibri" w:cs="Calibri"/>
        </w:rPr>
        <w:t xml:space="preserve">The </w:t>
      </w:r>
      <w:r w:rsidR="7D2AEF34" w:rsidRPr="08722B81">
        <w:rPr>
          <w:rFonts w:eastAsia="Calibri" w:cs="Calibri"/>
        </w:rPr>
        <w:t xml:space="preserve">Arizona </w:t>
      </w:r>
      <w:r w:rsidRPr="08722B81">
        <w:rPr>
          <w:rFonts w:eastAsia="Calibri" w:cs="Calibri"/>
        </w:rPr>
        <w:t>State Plan made progress</w:t>
      </w:r>
      <w:r w:rsidR="40EBD979" w:rsidRPr="08722B81">
        <w:rPr>
          <w:rFonts w:eastAsia="Calibri" w:cs="Calibri"/>
        </w:rPr>
        <w:t xml:space="preserve"> to </w:t>
      </w:r>
      <w:r w:rsidRPr="08722B81">
        <w:rPr>
          <w:rFonts w:eastAsia="Calibri" w:cs="Calibri"/>
        </w:rPr>
        <w:t xml:space="preserve">address the </w:t>
      </w:r>
      <w:r w:rsidR="56EA7A91" w:rsidRPr="08722B81">
        <w:rPr>
          <w:rFonts w:eastAsia="Calibri" w:cs="Calibri"/>
        </w:rPr>
        <w:t xml:space="preserve">eight </w:t>
      </w:r>
      <w:r w:rsidRPr="08722B81">
        <w:rPr>
          <w:rFonts w:eastAsia="Calibri" w:cs="Calibri"/>
        </w:rPr>
        <w:t xml:space="preserve">findings and </w:t>
      </w:r>
      <w:r w:rsidR="56EA7A91" w:rsidRPr="08722B81">
        <w:rPr>
          <w:rFonts w:eastAsia="Calibri" w:cs="Calibri"/>
        </w:rPr>
        <w:t xml:space="preserve">three </w:t>
      </w:r>
      <w:r w:rsidRPr="08722B81">
        <w:rPr>
          <w:rFonts w:eastAsia="Calibri" w:cs="Calibri"/>
        </w:rPr>
        <w:t>observations from the FY 202</w:t>
      </w:r>
      <w:r w:rsidR="287DACB1" w:rsidRPr="08722B81">
        <w:rPr>
          <w:rFonts w:eastAsia="Calibri" w:cs="Calibri"/>
        </w:rPr>
        <w:t>3</w:t>
      </w:r>
      <w:r w:rsidRPr="08722B81">
        <w:rPr>
          <w:rFonts w:eastAsia="Calibri" w:cs="Calibri"/>
        </w:rPr>
        <w:t xml:space="preserve"> Comprehensive FAME Report.  This follow-up FAME report contains </w:t>
      </w:r>
      <w:r w:rsidR="7FD83FBB" w:rsidRPr="08722B81">
        <w:rPr>
          <w:rFonts w:eastAsia="Calibri" w:cs="Calibri"/>
        </w:rPr>
        <w:t>four</w:t>
      </w:r>
      <w:r w:rsidR="47E52CCE" w:rsidRPr="08722B81">
        <w:rPr>
          <w:rFonts w:eastAsia="Calibri" w:cs="Calibri"/>
        </w:rPr>
        <w:t xml:space="preserve"> </w:t>
      </w:r>
      <w:r w:rsidR="3BE13666" w:rsidRPr="08722B81">
        <w:rPr>
          <w:rFonts w:eastAsia="Calibri" w:cs="Calibri"/>
        </w:rPr>
        <w:t xml:space="preserve">continued </w:t>
      </w:r>
      <w:r w:rsidRPr="08722B81">
        <w:rPr>
          <w:rFonts w:eastAsia="Calibri" w:cs="Calibri"/>
        </w:rPr>
        <w:t>findings</w:t>
      </w:r>
      <w:r w:rsidR="7FD83FBB" w:rsidRPr="08722B81">
        <w:rPr>
          <w:rFonts w:eastAsia="Calibri" w:cs="Calibri"/>
        </w:rPr>
        <w:t xml:space="preserve">, one continued observation, and two new observations. </w:t>
      </w:r>
      <w:r w:rsidR="106E0FCB" w:rsidRPr="08722B81">
        <w:rPr>
          <w:rFonts w:eastAsia="Calibri" w:cs="Calibri"/>
        </w:rPr>
        <w:t xml:space="preserve"> </w:t>
      </w:r>
      <w:r w:rsidR="7FD83FBB" w:rsidRPr="08722B81">
        <w:rPr>
          <w:rFonts w:eastAsia="Calibri" w:cs="Calibri"/>
        </w:rPr>
        <w:t xml:space="preserve">Three of </w:t>
      </w:r>
      <w:r w:rsidR="2575A9BF" w:rsidRPr="08722B81">
        <w:rPr>
          <w:rFonts w:eastAsia="Calibri" w:cs="Calibri"/>
        </w:rPr>
        <w:t xml:space="preserve">eight </w:t>
      </w:r>
      <w:r w:rsidRPr="08722B81">
        <w:rPr>
          <w:rFonts w:eastAsia="Calibri" w:cs="Calibri"/>
        </w:rPr>
        <w:t>finding</w:t>
      </w:r>
      <w:r w:rsidR="1A799AA0" w:rsidRPr="08722B81">
        <w:rPr>
          <w:rFonts w:eastAsia="Calibri" w:cs="Calibri"/>
        </w:rPr>
        <w:t>s</w:t>
      </w:r>
      <w:r w:rsidRPr="08722B81">
        <w:rPr>
          <w:rFonts w:eastAsia="Calibri" w:cs="Calibri"/>
        </w:rPr>
        <w:t xml:space="preserve"> w</w:t>
      </w:r>
      <w:r w:rsidR="7D77D016" w:rsidRPr="08722B81">
        <w:rPr>
          <w:rFonts w:eastAsia="Calibri" w:cs="Calibri"/>
        </w:rPr>
        <w:t xml:space="preserve">ere </w:t>
      </w:r>
      <w:r w:rsidR="194C50A2" w:rsidRPr="08722B81">
        <w:rPr>
          <w:rFonts w:eastAsia="Calibri" w:cs="Calibri"/>
        </w:rPr>
        <w:t>completed</w:t>
      </w:r>
      <w:r w:rsidR="00C543F7" w:rsidRPr="08722B81">
        <w:rPr>
          <w:rFonts w:eastAsia="Calibri" w:cs="Calibri"/>
        </w:rPr>
        <w:t xml:space="preserve"> and </w:t>
      </w:r>
      <w:r w:rsidR="6387DC21" w:rsidRPr="08722B81">
        <w:rPr>
          <w:rFonts w:eastAsia="Calibri" w:cs="Calibri"/>
        </w:rPr>
        <w:t>one finding</w:t>
      </w:r>
      <w:r w:rsidR="00C543F7" w:rsidRPr="08722B81">
        <w:rPr>
          <w:rFonts w:eastAsia="Calibri" w:cs="Calibri"/>
        </w:rPr>
        <w:t xml:space="preserve"> and two observations were</w:t>
      </w:r>
      <w:r w:rsidR="6387DC21" w:rsidRPr="08722B81">
        <w:rPr>
          <w:rFonts w:eastAsia="Calibri" w:cs="Calibri"/>
        </w:rPr>
        <w:t xml:space="preserve"> closed.</w:t>
      </w:r>
      <w:r w:rsidR="49017BAC" w:rsidRPr="08722B81">
        <w:rPr>
          <w:rFonts w:eastAsia="Calibri" w:cs="Calibri"/>
        </w:rPr>
        <w:t xml:space="preserve">  A</w:t>
      </w:r>
      <w:r w:rsidRPr="08722B81">
        <w:rPr>
          <w:rFonts w:eastAsia="Calibri" w:cs="Calibri"/>
        </w:rPr>
        <w:t>ppendix A describes continued findings and recommendations.  Appendix B describes observations subject to continued monitoring and the related federal monitoring plan.  Appendix C describes the status of each FY 202</w:t>
      </w:r>
      <w:r w:rsidR="6C161617" w:rsidRPr="08722B81">
        <w:rPr>
          <w:rFonts w:eastAsia="Calibri" w:cs="Calibri"/>
        </w:rPr>
        <w:t>3</w:t>
      </w:r>
      <w:r w:rsidRPr="08722B81">
        <w:rPr>
          <w:rFonts w:eastAsia="Calibri" w:cs="Calibri"/>
        </w:rPr>
        <w:t xml:space="preserve"> finding and recommendation in detail.</w:t>
      </w:r>
    </w:p>
    <w:p w14:paraId="382B70C6" w14:textId="77777777" w:rsidR="005E00D8" w:rsidRDefault="005E00D8" w:rsidP="000B58F1">
      <w:pPr>
        <w:widowControl/>
        <w:autoSpaceDE/>
        <w:autoSpaceDN/>
        <w:adjustRightInd/>
        <w:rPr>
          <w:rFonts w:cs="Calibri"/>
          <w:b/>
          <w:bCs/>
        </w:rPr>
      </w:pPr>
    </w:p>
    <w:p w14:paraId="10BC8062" w14:textId="6D26FF2F" w:rsidR="07C7567D" w:rsidRDefault="07C7567D" w:rsidP="08722B81">
      <w:pPr>
        <w:widowControl/>
        <w:rPr>
          <w:rFonts w:cs="Calibri"/>
          <w:b/>
          <w:bCs/>
        </w:rPr>
      </w:pPr>
      <w:r w:rsidRPr="08722B81">
        <w:rPr>
          <w:rFonts w:cs="Calibri"/>
          <w:b/>
          <w:bCs/>
        </w:rPr>
        <w:t>Findings (Status of Previous and New Items)</w:t>
      </w:r>
    </w:p>
    <w:p w14:paraId="784A4ECA" w14:textId="295B8D51" w:rsidR="08722B81" w:rsidRDefault="08722B81" w:rsidP="08722B81">
      <w:pPr>
        <w:widowControl/>
        <w:rPr>
          <w:rFonts w:cs="Calibri"/>
          <w:b/>
          <w:bCs/>
        </w:rPr>
      </w:pPr>
    </w:p>
    <w:p w14:paraId="1CD392F2" w14:textId="2691886C" w:rsidR="005C1BFC" w:rsidRPr="0061362E" w:rsidRDefault="00733D36" w:rsidP="000B58F1">
      <w:pPr>
        <w:widowControl/>
        <w:autoSpaceDE/>
        <w:autoSpaceDN/>
        <w:adjustRightInd/>
        <w:rPr>
          <w:rFonts w:cs="Calibri"/>
          <w:b/>
          <w:bCs/>
        </w:rPr>
      </w:pPr>
      <w:r w:rsidRPr="0061362E">
        <w:rPr>
          <w:rFonts w:cs="Calibri"/>
          <w:b/>
          <w:bCs/>
        </w:rPr>
        <w:t xml:space="preserve">Completed </w:t>
      </w:r>
      <w:r w:rsidR="007C0A36" w:rsidRPr="0061362E">
        <w:rPr>
          <w:rFonts w:cs="Calibri"/>
          <w:b/>
          <w:bCs/>
        </w:rPr>
        <w:t>Findings</w:t>
      </w:r>
    </w:p>
    <w:p w14:paraId="35533DC4" w14:textId="77777777" w:rsidR="00A4433D" w:rsidRDefault="00A4433D" w:rsidP="00A4433D">
      <w:pPr>
        <w:widowControl/>
        <w:autoSpaceDE/>
        <w:autoSpaceDN/>
        <w:adjustRightInd/>
        <w:rPr>
          <w:rFonts w:cs="Calibri"/>
          <w:iCs/>
          <w:highlight w:val="cyan"/>
        </w:rPr>
      </w:pPr>
    </w:p>
    <w:p w14:paraId="2BC7AE13" w14:textId="33BC67E8" w:rsidR="00A4433D" w:rsidRPr="009F3A13" w:rsidRDefault="009F3A13" w:rsidP="00A4433D">
      <w:pPr>
        <w:widowControl/>
        <w:autoSpaceDE/>
        <w:autoSpaceDN/>
        <w:adjustRightInd/>
        <w:rPr>
          <w:rFonts w:cs="Calibri"/>
          <w:iCs/>
        </w:rPr>
      </w:pPr>
      <w:r w:rsidRPr="009F3A13">
        <w:rPr>
          <w:rFonts w:cs="Calibri"/>
          <w:b/>
          <w:bCs/>
          <w:iCs/>
        </w:rPr>
        <w:t>Finding FY 2023-01</w:t>
      </w:r>
      <w:r w:rsidR="00A4433D" w:rsidRPr="009F3A13">
        <w:rPr>
          <w:rFonts w:cs="Calibri"/>
          <w:iCs/>
        </w:rPr>
        <w:t xml:space="preserve">: </w:t>
      </w:r>
      <w:r w:rsidR="003C0B8F">
        <w:rPr>
          <w:rFonts w:cs="Calibri"/>
          <w:iCs/>
        </w:rPr>
        <w:t xml:space="preserve"> </w:t>
      </w:r>
      <w:r w:rsidR="00A4433D" w:rsidRPr="009F3A13">
        <w:rPr>
          <w:rFonts w:cs="Calibri"/>
          <w:iCs/>
        </w:rPr>
        <w:t>Enforcement activities were not captured in OIS.</w:t>
      </w:r>
    </w:p>
    <w:p w14:paraId="266DD81C" w14:textId="77777777" w:rsidR="00A4433D" w:rsidRDefault="00A4433D" w:rsidP="00A4433D">
      <w:pPr>
        <w:widowControl/>
        <w:autoSpaceDE/>
        <w:autoSpaceDN/>
        <w:adjustRightInd/>
        <w:rPr>
          <w:rFonts w:cs="Calibri"/>
          <w:iCs/>
          <w:highlight w:val="cyan"/>
        </w:rPr>
      </w:pPr>
    </w:p>
    <w:p w14:paraId="5493AA4C" w14:textId="29B81416" w:rsidR="00A4433D" w:rsidRPr="007E4C5F" w:rsidRDefault="00A4433D" w:rsidP="00CE26D2">
      <w:pPr>
        <w:widowControl/>
        <w:autoSpaceDE/>
        <w:autoSpaceDN/>
        <w:adjustRightInd/>
        <w:rPr>
          <w:rFonts w:cs="Calibri"/>
          <w:iCs/>
        </w:rPr>
      </w:pPr>
      <w:r w:rsidRPr="007E4C5F">
        <w:rPr>
          <w:rFonts w:cs="Calibri"/>
          <w:b/>
          <w:bCs/>
          <w:iCs/>
        </w:rPr>
        <w:t xml:space="preserve">Status: </w:t>
      </w:r>
      <w:r w:rsidR="007E4C5F">
        <w:rPr>
          <w:rFonts w:cs="Calibri"/>
          <w:iCs/>
        </w:rPr>
        <w:t>As a result of the</w:t>
      </w:r>
      <w:r w:rsidR="00C543F7">
        <w:rPr>
          <w:rFonts w:cs="Calibri"/>
          <w:iCs/>
        </w:rPr>
        <w:t xml:space="preserve"> Arizona</w:t>
      </w:r>
      <w:r w:rsidR="007E4C5F">
        <w:rPr>
          <w:rFonts w:cs="Calibri"/>
          <w:iCs/>
        </w:rPr>
        <w:t xml:space="preserve"> 2023 Special Study, t</w:t>
      </w:r>
      <w:r w:rsidRPr="007E4C5F">
        <w:rPr>
          <w:rFonts w:cs="Calibri"/>
          <w:iCs/>
        </w:rPr>
        <w:t xml:space="preserve">he Salesforce integration process was enhanced to perform a full sync of </w:t>
      </w:r>
      <w:r w:rsidR="0049369F" w:rsidRPr="007E4C5F">
        <w:rPr>
          <w:rFonts w:cs="Calibri"/>
          <w:iCs/>
        </w:rPr>
        <w:t>unprogrammed activity (UPA)</w:t>
      </w:r>
      <w:r w:rsidRPr="007E4C5F">
        <w:rPr>
          <w:rFonts w:cs="Calibri"/>
          <w:iCs/>
        </w:rPr>
        <w:t xml:space="preserve"> and inspection records.  </w:t>
      </w:r>
      <w:r w:rsidR="0049186D" w:rsidRPr="007E4C5F">
        <w:rPr>
          <w:rFonts w:cs="Calibri"/>
          <w:iCs/>
        </w:rPr>
        <w:t>Improvements included d</w:t>
      </w:r>
      <w:r w:rsidRPr="007E4C5F">
        <w:rPr>
          <w:rFonts w:cs="Calibri"/>
          <w:iCs/>
        </w:rPr>
        <w:t xml:space="preserve">aily finalized records uploaded to OIS.  A monthly </w:t>
      </w:r>
      <w:r w:rsidR="007E4C5F">
        <w:rPr>
          <w:rFonts w:cs="Calibri"/>
          <w:iCs/>
        </w:rPr>
        <w:t>comprehensive</w:t>
      </w:r>
      <w:r w:rsidR="007E4C5F" w:rsidRPr="007E4C5F">
        <w:rPr>
          <w:rFonts w:cs="Calibri"/>
          <w:iCs/>
        </w:rPr>
        <w:t xml:space="preserve"> </w:t>
      </w:r>
      <w:r w:rsidR="00FA64AA" w:rsidRPr="007E4C5F">
        <w:rPr>
          <w:rFonts w:cs="Calibri"/>
          <w:iCs/>
        </w:rPr>
        <w:t>sync</w:t>
      </w:r>
      <w:r w:rsidR="00FA64AA">
        <w:rPr>
          <w:rFonts w:cs="Calibri"/>
          <w:iCs/>
        </w:rPr>
        <w:t>hronization</w:t>
      </w:r>
      <w:r w:rsidRPr="007E4C5F">
        <w:rPr>
          <w:rFonts w:cs="Calibri"/>
          <w:iCs/>
        </w:rPr>
        <w:t xml:space="preserve"> was performed to ensure any changes to records were captured into OIS. </w:t>
      </w:r>
      <w:r w:rsidR="007E4C5F">
        <w:rPr>
          <w:rFonts w:cs="Calibri"/>
          <w:iCs/>
        </w:rPr>
        <w:t xml:space="preserve"> </w:t>
      </w:r>
      <w:r w:rsidR="00C50494">
        <w:rPr>
          <w:rFonts w:cs="Calibri"/>
          <w:iCs/>
        </w:rPr>
        <w:t xml:space="preserve">This included areas like formal and informal settlement agreements, which were areas of concern identified in the Special Study. </w:t>
      </w:r>
      <w:r w:rsidR="00D22EA3">
        <w:rPr>
          <w:rFonts w:cs="Calibri"/>
          <w:iCs/>
        </w:rPr>
        <w:t xml:space="preserve"> </w:t>
      </w:r>
      <w:r w:rsidR="00DC12A6">
        <w:rPr>
          <w:rFonts w:cs="Calibri"/>
          <w:iCs/>
        </w:rPr>
        <w:t xml:space="preserve">Arizona continues to work with Salesforce </w:t>
      </w:r>
      <w:r w:rsidR="00DB71B1">
        <w:rPr>
          <w:rFonts w:cs="Calibri"/>
          <w:iCs/>
        </w:rPr>
        <w:t xml:space="preserve">developers </w:t>
      </w:r>
      <w:r w:rsidR="00DC12A6">
        <w:rPr>
          <w:rFonts w:cs="Calibri"/>
          <w:iCs/>
        </w:rPr>
        <w:t xml:space="preserve">on </w:t>
      </w:r>
      <w:r w:rsidR="00440DDF">
        <w:rPr>
          <w:rFonts w:cs="Calibri"/>
          <w:iCs/>
        </w:rPr>
        <w:t xml:space="preserve">areas of concern </w:t>
      </w:r>
      <w:r w:rsidR="00DB71B1">
        <w:rPr>
          <w:rFonts w:cs="Calibri"/>
          <w:iCs/>
        </w:rPr>
        <w:t xml:space="preserve">when they arise, so that corrective action can be implemented.  </w:t>
      </w:r>
      <w:r w:rsidR="00200619" w:rsidRPr="007E4C5F">
        <w:rPr>
          <w:rFonts w:cs="Calibri"/>
          <w:iCs/>
        </w:rPr>
        <w:t xml:space="preserve">This finding is completed. </w:t>
      </w:r>
    </w:p>
    <w:p w14:paraId="3FF8FFE6" w14:textId="77777777" w:rsidR="00A4433D" w:rsidRDefault="00A4433D" w:rsidP="00A4433D">
      <w:pPr>
        <w:widowControl/>
        <w:autoSpaceDE/>
        <w:autoSpaceDN/>
        <w:adjustRightInd/>
        <w:rPr>
          <w:rFonts w:cs="Calibri"/>
          <w:iCs/>
          <w:highlight w:val="cyan"/>
        </w:rPr>
      </w:pPr>
    </w:p>
    <w:p w14:paraId="4E7DEFAC" w14:textId="3ACBB3C5" w:rsidR="00A4433D" w:rsidRPr="008965A2" w:rsidRDefault="008965A2" w:rsidP="00A4433D">
      <w:pPr>
        <w:widowControl/>
        <w:autoSpaceDE/>
        <w:autoSpaceDN/>
        <w:adjustRightInd/>
        <w:rPr>
          <w:rFonts w:cs="Calibri"/>
          <w:iCs/>
        </w:rPr>
      </w:pPr>
      <w:r>
        <w:rPr>
          <w:rFonts w:cs="Calibri"/>
          <w:b/>
          <w:bCs/>
          <w:iCs/>
        </w:rPr>
        <w:t xml:space="preserve">Finding </w:t>
      </w:r>
      <w:r w:rsidRPr="008965A2">
        <w:rPr>
          <w:rFonts w:cs="Calibri"/>
          <w:b/>
          <w:bCs/>
          <w:iCs/>
        </w:rPr>
        <w:t>FY 2023-02:</w:t>
      </w:r>
      <w:r w:rsidRPr="008965A2">
        <w:rPr>
          <w:rFonts w:cs="Calibri"/>
          <w:iCs/>
        </w:rPr>
        <w:t xml:space="preserve"> </w:t>
      </w:r>
      <w:r w:rsidR="003C0B8F">
        <w:rPr>
          <w:rFonts w:cs="Calibri"/>
          <w:iCs/>
        </w:rPr>
        <w:t xml:space="preserve"> </w:t>
      </w:r>
      <w:r w:rsidR="00A4433D" w:rsidRPr="008965A2">
        <w:rPr>
          <w:rFonts w:cs="Calibri"/>
          <w:iCs/>
        </w:rPr>
        <w:t>The internal evaluation system was not effectively utilized to manage the program.</w:t>
      </w:r>
    </w:p>
    <w:p w14:paraId="50608083" w14:textId="7106F9AE" w:rsidR="00A4433D" w:rsidRDefault="00A4433D" w:rsidP="00A4433D">
      <w:pPr>
        <w:widowControl/>
        <w:autoSpaceDE/>
        <w:autoSpaceDN/>
        <w:adjustRightInd/>
        <w:rPr>
          <w:rFonts w:cs="Calibri"/>
          <w:iCs/>
        </w:rPr>
      </w:pPr>
    </w:p>
    <w:p w14:paraId="1FE374BD" w14:textId="3B845F21" w:rsidR="007014BD" w:rsidRDefault="00A4433D" w:rsidP="00A4433D">
      <w:pPr>
        <w:widowControl/>
        <w:autoSpaceDE/>
        <w:autoSpaceDN/>
        <w:adjustRightInd/>
        <w:rPr>
          <w:rFonts w:eastAsia="Calibri" w:cs="Calibri"/>
        </w:rPr>
      </w:pPr>
      <w:r w:rsidRPr="00B71A27">
        <w:rPr>
          <w:rFonts w:cs="Calibri"/>
          <w:b/>
          <w:bCs/>
          <w:iCs/>
        </w:rPr>
        <w:t xml:space="preserve">Status: </w:t>
      </w:r>
      <w:r w:rsidR="00CE26D2">
        <w:rPr>
          <w:rFonts w:cs="Calibri"/>
          <w:iCs/>
        </w:rPr>
        <w:t xml:space="preserve">As a result of the Special Study, </w:t>
      </w:r>
      <w:r>
        <w:rPr>
          <w:rFonts w:cs="Calibri"/>
          <w:iCs/>
        </w:rPr>
        <w:t xml:space="preserve">ADOSH </w:t>
      </w:r>
      <w:r w:rsidR="00D001B2">
        <w:rPr>
          <w:rFonts w:cs="Calibri"/>
          <w:iCs/>
        </w:rPr>
        <w:t xml:space="preserve">recognized the </w:t>
      </w:r>
      <w:r>
        <w:rPr>
          <w:rFonts w:cs="Calibri"/>
          <w:iCs/>
        </w:rPr>
        <w:t xml:space="preserve">need for </w:t>
      </w:r>
      <w:r w:rsidR="00FA7066">
        <w:rPr>
          <w:rFonts w:cs="Calibri"/>
          <w:iCs/>
        </w:rPr>
        <w:t>a</w:t>
      </w:r>
      <w:r w:rsidR="00B70B57">
        <w:rPr>
          <w:rFonts w:cs="Calibri"/>
          <w:iCs/>
        </w:rPr>
        <w:t>n</w:t>
      </w:r>
      <w:r w:rsidR="00FA7066">
        <w:rPr>
          <w:rFonts w:cs="Calibri"/>
          <w:iCs/>
        </w:rPr>
        <w:t xml:space="preserve"> evaluation system and</w:t>
      </w:r>
      <w:r>
        <w:rPr>
          <w:rFonts w:cs="Calibri"/>
          <w:iCs/>
        </w:rPr>
        <w:t xml:space="preserve"> </w:t>
      </w:r>
      <w:r w:rsidR="009E654A">
        <w:rPr>
          <w:rFonts w:cs="Calibri"/>
          <w:iCs/>
        </w:rPr>
        <w:t xml:space="preserve">to </w:t>
      </w:r>
      <w:r>
        <w:rPr>
          <w:rFonts w:cs="Calibri"/>
          <w:iCs/>
        </w:rPr>
        <w:t>define areas for monthly internal audits</w:t>
      </w:r>
      <w:r w:rsidR="00AF296A">
        <w:rPr>
          <w:rFonts w:cs="Calibri"/>
          <w:iCs/>
        </w:rPr>
        <w:t xml:space="preserve"> </w:t>
      </w:r>
      <w:proofErr w:type="gramStart"/>
      <w:r w:rsidR="00C6185F">
        <w:rPr>
          <w:rFonts w:cs="Calibri"/>
          <w:iCs/>
        </w:rPr>
        <w:t>in order to</w:t>
      </w:r>
      <w:proofErr w:type="gramEnd"/>
      <w:r w:rsidR="00C6185F">
        <w:rPr>
          <w:rFonts w:cs="Calibri"/>
          <w:iCs/>
        </w:rPr>
        <w:t xml:space="preserve"> ensure </w:t>
      </w:r>
      <w:r w:rsidR="00D8178B">
        <w:rPr>
          <w:rFonts w:cs="Calibri"/>
          <w:iCs/>
        </w:rPr>
        <w:t xml:space="preserve">cases were handled </w:t>
      </w:r>
      <w:r w:rsidR="00B417FD">
        <w:rPr>
          <w:rFonts w:cs="Calibri"/>
          <w:iCs/>
        </w:rPr>
        <w:t xml:space="preserve">in accordance with approved policies and procedures. </w:t>
      </w:r>
      <w:r>
        <w:rPr>
          <w:rFonts w:cs="Calibri"/>
          <w:iCs/>
        </w:rPr>
        <w:t xml:space="preserve"> </w:t>
      </w:r>
      <w:r w:rsidR="00AF296A">
        <w:rPr>
          <w:rFonts w:cs="Calibri"/>
          <w:iCs/>
        </w:rPr>
        <w:t>Arizona developed d</w:t>
      </w:r>
      <w:r>
        <w:rPr>
          <w:rFonts w:eastAsia="Calibri" w:cs="Calibri"/>
        </w:rPr>
        <w:t xml:space="preserve">ashboards </w:t>
      </w:r>
      <w:r w:rsidR="00AF296A">
        <w:rPr>
          <w:rFonts w:eastAsia="Calibri" w:cs="Calibri"/>
        </w:rPr>
        <w:t>in Salesforce to help</w:t>
      </w:r>
      <w:r>
        <w:rPr>
          <w:rFonts w:eastAsia="Calibri" w:cs="Calibri"/>
        </w:rPr>
        <w:t xml:space="preserve"> </w:t>
      </w:r>
      <w:r w:rsidR="00AF296A">
        <w:rPr>
          <w:rFonts w:eastAsia="Calibri" w:cs="Calibri"/>
        </w:rPr>
        <w:t>track</w:t>
      </w:r>
      <w:r w:rsidR="003F6790">
        <w:rPr>
          <w:rFonts w:eastAsia="Calibri" w:cs="Calibri"/>
        </w:rPr>
        <w:t xml:space="preserve"> citation and </w:t>
      </w:r>
      <w:r>
        <w:rPr>
          <w:rFonts w:eastAsia="Calibri" w:cs="Calibri"/>
        </w:rPr>
        <w:t>abatement</w:t>
      </w:r>
      <w:r w:rsidR="00E15FDA">
        <w:rPr>
          <w:rFonts w:eastAsia="Calibri" w:cs="Calibri"/>
        </w:rPr>
        <w:t xml:space="preserve"> </w:t>
      </w:r>
      <w:r w:rsidR="0097039B">
        <w:rPr>
          <w:rFonts w:eastAsia="Calibri" w:cs="Calibri"/>
        </w:rPr>
        <w:t>statuses</w:t>
      </w:r>
      <w:r>
        <w:rPr>
          <w:rFonts w:eastAsia="Calibri" w:cs="Calibri"/>
        </w:rPr>
        <w:t xml:space="preserve">.  </w:t>
      </w:r>
      <w:r w:rsidR="008E20BD">
        <w:rPr>
          <w:rFonts w:eastAsia="Calibri" w:cs="Calibri"/>
        </w:rPr>
        <w:t>I</w:t>
      </w:r>
      <w:r>
        <w:rPr>
          <w:rFonts w:eastAsia="Calibri" w:cs="Calibri"/>
        </w:rPr>
        <w:t xml:space="preserve">nternal audits </w:t>
      </w:r>
      <w:r w:rsidR="00AF296A">
        <w:rPr>
          <w:rFonts w:eastAsia="Calibri" w:cs="Calibri"/>
        </w:rPr>
        <w:t xml:space="preserve">were </w:t>
      </w:r>
      <w:r w:rsidR="005E0EA4">
        <w:rPr>
          <w:rFonts w:eastAsia="Calibri" w:cs="Calibri"/>
        </w:rPr>
        <w:t>instituted</w:t>
      </w:r>
      <w:r w:rsidR="002D7C24">
        <w:rPr>
          <w:rFonts w:eastAsia="Calibri" w:cs="Calibri"/>
        </w:rPr>
        <w:t xml:space="preserve"> as a verification </w:t>
      </w:r>
      <w:r w:rsidR="00047B2B">
        <w:rPr>
          <w:rFonts w:eastAsia="Calibri" w:cs="Calibri"/>
        </w:rPr>
        <w:t xml:space="preserve">method, monthly for supervisors and quarterly for directors.  Arizona continues </w:t>
      </w:r>
      <w:r>
        <w:rPr>
          <w:rFonts w:eastAsia="Calibri" w:cs="Calibri"/>
        </w:rPr>
        <w:t xml:space="preserve">to find areas for </w:t>
      </w:r>
      <w:r w:rsidR="00F561BC">
        <w:rPr>
          <w:rFonts w:eastAsia="Calibri" w:cs="Calibri"/>
        </w:rPr>
        <w:t>improvement and</w:t>
      </w:r>
      <w:r w:rsidR="00047B2B">
        <w:rPr>
          <w:rFonts w:eastAsia="Calibri" w:cs="Calibri"/>
        </w:rPr>
        <w:t xml:space="preserve"> has been communicating with OSHA and the Salesforce developers when these situations arise</w:t>
      </w:r>
      <w:r>
        <w:rPr>
          <w:rFonts w:eastAsia="Calibri" w:cs="Calibri"/>
        </w:rPr>
        <w:t xml:space="preserve">.  </w:t>
      </w:r>
      <w:r w:rsidR="00200619">
        <w:rPr>
          <w:rFonts w:eastAsia="Calibri" w:cs="Calibri"/>
        </w:rPr>
        <w:t xml:space="preserve">This finding is completed. </w:t>
      </w:r>
    </w:p>
    <w:p w14:paraId="3E999DCA" w14:textId="77777777" w:rsidR="00A4433D" w:rsidRDefault="00A4433D" w:rsidP="00A4433D">
      <w:pPr>
        <w:widowControl/>
        <w:autoSpaceDE/>
        <w:autoSpaceDN/>
        <w:adjustRightInd/>
        <w:rPr>
          <w:rFonts w:eastAsia="Calibri" w:cs="Calibri"/>
          <w:b/>
          <w:bCs/>
        </w:rPr>
      </w:pPr>
    </w:p>
    <w:p w14:paraId="5B228CAE" w14:textId="6408BE34" w:rsidR="00CD5EEF" w:rsidRDefault="00CD5EEF" w:rsidP="00CD5EEF">
      <w:pPr>
        <w:widowControl/>
        <w:tabs>
          <w:tab w:val="center" w:pos="270"/>
          <w:tab w:val="left" w:pos="360"/>
        </w:tabs>
        <w:autoSpaceDE/>
        <w:autoSpaceDN/>
        <w:adjustRightInd/>
        <w:rPr>
          <w:rFonts w:eastAsia="Calibri" w:cs="Calibri"/>
        </w:rPr>
      </w:pPr>
      <w:r>
        <w:rPr>
          <w:rFonts w:eastAsia="Calibri" w:cs="Calibri"/>
          <w:b/>
          <w:bCs/>
        </w:rPr>
        <w:t xml:space="preserve">Finding </w:t>
      </w:r>
      <w:r w:rsidRPr="00EE4556">
        <w:rPr>
          <w:rFonts w:eastAsia="Calibri" w:cs="Calibri"/>
          <w:b/>
          <w:bCs/>
        </w:rPr>
        <w:t xml:space="preserve">FY </w:t>
      </w:r>
      <w:r>
        <w:rPr>
          <w:rFonts w:eastAsia="Calibri" w:cs="Calibri"/>
          <w:b/>
          <w:bCs/>
        </w:rPr>
        <w:t xml:space="preserve">2023-08:  </w:t>
      </w:r>
      <w:r>
        <w:rPr>
          <w:rFonts w:eastAsia="Calibri" w:cs="Calibri"/>
        </w:rPr>
        <w:t xml:space="preserve">Requirements for adopting federal program changes were not completed within six months of the effective date of the directive. </w:t>
      </w:r>
    </w:p>
    <w:p w14:paraId="577BE61D" w14:textId="77777777" w:rsidR="00CD5EEF" w:rsidRDefault="00CD5EEF" w:rsidP="00CD5EEF">
      <w:pPr>
        <w:widowControl/>
        <w:tabs>
          <w:tab w:val="center" w:pos="270"/>
          <w:tab w:val="left" w:pos="360"/>
        </w:tabs>
        <w:autoSpaceDE/>
        <w:autoSpaceDN/>
        <w:adjustRightInd/>
        <w:rPr>
          <w:rFonts w:eastAsia="Calibri" w:cs="Calibri"/>
        </w:rPr>
      </w:pPr>
    </w:p>
    <w:p w14:paraId="50156054" w14:textId="33C2720E" w:rsidR="006562A1" w:rsidRDefault="00CD5EEF" w:rsidP="00CD5EEF">
      <w:pPr>
        <w:widowControl/>
        <w:tabs>
          <w:tab w:val="center" w:pos="270"/>
          <w:tab w:val="left" w:pos="360"/>
        </w:tabs>
        <w:autoSpaceDE/>
        <w:autoSpaceDN/>
        <w:adjustRightInd/>
        <w:rPr>
          <w:rFonts w:eastAsia="Calibri" w:cs="Calibri"/>
        </w:rPr>
      </w:pPr>
      <w:r>
        <w:rPr>
          <w:rFonts w:eastAsia="Calibri" w:cs="Calibri"/>
          <w:b/>
          <w:bCs/>
        </w:rPr>
        <w:t xml:space="preserve">Status:  </w:t>
      </w:r>
      <w:r w:rsidR="005F7389">
        <w:rPr>
          <w:rFonts w:eastAsia="Calibri" w:cs="Calibri"/>
        </w:rPr>
        <w:t xml:space="preserve">ADOSH </w:t>
      </w:r>
      <w:r w:rsidR="00275342">
        <w:rPr>
          <w:rFonts w:eastAsia="Calibri" w:cs="Calibri"/>
        </w:rPr>
        <w:t>continued to have challenges</w:t>
      </w:r>
      <w:r w:rsidR="005F7389">
        <w:rPr>
          <w:rFonts w:eastAsia="Calibri" w:cs="Calibri"/>
        </w:rPr>
        <w:t xml:space="preserve"> </w:t>
      </w:r>
      <w:r w:rsidR="00EF6C64">
        <w:rPr>
          <w:rFonts w:eastAsia="Calibri" w:cs="Calibri"/>
        </w:rPr>
        <w:t xml:space="preserve">with timely adoption.  </w:t>
      </w:r>
      <w:r w:rsidR="00CD4343">
        <w:rPr>
          <w:rFonts w:eastAsia="Calibri" w:cs="Calibri"/>
        </w:rPr>
        <w:t xml:space="preserve">ADOSH did not adopt two </w:t>
      </w:r>
      <w:r w:rsidR="009E654A">
        <w:rPr>
          <w:rFonts w:eastAsia="Calibri" w:cs="Calibri"/>
        </w:rPr>
        <w:t>federal</w:t>
      </w:r>
      <w:r w:rsidR="0003093A">
        <w:rPr>
          <w:rFonts w:eastAsia="Calibri" w:cs="Calibri"/>
        </w:rPr>
        <w:t xml:space="preserve"> program change </w:t>
      </w:r>
      <w:r w:rsidR="00CD4343">
        <w:rPr>
          <w:rFonts w:eastAsia="Calibri" w:cs="Calibri"/>
        </w:rPr>
        <w:t>directives within the required six months of the</w:t>
      </w:r>
      <w:r w:rsidR="00140EB3">
        <w:rPr>
          <w:rFonts w:eastAsia="Calibri" w:cs="Calibri"/>
        </w:rPr>
        <w:t>ir</w:t>
      </w:r>
      <w:r w:rsidR="00CD4343">
        <w:rPr>
          <w:rFonts w:eastAsia="Calibri" w:cs="Calibri"/>
        </w:rPr>
        <w:t xml:space="preserve"> effective dates</w:t>
      </w:r>
      <w:r w:rsidR="0095781C">
        <w:rPr>
          <w:rFonts w:eastAsia="Calibri" w:cs="Calibri"/>
        </w:rPr>
        <w:t xml:space="preserve">.  This included </w:t>
      </w:r>
      <w:r w:rsidR="001E491E">
        <w:rPr>
          <w:rFonts w:eastAsia="Calibri" w:cs="Calibri"/>
        </w:rPr>
        <w:t xml:space="preserve">the </w:t>
      </w:r>
      <w:r w:rsidR="00CD4343">
        <w:rPr>
          <w:rFonts w:eastAsia="Calibri" w:cs="Calibri"/>
        </w:rPr>
        <w:t>“</w:t>
      </w:r>
      <w:r w:rsidR="001E491E">
        <w:rPr>
          <w:rFonts w:eastAsia="Calibri" w:cs="Calibri"/>
        </w:rPr>
        <w:t>Consultation Policies and Procedures Manual</w:t>
      </w:r>
      <w:r w:rsidR="00CD4343">
        <w:rPr>
          <w:rFonts w:eastAsia="Calibri" w:cs="Calibri"/>
        </w:rPr>
        <w:t>”</w:t>
      </w:r>
      <w:r w:rsidR="001E491E">
        <w:rPr>
          <w:rFonts w:eastAsia="Calibri" w:cs="Calibri"/>
        </w:rPr>
        <w:t xml:space="preserve"> and the </w:t>
      </w:r>
      <w:r w:rsidR="00CD4343">
        <w:rPr>
          <w:rFonts w:eastAsia="Calibri" w:cs="Calibri"/>
        </w:rPr>
        <w:t>“</w:t>
      </w:r>
      <w:r w:rsidR="001E491E">
        <w:rPr>
          <w:rFonts w:eastAsia="Calibri" w:cs="Calibri"/>
        </w:rPr>
        <w:t>Process Safety Management of Highly Hazardous Chemicals</w:t>
      </w:r>
      <w:r w:rsidR="00CD4343">
        <w:rPr>
          <w:rFonts w:eastAsia="Calibri" w:cs="Calibri"/>
        </w:rPr>
        <w:t>”</w:t>
      </w:r>
      <w:r w:rsidR="001E491E">
        <w:rPr>
          <w:rFonts w:eastAsia="Calibri" w:cs="Calibri"/>
        </w:rPr>
        <w:t xml:space="preserve"> directive</w:t>
      </w:r>
      <w:r w:rsidR="00CD4343">
        <w:rPr>
          <w:rFonts w:eastAsia="Calibri" w:cs="Calibri"/>
        </w:rPr>
        <w:t xml:space="preserve">s. </w:t>
      </w:r>
      <w:r w:rsidR="005F7389">
        <w:rPr>
          <w:rFonts w:eastAsia="Calibri" w:cs="Calibri"/>
        </w:rPr>
        <w:t xml:space="preserve"> </w:t>
      </w:r>
    </w:p>
    <w:p w14:paraId="117D5693" w14:textId="77777777" w:rsidR="006562A1" w:rsidRDefault="006562A1" w:rsidP="00CD5EEF">
      <w:pPr>
        <w:widowControl/>
        <w:tabs>
          <w:tab w:val="center" w:pos="270"/>
          <w:tab w:val="left" w:pos="360"/>
        </w:tabs>
        <w:autoSpaceDE/>
        <w:autoSpaceDN/>
        <w:adjustRightInd/>
        <w:rPr>
          <w:rFonts w:eastAsia="Calibri" w:cs="Calibri"/>
        </w:rPr>
      </w:pPr>
    </w:p>
    <w:p w14:paraId="22ABE55F" w14:textId="27BAFFBD" w:rsidR="009C5C1F" w:rsidRDefault="00696A62" w:rsidP="00CD5EEF">
      <w:pPr>
        <w:widowControl/>
        <w:tabs>
          <w:tab w:val="center" w:pos="270"/>
          <w:tab w:val="left" w:pos="360"/>
        </w:tabs>
        <w:autoSpaceDE/>
        <w:autoSpaceDN/>
        <w:adjustRightInd/>
        <w:rPr>
          <w:rFonts w:eastAsia="Calibri" w:cs="Calibri"/>
        </w:rPr>
      </w:pPr>
      <w:r>
        <w:rPr>
          <w:rFonts w:eastAsia="Calibri" w:cs="Calibri"/>
        </w:rPr>
        <w:t xml:space="preserve">The change in ADOSH’s administration was a contributor to not meeting the required timelines for </w:t>
      </w:r>
      <w:r w:rsidR="00AA74A1">
        <w:rPr>
          <w:rFonts w:eastAsia="Calibri" w:cs="Calibri"/>
        </w:rPr>
        <w:t xml:space="preserve">adopting federal program changes.  OSHA </w:t>
      </w:r>
      <w:r w:rsidR="005C41F8">
        <w:rPr>
          <w:rFonts w:eastAsia="Calibri" w:cs="Calibri"/>
        </w:rPr>
        <w:t>provide</w:t>
      </w:r>
      <w:r w:rsidR="00CF7BF8">
        <w:rPr>
          <w:rFonts w:eastAsia="Calibri" w:cs="Calibri"/>
        </w:rPr>
        <w:t>d</w:t>
      </w:r>
      <w:r w:rsidR="005C41F8">
        <w:rPr>
          <w:rFonts w:eastAsia="Calibri" w:cs="Calibri"/>
        </w:rPr>
        <w:t xml:space="preserve"> guidance</w:t>
      </w:r>
      <w:r w:rsidR="00CF7BF8">
        <w:rPr>
          <w:rFonts w:eastAsia="Calibri" w:cs="Calibri"/>
        </w:rPr>
        <w:t xml:space="preserve"> on the adoption </w:t>
      </w:r>
      <w:r w:rsidR="001C6B09">
        <w:rPr>
          <w:rFonts w:eastAsia="Calibri" w:cs="Calibri"/>
        </w:rPr>
        <w:t>process to</w:t>
      </w:r>
      <w:r w:rsidR="005C41F8">
        <w:rPr>
          <w:rFonts w:eastAsia="Calibri" w:cs="Calibri"/>
        </w:rPr>
        <w:t xml:space="preserve"> the new Arizona leadership</w:t>
      </w:r>
      <w:r w:rsidR="00CF7BF8">
        <w:rPr>
          <w:rFonts w:eastAsia="Calibri" w:cs="Calibri"/>
        </w:rPr>
        <w:t xml:space="preserve">. </w:t>
      </w:r>
      <w:r w:rsidR="00E44803">
        <w:rPr>
          <w:rFonts w:eastAsia="Calibri" w:cs="Calibri"/>
        </w:rPr>
        <w:t xml:space="preserve"> </w:t>
      </w:r>
      <w:r w:rsidR="00CF7BF8">
        <w:rPr>
          <w:rFonts w:eastAsia="Calibri" w:cs="Calibri"/>
        </w:rPr>
        <w:t xml:space="preserve">As a result, </w:t>
      </w:r>
      <w:r w:rsidR="009927BD">
        <w:rPr>
          <w:rFonts w:eastAsia="Calibri" w:cs="Calibri"/>
        </w:rPr>
        <w:t xml:space="preserve">Arizona </w:t>
      </w:r>
      <w:r w:rsidR="00C211C4">
        <w:rPr>
          <w:rFonts w:eastAsia="Calibri" w:cs="Calibri"/>
        </w:rPr>
        <w:t xml:space="preserve">streamlined </w:t>
      </w:r>
      <w:r w:rsidR="00DC3833">
        <w:rPr>
          <w:rFonts w:eastAsia="Calibri" w:cs="Calibri"/>
        </w:rPr>
        <w:t>their</w:t>
      </w:r>
      <w:r w:rsidR="006562A1">
        <w:rPr>
          <w:rFonts w:eastAsia="Calibri" w:cs="Calibri"/>
        </w:rPr>
        <w:t xml:space="preserve"> </w:t>
      </w:r>
      <w:r w:rsidR="00C211C4">
        <w:rPr>
          <w:rFonts w:eastAsia="Calibri" w:cs="Calibri"/>
        </w:rPr>
        <w:t>process</w:t>
      </w:r>
      <w:r w:rsidR="00F4165A">
        <w:rPr>
          <w:rFonts w:eastAsia="Calibri" w:cs="Calibri"/>
        </w:rPr>
        <w:t xml:space="preserve"> </w:t>
      </w:r>
      <w:r w:rsidR="00AA74A1">
        <w:rPr>
          <w:rFonts w:eastAsia="Calibri" w:cs="Calibri"/>
        </w:rPr>
        <w:t xml:space="preserve">by </w:t>
      </w:r>
      <w:r w:rsidR="00F4165A">
        <w:rPr>
          <w:rFonts w:eastAsia="Calibri" w:cs="Calibri"/>
        </w:rPr>
        <w:t xml:space="preserve">adopting </w:t>
      </w:r>
      <w:r w:rsidR="00A0106B">
        <w:rPr>
          <w:rFonts w:eastAsia="Calibri" w:cs="Calibri"/>
        </w:rPr>
        <w:t>new and outstanding federal program changes</w:t>
      </w:r>
      <w:r w:rsidR="00C211C4">
        <w:rPr>
          <w:rFonts w:eastAsia="Calibri" w:cs="Calibri"/>
        </w:rPr>
        <w:t xml:space="preserve"> identical</w:t>
      </w:r>
      <w:r w:rsidR="00534827">
        <w:rPr>
          <w:rFonts w:eastAsia="Calibri" w:cs="Calibri"/>
        </w:rPr>
        <w:t xml:space="preserve"> to OSHA’s</w:t>
      </w:r>
      <w:r w:rsidR="006D3CB2">
        <w:rPr>
          <w:rFonts w:eastAsia="Calibri" w:cs="Calibri"/>
        </w:rPr>
        <w:t xml:space="preserve">, which </w:t>
      </w:r>
      <w:r w:rsidR="00A0106B">
        <w:rPr>
          <w:rFonts w:eastAsia="Calibri" w:cs="Calibri"/>
        </w:rPr>
        <w:t>resulted in</w:t>
      </w:r>
      <w:r w:rsidR="006D3CB2">
        <w:rPr>
          <w:rFonts w:eastAsia="Calibri" w:cs="Calibri"/>
        </w:rPr>
        <w:t xml:space="preserve"> expedited </w:t>
      </w:r>
      <w:r w:rsidR="000F573A">
        <w:rPr>
          <w:rFonts w:eastAsia="Calibri" w:cs="Calibri"/>
        </w:rPr>
        <w:t xml:space="preserve">adoption </w:t>
      </w:r>
      <w:r w:rsidR="00E57927">
        <w:rPr>
          <w:rFonts w:eastAsia="Calibri" w:cs="Calibri"/>
        </w:rPr>
        <w:t>effective date</w:t>
      </w:r>
      <w:r w:rsidR="00D62238">
        <w:rPr>
          <w:rFonts w:eastAsia="Calibri" w:cs="Calibri"/>
        </w:rPr>
        <w:t xml:space="preserve">s. </w:t>
      </w:r>
      <w:r w:rsidR="00AA74A1">
        <w:rPr>
          <w:rFonts w:eastAsia="Calibri" w:cs="Calibri"/>
        </w:rPr>
        <w:t xml:space="preserve"> </w:t>
      </w:r>
      <w:r w:rsidR="006029E0">
        <w:rPr>
          <w:rFonts w:eastAsia="Calibri" w:cs="Calibri"/>
        </w:rPr>
        <w:t xml:space="preserve">As a result, ADOSH </w:t>
      </w:r>
      <w:r w:rsidR="00382407">
        <w:rPr>
          <w:rFonts w:eastAsia="Calibri" w:cs="Calibri"/>
        </w:rPr>
        <w:t xml:space="preserve">completed the adoption process for </w:t>
      </w:r>
      <w:r w:rsidR="0049129A">
        <w:rPr>
          <w:rFonts w:eastAsia="Calibri" w:cs="Calibri"/>
        </w:rPr>
        <w:t xml:space="preserve">various </w:t>
      </w:r>
      <w:r w:rsidR="00B507BA">
        <w:rPr>
          <w:rFonts w:eastAsia="Calibri" w:cs="Calibri"/>
        </w:rPr>
        <w:t xml:space="preserve">federal program changes, including </w:t>
      </w:r>
      <w:r w:rsidR="00382407">
        <w:rPr>
          <w:rFonts w:eastAsia="Calibri" w:cs="Calibri"/>
        </w:rPr>
        <w:t xml:space="preserve">the </w:t>
      </w:r>
      <w:r w:rsidR="001729A8">
        <w:rPr>
          <w:rFonts w:eastAsia="Calibri" w:cs="Calibri"/>
        </w:rPr>
        <w:t>“</w:t>
      </w:r>
      <w:r w:rsidR="00382407">
        <w:rPr>
          <w:rFonts w:eastAsia="Calibri" w:cs="Calibri"/>
        </w:rPr>
        <w:t>National Emphasis Program (NEP) on Warehousing and Distribution Center Operations,</w:t>
      </w:r>
      <w:r w:rsidR="001729A8">
        <w:rPr>
          <w:rFonts w:eastAsia="Calibri" w:cs="Calibri"/>
        </w:rPr>
        <w:t>”</w:t>
      </w:r>
      <w:r w:rsidR="00382407">
        <w:rPr>
          <w:rFonts w:eastAsia="Calibri" w:cs="Calibri"/>
        </w:rPr>
        <w:t xml:space="preserve"> </w:t>
      </w:r>
      <w:r w:rsidR="001729A8">
        <w:rPr>
          <w:rFonts w:eastAsia="Calibri" w:cs="Calibri"/>
        </w:rPr>
        <w:t>“</w:t>
      </w:r>
      <w:r w:rsidR="00E5491E">
        <w:rPr>
          <w:rFonts w:eastAsia="Calibri" w:cs="Calibri"/>
        </w:rPr>
        <w:t>Consultation Policies and Procedures Manual,</w:t>
      </w:r>
      <w:r w:rsidR="001729A8">
        <w:rPr>
          <w:rFonts w:eastAsia="Calibri" w:cs="Calibri"/>
        </w:rPr>
        <w:t>”</w:t>
      </w:r>
      <w:r w:rsidR="00E5491E">
        <w:rPr>
          <w:rFonts w:eastAsia="Calibri" w:cs="Calibri"/>
        </w:rPr>
        <w:t xml:space="preserve"> and </w:t>
      </w:r>
      <w:r w:rsidR="001729A8">
        <w:rPr>
          <w:rFonts w:eastAsia="Calibri" w:cs="Calibri"/>
        </w:rPr>
        <w:t>“</w:t>
      </w:r>
      <w:r w:rsidR="00712AF8">
        <w:rPr>
          <w:rFonts w:eastAsia="Calibri" w:cs="Calibri"/>
        </w:rPr>
        <w:t>Process Safety Management of Highly Hazardous Chemicals</w:t>
      </w:r>
      <w:r w:rsidR="001729A8">
        <w:rPr>
          <w:rFonts w:eastAsia="Calibri" w:cs="Calibri"/>
        </w:rPr>
        <w:t>”</w:t>
      </w:r>
      <w:r w:rsidR="00712AF8">
        <w:rPr>
          <w:rFonts w:eastAsia="Calibri" w:cs="Calibri"/>
        </w:rPr>
        <w:t xml:space="preserve"> directives, and the </w:t>
      </w:r>
      <w:r w:rsidR="001729A8">
        <w:rPr>
          <w:rFonts w:eastAsia="Calibri" w:cs="Calibri"/>
        </w:rPr>
        <w:t>“</w:t>
      </w:r>
      <w:r w:rsidR="00712AF8">
        <w:rPr>
          <w:rFonts w:eastAsia="Calibri" w:cs="Calibri"/>
        </w:rPr>
        <w:t xml:space="preserve">Final Rule to Improve Tracking of </w:t>
      </w:r>
      <w:r w:rsidR="001729A8">
        <w:rPr>
          <w:rFonts w:eastAsia="Calibri" w:cs="Calibri"/>
        </w:rPr>
        <w:t>Workplace</w:t>
      </w:r>
      <w:r w:rsidR="00712AF8">
        <w:rPr>
          <w:rFonts w:eastAsia="Calibri" w:cs="Calibri"/>
        </w:rPr>
        <w:t xml:space="preserve"> </w:t>
      </w:r>
      <w:r w:rsidR="001729A8">
        <w:rPr>
          <w:rFonts w:eastAsia="Calibri" w:cs="Calibri"/>
        </w:rPr>
        <w:t>Injuries</w:t>
      </w:r>
      <w:r w:rsidR="00712AF8">
        <w:rPr>
          <w:rFonts w:eastAsia="Calibri" w:cs="Calibri"/>
        </w:rPr>
        <w:t xml:space="preserve"> and Illnesses</w:t>
      </w:r>
      <w:r w:rsidR="00C946F4">
        <w:rPr>
          <w:rFonts w:eastAsia="Calibri" w:cs="Calibri"/>
        </w:rPr>
        <w:t>,</w:t>
      </w:r>
      <w:r w:rsidR="001729A8">
        <w:rPr>
          <w:rFonts w:eastAsia="Calibri" w:cs="Calibri"/>
        </w:rPr>
        <w:t>”</w:t>
      </w:r>
      <w:r w:rsidR="00C946F4">
        <w:rPr>
          <w:rFonts w:eastAsia="Calibri" w:cs="Calibri"/>
        </w:rPr>
        <w:t xml:space="preserve"> and the </w:t>
      </w:r>
      <w:r w:rsidR="001729A8">
        <w:rPr>
          <w:rFonts w:eastAsia="Calibri" w:cs="Calibri"/>
        </w:rPr>
        <w:t>“</w:t>
      </w:r>
      <w:r w:rsidR="00C946F4">
        <w:rPr>
          <w:rFonts w:eastAsia="Calibri" w:cs="Calibri"/>
        </w:rPr>
        <w:t>Final Rule on the Federal Civil Penalties for Inflation Adjustments for 2024.</w:t>
      </w:r>
      <w:r w:rsidR="001729A8">
        <w:rPr>
          <w:rFonts w:eastAsia="Calibri" w:cs="Calibri"/>
        </w:rPr>
        <w:t>”</w:t>
      </w:r>
      <w:r w:rsidR="00C946F4">
        <w:rPr>
          <w:rFonts w:eastAsia="Calibri" w:cs="Calibri"/>
        </w:rPr>
        <w:t xml:space="preserve">  </w:t>
      </w:r>
      <w:r w:rsidR="001729A8">
        <w:rPr>
          <w:rFonts w:eastAsia="Calibri" w:cs="Calibri"/>
        </w:rPr>
        <w:t xml:space="preserve">OSHA </w:t>
      </w:r>
      <w:r w:rsidR="0042064D">
        <w:rPr>
          <w:rFonts w:eastAsia="Calibri" w:cs="Calibri"/>
        </w:rPr>
        <w:t xml:space="preserve">recognizes these efforts </w:t>
      </w:r>
      <w:r w:rsidR="001729A8">
        <w:rPr>
          <w:rFonts w:eastAsia="Calibri" w:cs="Calibri"/>
        </w:rPr>
        <w:t>and will continue</w:t>
      </w:r>
      <w:r w:rsidR="00A31972">
        <w:rPr>
          <w:rFonts w:eastAsia="Calibri" w:cs="Calibri"/>
        </w:rPr>
        <w:t xml:space="preserve"> </w:t>
      </w:r>
      <w:r w:rsidR="00485B97">
        <w:rPr>
          <w:rFonts w:eastAsia="Calibri" w:cs="Calibri"/>
        </w:rPr>
        <w:t>communicating</w:t>
      </w:r>
      <w:r w:rsidR="001729A8">
        <w:rPr>
          <w:rFonts w:eastAsia="Calibri" w:cs="Calibri"/>
        </w:rPr>
        <w:t xml:space="preserve"> </w:t>
      </w:r>
      <w:r w:rsidR="0042064D">
        <w:rPr>
          <w:rFonts w:eastAsia="Calibri" w:cs="Calibri"/>
        </w:rPr>
        <w:t xml:space="preserve">with ADOSH to </w:t>
      </w:r>
      <w:r w:rsidR="001729A8">
        <w:rPr>
          <w:rFonts w:eastAsia="Calibri" w:cs="Calibri"/>
        </w:rPr>
        <w:t>ensure</w:t>
      </w:r>
      <w:r w:rsidR="00485B97">
        <w:rPr>
          <w:rFonts w:eastAsia="Calibri" w:cs="Calibri"/>
        </w:rPr>
        <w:t xml:space="preserve"> timelines for adopti</w:t>
      </w:r>
      <w:r w:rsidR="0042064D">
        <w:rPr>
          <w:rFonts w:eastAsia="Calibri" w:cs="Calibri"/>
        </w:rPr>
        <w:t>ng federal program changes</w:t>
      </w:r>
      <w:r w:rsidR="00485B97">
        <w:rPr>
          <w:rFonts w:eastAsia="Calibri" w:cs="Calibri"/>
        </w:rPr>
        <w:t xml:space="preserve"> are </w:t>
      </w:r>
      <w:r w:rsidR="006D0EA4">
        <w:rPr>
          <w:rFonts w:eastAsia="Calibri" w:cs="Calibri"/>
        </w:rPr>
        <w:t xml:space="preserve">met.  </w:t>
      </w:r>
      <w:r w:rsidR="00642FB5">
        <w:rPr>
          <w:rFonts w:eastAsia="Calibri" w:cs="Calibri"/>
        </w:rPr>
        <w:t xml:space="preserve">This finding is completed. </w:t>
      </w:r>
    </w:p>
    <w:p w14:paraId="0D3F9422" w14:textId="77777777" w:rsidR="00CD5EEF" w:rsidRDefault="00CD5EEF" w:rsidP="00A4433D">
      <w:pPr>
        <w:widowControl/>
        <w:autoSpaceDE/>
        <w:autoSpaceDN/>
        <w:adjustRightInd/>
        <w:rPr>
          <w:rFonts w:eastAsia="Calibri" w:cs="Calibri"/>
          <w:b/>
          <w:bCs/>
        </w:rPr>
      </w:pPr>
    </w:p>
    <w:p w14:paraId="171A994C" w14:textId="77777777" w:rsidR="00F13D9A" w:rsidRPr="00F13D9A" w:rsidRDefault="00F13D9A" w:rsidP="00F13D9A">
      <w:pPr>
        <w:widowControl/>
        <w:autoSpaceDE/>
        <w:autoSpaceDN/>
        <w:adjustRightInd/>
        <w:rPr>
          <w:rFonts w:cs="Calibri"/>
          <w:b/>
          <w:bCs/>
          <w:iCs/>
        </w:rPr>
      </w:pPr>
      <w:r>
        <w:rPr>
          <w:rFonts w:cs="Calibri"/>
          <w:b/>
          <w:bCs/>
          <w:iCs/>
        </w:rPr>
        <w:t>Closed Findings</w:t>
      </w:r>
    </w:p>
    <w:p w14:paraId="7277C9C1" w14:textId="77777777" w:rsidR="00F13D9A" w:rsidRDefault="00F13D9A" w:rsidP="00F13D9A">
      <w:pPr>
        <w:widowControl/>
        <w:autoSpaceDE/>
        <w:autoSpaceDN/>
        <w:adjustRightInd/>
        <w:rPr>
          <w:rFonts w:cs="Calibri"/>
          <w:iCs/>
        </w:rPr>
      </w:pPr>
    </w:p>
    <w:p w14:paraId="7883E673" w14:textId="2715ABB2" w:rsidR="00F13D9A" w:rsidRDefault="00755735" w:rsidP="00F13D9A">
      <w:pPr>
        <w:widowControl/>
        <w:autoSpaceDE/>
        <w:autoSpaceDN/>
        <w:adjustRightInd/>
        <w:rPr>
          <w:rFonts w:cs="Calibri"/>
          <w:iCs/>
          <w:highlight w:val="cyan"/>
        </w:rPr>
      </w:pPr>
      <w:r>
        <w:rPr>
          <w:rFonts w:cs="Calibri"/>
          <w:b/>
          <w:bCs/>
          <w:iCs/>
        </w:rPr>
        <w:t xml:space="preserve">Finding </w:t>
      </w:r>
      <w:r w:rsidR="00F13D9A" w:rsidRPr="00F64AEE">
        <w:rPr>
          <w:rFonts w:cs="Calibri"/>
          <w:b/>
          <w:bCs/>
          <w:iCs/>
        </w:rPr>
        <w:t>FY 2023-06</w:t>
      </w:r>
      <w:r w:rsidR="00F13D9A" w:rsidRPr="00F64AEE">
        <w:rPr>
          <w:rFonts w:cs="Calibri"/>
          <w:iCs/>
        </w:rPr>
        <w:t xml:space="preserve">: </w:t>
      </w:r>
      <w:r w:rsidR="003C0B8F">
        <w:rPr>
          <w:rFonts w:cs="Calibri"/>
          <w:iCs/>
        </w:rPr>
        <w:t xml:space="preserve"> </w:t>
      </w:r>
      <w:r w:rsidR="00F13D9A" w:rsidRPr="009B7B81">
        <w:rPr>
          <w:rFonts w:cs="Calibri"/>
          <w:iCs/>
        </w:rPr>
        <w:t>A total of 337 (67.4%) of the projected 500</w:t>
      </w:r>
      <w:r w:rsidR="00F13D9A" w:rsidRPr="00F64AEE">
        <w:rPr>
          <w:rFonts w:cs="Calibri"/>
          <w:iCs/>
        </w:rPr>
        <w:t xml:space="preserve"> construction inspections were conducted. </w:t>
      </w:r>
    </w:p>
    <w:p w14:paraId="772CB4FF" w14:textId="77777777" w:rsidR="00F13D9A" w:rsidRDefault="00F13D9A" w:rsidP="00F13D9A">
      <w:pPr>
        <w:widowControl/>
        <w:autoSpaceDE/>
        <w:autoSpaceDN/>
        <w:adjustRightInd/>
        <w:rPr>
          <w:rFonts w:cs="Calibri"/>
          <w:iCs/>
          <w:highlight w:val="cyan"/>
        </w:rPr>
      </w:pPr>
    </w:p>
    <w:p w14:paraId="09289825" w14:textId="5818E57D" w:rsidR="00F13D9A" w:rsidRPr="00CB6EBD" w:rsidRDefault="00F13D9A" w:rsidP="00F13D9A">
      <w:pPr>
        <w:widowControl/>
        <w:autoSpaceDE/>
        <w:autoSpaceDN/>
        <w:adjustRightInd/>
        <w:rPr>
          <w:rFonts w:cs="Calibri"/>
          <w:b/>
          <w:bCs/>
          <w:iCs/>
        </w:rPr>
      </w:pPr>
      <w:r w:rsidRPr="004A0770">
        <w:rPr>
          <w:rFonts w:cs="Calibri"/>
          <w:b/>
          <w:bCs/>
          <w:iCs/>
        </w:rPr>
        <w:t xml:space="preserve">Status:  </w:t>
      </w:r>
      <w:r w:rsidRPr="004A0770">
        <w:rPr>
          <w:rFonts w:cs="Calibri"/>
          <w:iCs/>
        </w:rPr>
        <w:t>In</w:t>
      </w:r>
      <w:r w:rsidRPr="00CB6EBD">
        <w:rPr>
          <w:rFonts w:cs="Calibri"/>
          <w:iCs/>
        </w:rPr>
        <w:t xml:space="preserve"> FY 2024, ADOSH projected </w:t>
      </w:r>
      <w:r w:rsidR="00792461">
        <w:rPr>
          <w:rFonts w:cs="Calibri"/>
          <w:iCs/>
        </w:rPr>
        <w:t xml:space="preserve">to conduct </w:t>
      </w:r>
      <w:r w:rsidRPr="00CB6EBD">
        <w:rPr>
          <w:rFonts w:cs="Calibri"/>
          <w:iCs/>
        </w:rPr>
        <w:t>700 inspections</w:t>
      </w:r>
      <w:r>
        <w:rPr>
          <w:rFonts w:cs="Calibri"/>
          <w:iCs/>
        </w:rPr>
        <w:t xml:space="preserve"> and identify 500 violations</w:t>
      </w:r>
      <w:r w:rsidRPr="00CB6EBD">
        <w:rPr>
          <w:rFonts w:cs="Calibri"/>
          <w:iCs/>
        </w:rPr>
        <w:t xml:space="preserve"> in the construction industry. </w:t>
      </w:r>
      <w:r>
        <w:rPr>
          <w:rFonts w:cs="Calibri"/>
          <w:iCs/>
        </w:rPr>
        <w:t xml:space="preserve"> According to OIS, ADOSH conducted 256 (36.6%) inspections </w:t>
      </w:r>
      <w:r w:rsidR="00792461">
        <w:rPr>
          <w:rFonts w:cs="Calibri"/>
          <w:iCs/>
        </w:rPr>
        <w:t xml:space="preserve">in construction, which resulted in </w:t>
      </w:r>
      <w:r>
        <w:rPr>
          <w:rFonts w:cs="Calibri"/>
          <w:iCs/>
        </w:rPr>
        <w:t>283 (56.6%) violations</w:t>
      </w:r>
      <w:r>
        <w:rPr>
          <w:rFonts w:cs="Calibri"/>
          <w:b/>
          <w:bCs/>
          <w:iCs/>
        </w:rPr>
        <w:t xml:space="preserve">.  </w:t>
      </w:r>
      <w:r>
        <w:rPr>
          <w:rFonts w:cs="Calibri"/>
          <w:iCs/>
        </w:rPr>
        <w:t xml:space="preserve">Achieving inspection goals continued to be a longstanding challenge in ADOSH </w:t>
      </w:r>
      <w:r w:rsidR="00A3317E">
        <w:rPr>
          <w:rFonts w:cs="Calibri"/>
          <w:iCs/>
        </w:rPr>
        <w:t xml:space="preserve">and was impacted by staffing </w:t>
      </w:r>
      <w:r w:rsidR="004C3B7E">
        <w:rPr>
          <w:rFonts w:cs="Calibri"/>
          <w:iCs/>
        </w:rPr>
        <w:t>limitations</w:t>
      </w:r>
      <w:r w:rsidR="00F540F6">
        <w:rPr>
          <w:rFonts w:cs="Calibri"/>
          <w:iCs/>
        </w:rPr>
        <w:t>, such as</w:t>
      </w:r>
      <w:r>
        <w:rPr>
          <w:rFonts w:cs="Calibri"/>
          <w:iCs/>
        </w:rPr>
        <w:t xml:space="preserve"> an increased number of compliance officers in training status</w:t>
      </w:r>
      <w:r w:rsidR="0074103A">
        <w:rPr>
          <w:rFonts w:cs="Calibri"/>
          <w:iCs/>
        </w:rPr>
        <w:t xml:space="preserve">.  This </w:t>
      </w:r>
      <w:r>
        <w:rPr>
          <w:rFonts w:cs="Calibri"/>
          <w:iCs/>
        </w:rPr>
        <w:t>limit</w:t>
      </w:r>
      <w:r w:rsidR="0074103A">
        <w:rPr>
          <w:rFonts w:cs="Calibri"/>
          <w:iCs/>
        </w:rPr>
        <w:t>ed</w:t>
      </w:r>
      <w:r>
        <w:rPr>
          <w:rFonts w:cs="Calibri"/>
          <w:iCs/>
        </w:rPr>
        <w:t xml:space="preserve"> the ability </w:t>
      </w:r>
      <w:r w:rsidR="0074103A">
        <w:rPr>
          <w:rFonts w:cs="Calibri"/>
          <w:iCs/>
        </w:rPr>
        <w:t>for these</w:t>
      </w:r>
      <w:r w:rsidR="00144975">
        <w:rPr>
          <w:rFonts w:cs="Calibri"/>
          <w:iCs/>
        </w:rPr>
        <w:t xml:space="preserve"> compliance officers </w:t>
      </w:r>
      <w:r>
        <w:rPr>
          <w:rFonts w:cs="Calibri"/>
          <w:iCs/>
        </w:rPr>
        <w:t xml:space="preserve">to conduct inspections independently.  </w:t>
      </w:r>
      <w:r w:rsidR="004E364B">
        <w:rPr>
          <w:rFonts w:cs="Calibri"/>
          <w:iCs/>
        </w:rPr>
        <w:t xml:space="preserve">As a result, this goal was reassessed through the FY 2025 23(g) grant application process, and </w:t>
      </w:r>
      <w:r>
        <w:rPr>
          <w:rFonts w:cs="Calibri"/>
          <w:iCs/>
        </w:rPr>
        <w:t xml:space="preserve">OSHA </w:t>
      </w:r>
      <w:r w:rsidR="00B92F44">
        <w:rPr>
          <w:rFonts w:cs="Calibri"/>
          <w:iCs/>
        </w:rPr>
        <w:t>will</w:t>
      </w:r>
      <w:r>
        <w:rPr>
          <w:rFonts w:cs="Calibri"/>
          <w:iCs/>
        </w:rPr>
        <w:t xml:space="preserve"> </w:t>
      </w:r>
      <w:r w:rsidR="00B92F44">
        <w:rPr>
          <w:rFonts w:cs="Calibri"/>
          <w:iCs/>
        </w:rPr>
        <w:t xml:space="preserve">continue </w:t>
      </w:r>
      <w:r>
        <w:rPr>
          <w:rFonts w:cs="Calibri"/>
          <w:iCs/>
        </w:rPr>
        <w:t>to monitor overall inspection</w:t>
      </w:r>
      <w:r w:rsidR="00EA304C">
        <w:rPr>
          <w:rFonts w:cs="Calibri"/>
          <w:iCs/>
        </w:rPr>
        <w:t>s in all industries</w:t>
      </w:r>
      <w:r w:rsidR="00B92F44">
        <w:rPr>
          <w:rFonts w:cs="Calibri"/>
          <w:iCs/>
        </w:rPr>
        <w:t xml:space="preserve">.  </w:t>
      </w:r>
      <w:r>
        <w:rPr>
          <w:rFonts w:cs="Calibri"/>
          <w:iCs/>
        </w:rPr>
        <w:t xml:space="preserve">Therefore, this finding is </w:t>
      </w:r>
      <w:r w:rsidR="00ED2F08">
        <w:rPr>
          <w:rFonts w:cs="Calibri"/>
          <w:iCs/>
        </w:rPr>
        <w:t>closed,</w:t>
      </w:r>
      <w:r>
        <w:rPr>
          <w:rFonts w:cs="Calibri"/>
          <w:iCs/>
        </w:rPr>
        <w:t xml:space="preserve"> and the </w:t>
      </w:r>
      <w:r w:rsidR="00AF02E6">
        <w:rPr>
          <w:rFonts w:cs="Calibri"/>
          <w:iCs/>
        </w:rPr>
        <w:t xml:space="preserve">construction </w:t>
      </w:r>
      <w:r>
        <w:rPr>
          <w:rFonts w:cs="Calibri"/>
          <w:iCs/>
        </w:rPr>
        <w:t xml:space="preserve">inspection data will be monitored </w:t>
      </w:r>
      <w:r w:rsidR="00AF02E6">
        <w:rPr>
          <w:rFonts w:cs="Calibri"/>
          <w:iCs/>
        </w:rPr>
        <w:t>in conjunction with other industries</w:t>
      </w:r>
      <w:r>
        <w:rPr>
          <w:rFonts w:cs="Calibri"/>
          <w:iCs/>
        </w:rPr>
        <w:t xml:space="preserve">.  </w:t>
      </w:r>
    </w:p>
    <w:p w14:paraId="561FA570" w14:textId="77777777" w:rsidR="00F13D9A" w:rsidRDefault="00F13D9A" w:rsidP="00A4433D">
      <w:pPr>
        <w:widowControl/>
        <w:autoSpaceDE/>
        <w:autoSpaceDN/>
        <w:adjustRightInd/>
        <w:rPr>
          <w:rFonts w:eastAsia="Calibri" w:cs="Calibri"/>
          <w:b/>
          <w:bCs/>
        </w:rPr>
      </w:pPr>
    </w:p>
    <w:p w14:paraId="66699C18" w14:textId="2F8E1C5C" w:rsidR="00A33959" w:rsidRDefault="00785B2E" w:rsidP="000B58F1">
      <w:pPr>
        <w:widowControl/>
        <w:autoSpaceDE/>
        <w:autoSpaceDN/>
        <w:adjustRightInd/>
        <w:rPr>
          <w:rFonts w:cs="Calibri"/>
          <w:b/>
          <w:bCs/>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4DBA0672" w14:textId="77777777" w:rsidR="00B01B47" w:rsidRPr="0061362E" w:rsidRDefault="00B01B47" w:rsidP="000B58F1">
      <w:pPr>
        <w:widowControl/>
        <w:autoSpaceDE/>
        <w:autoSpaceDN/>
        <w:adjustRightInd/>
        <w:rPr>
          <w:rFonts w:cs="Calibri"/>
          <w:b/>
          <w:bCs/>
          <w:i/>
        </w:rPr>
      </w:pPr>
    </w:p>
    <w:p w14:paraId="0ED75793" w14:textId="4BF1B20D" w:rsidR="00980A8D" w:rsidRPr="000B5239" w:rsidRDefault="00260E14" w:rsidP="00980A8D">
      <w:pPr>
        <w:widowControl/>
        <w:autoSpaceDE/>
        <w:autoSpaceDN/>
        <w:adjustRightInd/>
        <w:rPr>
          <w:rFonts w:cs="Calibri"/>
          <w:iCs/>
          <w:highlight w:val="cyan"/>
        </w:rPr>
      </w:pPr>
      <w:r w:rsidRPr="00260E14">
        <w:rPr>
          <w:rFonts w:cs="Calibri"/>
          <w:b/>
          <w:bCs/>
          <w:iCs/>
        </w:rPr>
        <w:t xml:space="preserve">Finding </w:t>
      </w:r>
      <w:r w:rsidR="00980A8D" w:rsidRPr="00260E14">
        <w:rPr>
          <w:rFonts w:cs="Calibri"/>
          <w:b/>
          <w:bCs/>
          <w:iCs/>
        </w:rPr>
        <w:t>FY 202</w:t>
      </w:r>
      <w:r w:rsidR="004B0327" w:rsidRPr="00260E14">
        <w:rPr>
          <w:rFonts w:cs="Calibri"/>
          <w:b/>
          <w:bCs/>
          <w:iCs/>
        </w:rPr>
        <w:t>4</w:t>
      </w:r>
      <w:r w:rsidR="00980A8D" w:rsidRPr="00260E14">
        <w:rPr>
          <w:rFonts w:cs="Calibri"/>
          <w:b/>
          <w:bCs/>
          <w:iCs/>
        </w:rPr>
        <w:t>-</w:t>
      </w:r>
      <w:r w:rsidR="005A7452" w:rsidRPr="00260E14">
        <w:rPr>
          <w:rFonts w:cs="Calibri"/>
          <w:b/>
          <w:bCs/>
          <w:iCs/>
        </w:rPr>
        <w:t>01</w:t>
      </w:r>
      <w:r w:rsidR="00E8503A">
        <w:rPr>
          <w:rFonts w:cs="Calibri"/>
          <w:b/>
          <w:bCs/>
          <w:iCs/>
        </w:rPr>
        <w:t xml:space="preserve"> </w:t>
      </w:r>
      <w:r w:rsidR="00E8503A" w:rsidRPr="00805241">
        <w:rPr>
          <w:rFonts w:cs="Calibri"/>
          <w:iCs/>
        </w:rPr>
        <w:t>(</w:t>
      </w:r>
      <w:r w:rsidR="00E8503A" w:rsidRPr="00873174">
        <w:rPr>
          <w:rFonts w:asciiTheme="minorHAnsi" w:hAnsiTheme="minorHAnsi" w:cstheme="minorHAnsi"/>
          <w:sz w:val="22"/>
          <w:szCs w:val="22"/>
        </w:rPr>
        <w:t>FY 2023-03</w:t>
      </w:r>
      <w:r w:rsidR="00E8503A">
        <w:rPr>
          <w:rFonts w:asciiTheme="minorHAnsi" w:hAnsiTheme="minorHAnsi" w:cstheme="minorHAnsi"/>
          <w:sz w:val="22"/>
          <w:szCs w:val="22"/>
        </w:rPr>
        <w:t>)</w:t>
      </w:r>
      <w:r w:rsidR="00980A8D" w:rsidRPr="00260E14">
        <w:rPr>
          <w:rFonts w:cs="Calibri"/>
          <w:iCs/>
        </w:rPr>
        <w:t>: ADOSH’s</w:t>
      </w:r>
      <w:r w:rsidR="00980A8D" w:rsidRPr="00B01E98">
        <w:rPr>
          <w:rFonts w:cs="Calibri"/>
          <w:iCs/>
        </w:rPr>
        <w:t xml:space="preserve"> average number of </w:t>
      </w:r>
      <w:proofErr w:type="gramStart"/>
      <w:r w:rsidR="00980A8D" w:rsidRPr="00B01E98">
        <w:rPr>
          <w:rFonts w:cs="Calibri"/>
          <w:iCs/>
        </w:rPr>
        <w:t>work days</w:t>
      </w:r>
      <w:proofErr w:type="gramEnd"/>
      <w:r w:rsidR="00980A8D" w:rsidRPr="00B01E98">
        <w:rPr>
          <w:rFonts w:cs="Calibri"/>
          <w:iCs/>
        </w:rPr>
        <w:t xml:space="preserve"> to initiate a complaint inspection was </w:t>
      </w:r>
      <w:r w:rsidR="005335FF">
        <w:rPr>
          <w:rFonts w:cs="Calibri"/>
          <w:iCs/>
        </w:rPr>
        <w:t>43.12</w:t>
      </w:r>
      <w:r w:rsidR="00980A8D" w:rsidRPr="00B01E98">
        <w:rPr>
          <w:rFonts w:cs="Calibri"/>
          <w:iCs/>
        </w:rPr>
        <w:t xml:space="preserve"> (SAMM 1a), which was above the negotiated goal of 7. </w:t>
      </w:r>
    </w:p>
    <w:p w14:paraId="486E4102" w14:textId="3FF0F8C6" w:rsidR="00980A8D" w:rsidRDefault="00980A8D" w:rsidP="00980A8D">
      <w:pPr>
        <w:widowControl/>
        <w:autoSpaceDE/>
        <w:autoSpaceDN/>
        <w:adjustRightInd/>
        <w:rPr>
          <w:rFonts w:cs="Calibri"/>
          <w:iCs/>
          <w:highlight w:val="cyan"/>
        </w:rPr>
      </w:pPr>
    </w:p>
    <w:p w14:paraId="48FECC0B" w14:textId="539478D7" w:rsidR="0026492C" w:rsidRPr="00B01E98" w:rsidRDefault="00980A8D" w:rsidP="6D0A92F4">
      <w:pPr>
        <w:widowControl/>
        <w:autoSpaceDE/>
        <w:autoSpaceDN/>
        <w:adjustRightInd/>
        <w:rPr>
          <w:rFonts w:cs="Calibri"/>
        </w:rPr>
      </w:pPr>
      <w:r w:rsidRPr="6D0A92F4">
        <w:rPr>
          <w:rFonts w:cs="Calibri"/>
          <w:b/>
          <w:bCs/>
        </w:rPr>
        <w:t>Status:</w:t>
      </w:r>
      <w:r w:rsidR="0026492C" w:rsidRPr="6D0A92F4">
        <w:rPr>
          <w:rFonts w:cs="Calibri"/>
          <w:b/>
          <w:bCs/>
        </w:rPr>
        <w:t xml:space="preserve"> </w:t>
      </w:r>
      <w:r w:rsidR="00F53B16" w:rsidRPr="6D0A92F4">
        <w:rPr>
          <w:rFonts w:cs="Calibri"/>
        </w:rPr>
        <w:t xml:space="preserve"> According to Appendix D, i</w:t>
      </w:r>
      <w:r w:rsidR="00BE6EAB" w:rsidRPr="6D0A92F4">
        <w:rPr>
          <w:rFonts w:cs="Calibri"/>
        </w:rPr>
        <w:t>n FY 2024,</w:t>
      </w:r>
      <w:r w:rsidR="008E32B5" w:rsidRPr="6D0A92F4">
        <w:rPr>
          <w:rFonts w:cs="Calibri"/>
        </w:rPr>
        <w:t xml:space="preserve"> ADOSH’s average</w:t>
      </w:r>
      <w:r w:rsidR="00F53B16" w:rsidRPr="6D0A92F4">
        <w:rPr>
          <w:rFonts w:cs="Calibri"/>
        </w:rPr>
        <w:t xml:space="preserve"> number of</w:t>
      </w:r>
      <w:r w:rsidR="008E32B5" w:rsidRPr="6D0A92F4">
        <w:rPr>
          <w:rFonts w:cs="Calibri"/>
        </w:rPr>
        <w:t xml:space="preserve"> </w:t>
      </w:r>
      <w:proofErr w:type="gramStart"/>
      <w:r w:rsidR="008E32B5" w:rsidRPr="6D0A92F4">
        <w:rPr>
          <w:rFonts w:cs="Calibri"/>
        </w:rPr>
        <w:t>work days</w:t>
      </w:r>
      <w:proofErr w:type="gramEnd"/>
      <w:r w:rsidR="008E32B5" w:rsidRPr="6D0A92F4">
        <w:rPr>
          <w:rFonts w:cs="Calibri"/>
        </w:rPr>
        <w:t xml:space="preserve"> to initiate a complaint inspection </w:t>
      </w:r>
      <w:r w:rsidR="00BE6EAB" w:rsidRPr="6D0A92F4">
        <w:rPr>
          <w:rFonts w:cs="Calibri"/>
        </w:rPr>
        <w:t xml:space="preserve">(SAMM 1a) </w:t>
      </w:r>
      <w:r w:rsidR="008E32B5" w:rsidRPr="6D0A92F4">
        <w:rPr>
          <w:rFonts w:cs="Calibri"/>
        </w:rPr>
        <w:t>was 43.12</w:t>
      </w:r>
      <w:r w:rsidR="00FF3FF0" w:rsidRPr="6D0A92F4">
        <w:rPr>
          <w:rFonts w:cs="Calibri"/>
        </w:rPr>
        <w:t>, an increase from 10.10 in FY 2023.</w:t>
      </w:r>
      <w:r w:rsidR="00F53B16" w:rsidRPr="6D0A92F4">
        <w:rPr>
          <w:rFonts w:cs="Calibri"/>
        </w:rPr>
        <w:t xml:space="preserve">  The </w:t>
      </w:r>
      <w:r w:rsidR="0041665F" w:rsidRPr="6D0A92F4">
        <w:rPr>
          <w:rFonts w:cs="Calibri"/>
        </w:rPr>
        <w:t xml:space="preserve">FRL </w:t>
      </w:r>
      <w:r w:rsidR="00BE63CF" w:rsidRPr="6D0A92F4">
        <w:rPr>
          <w:rFonts w:cs="Calibri"/>
        </w:rPr>
        <w:t>was seven work</w:t>
      </w:r>
      <w:r w:rsidR="00A10E07" w:rsidRPr="6D0A92F4">
        <w:rPr>
          <w:rFonts w:cs="Calibri"/>
        </w:rPr>
        <w:t>ing</w:t>
      </w:r>
      <w:r w:rsidR="00BE63CF" w:rsidRPr="6D0A92F4">
        <w:rPr>
          <w:rFonts w:cs="Calibri"/>
        </w:rPr>
        <w:t xml:space="preserve"> days and was negotiated by OSHA and ADOSH through the </w:t>
      </w:r>
      <w:proofErr w:type="gramStart"/>
      <w:r w:rsidR="00BE63CF" w:rsidRPr="6D0A92F4">
        <w:rPr>
          <w:rFonts w:cs="Calibri"/>
        </w:rPr>
        <w:t>23(g) grant</w:t>
      </w:r>
      <w:proofErr w:type="gramEnd"/>
      <w:r w:rsidR="00BE63CF" w:rsidRPr="6D0A92F4">
        <w:rPr>
          <w:rFonts w:cs="Calibri"/>
        </w:rPr>
        <w:t xml:space="preserve"> application.  </w:t>
      </w:r>
      <w:r w:rsidR="0026492C" w:rsidRPr="6D0A92F4">
        <w:rPr>
          <w:rFonts w:cs="Calibri"/>
        </w:rPr>
        <w:t>This</w:t>
      </w:r>
      <w:r w:rsidR="000B386E" w:rsidRPr="6D0A92F4">
        <w:rPr>
          <w:rFonts w:cs="Calibri"/>
        </w:rPr>
        <w:t xml:space="preserve"> increase</w:t>
      </w:r>
      <w:r w:rsidR="0026492C" w:rsidRPr="6D0A92F4">
        <w:rPr>
          <w:rFonts w:cs="Calibri"/>
        </w:rPr>
        <w:t xml:space="preserve"> was attributed </w:t>
      </w:r>
      <w:r w:rsidR="2B94CF73" w:rsidRPr="6D0A92F4">
        <w:rPr>
          <w:rFonts w:cs="Calibri"/>
        </w:rPr>
        <w:t xml:space="preserve">to </w:t>
      </w:r>
      <w:r w:rsidR="0026492C" w:rsidRPr="6D0A92F4">
        <w:rPr>
          <w:rFonts w:cs="Calibri"/>
        </w:rPr>
        <w:t xml:space="preserve">over 1,000 complaints received </w:t>
      </w:r>
      <w:r w:rsidR="00934C04" w:rsidRPr="6D0A92F4">
        <w:rPr>
          <w:rFonts w:cs="Calibri"/>
        </w:rPr>
        <w:t>and</w:t>
      </w:r>
      <w:r w:rsidR="0026492C" w:rsidRPr="6D0A92F4">
        <w:rPr>
          <w:rFonts w:cs="Calibri"/>
        </w:rPr>
        <w:t xml:space="preserve"> unaccounted for</w:t>
      </w:r>
      <w:r w:rsidR="00520C8B" w:rsidRPr="6D0A92F4">
        <w:rPr>
          <w:rFonts w:cs="Calibri"/>
        </w:rPr>
        <w:t>, which was identified in the Special Study</w:t>
      </w:r>
      <w:r w:rsidR="0026492C" w:rsidRPr="6D0A92F4">
        <w:rPr>
          <w:rFonts w:cs="Calibri"/>
        </w:rPr>
        <w:t xml:space="preserve">.  </w:t>
      </w:r>
      <w:r w:rsidR="00FB7E14" w:rsidRPr="6D0A92F4">
        <w:rPr>
          <w:rFonts w:cs="Calibri"/>
        </w:rPr>
        <w:t>ADOSH has</w:t>
      </w:r>
      <w:r w:rsidR="008F529A" w:rsidRPr="6D0A92F4">
        <w:rPr>
          <w:rFonts w:cs="Calibri"/>
        </w:rPr>
        <w:t xml:space="preserve"> since</w:t>
      </w:r>
      <w:r w:rsidR="00FB7E14" w:rsidRPr="6D0A92F4">
        <w:rPr>
          <w:rFonts w:cs="Calibri"/>
        </w:rPr>
        <w:t xml:space="preserve"> been working to address </w:t>
      </w:r>
      <w:r w:rsidR="00E95F22" w:rsidRPr="6D0A92F4">
        <w:rPr>
          <w:rFonts w:cs="Calibri"/>
        </w:rPr>
        <w:t xml:space="preserve">this </w:t>
      </w:r>
      <w:r w:rsidR="00FB7E14" w:rsidRPr="6D0A92F4">
        <w:rPr>
          <w:rFonts w:cs="Calibri"/>
        </w:rPr>
        <w:t>backlog,</w:t>
      </w:r>
      <w:r w:rsidR="0026492C" w:rsidRPr="6D0A92F4">
        <w:rPr>
          <w:rFonts w:cs="Calibri"/>
        </w:rPr>
        <w:t xml:space="preserve"> which </w:t>
      </w:r>
      <w:r w:rsidR="00520C8B" w:rsidRPr="6D0A92F4">
        <w:rPr>
          <w:rFonts w:cs="Calibri"/>
        </w:rPr>
        <w:t xml:space="preserve">resulted in an </w:t>
      </w:r>
      <w:r w:rsidR="0026492C" w:rsidRPr="6D0A92F4">
        <w:rPr>
          <w:rFonts w:cs="Calibri"/>
        </w:rPr>
        <w:t>increase</w:t>
      </w:r>
      <w:r w:rsidR="00520C8B" w:rsidRPr="6D0A92F4">
        <w:rPr>
          <w:rFonts w:cs="Calibri"/>
        </w:rPr>
        <w:t xml:space="preserve"> in</w:t>
      </w:r>
      <w:r w:rsidR="0026492C" w:rsidRPr="6D0A92F4">
        <w:rPr>
          <w:rFonts w:cs="Calibri"/>
        </w:rPr>
        <w:t xml:space="preserve"> the average number of work</w:t>
      </w:r>
      <w:r w:rsidR="0085435E" w:rsidRPr="6D0A92F4">
        <w:rPr>
          <w:rFonts w:cs="Calibri"/>
        </w:rPr>
        <w:t>ing</w:t>
      </w:r>
      <w:r w:rsidR="0026492C" w:rsidRPr="6D0A92F4">
        <w:rPr>
          <w:rFonts w:cs="Calibri"/>
        </w:rPr>
        <w:t xml:space="preserve"> days to initiate </w:t>
      </w:r>
      <w:r w:rsidR="00BB7BBD" w:rsidRPr="6D0A92F4">
        <w:rPr>
          <w:rFonts w:cs="Calibri"/>
        </w:rPr>
        <w:t xml:space="preserve">the </w:t>
      </w:r>
      <w:r w:rsidR="0026492C" w:rsidRPr="6D0A92F4">
        <w:rPr>
          <w:rFonts w:cs="Calibri"/>
        </w:rPr>
        <w:t xml:space="preserve">complaint inspections. </w:t>
      </w:r>
      <w:r w:rsidR="00CA57AC" w:rsidRPr="6D0A92F4">
        <w:rPr>
          <w:rFonts w:cs="Calibri"/>
        </w:rPr>
        <w:t xml:space="preserve"> </w:t>
      </w:r>
      <w:r w:rsidR="00C45F74" w:rsidRPr="6D0A92F4">
        <w:rPr>
          <w:rFonts w:cs="Calibri"/>
        </w:rPr>
        <w:t>In addition</w:t>
      </w:r>
      <w:r w:rsidR="290B4F24" w:rsidRPr="6D0A92F4">
        <w:rPr>
          <w:rFonts w:cs="Calibri"/>
        </w:rPr>
        <w:t>,</w:t>
      </w:r>
      <w:r w:rsidR="00BB7BBD" w:rsidRPr="6D0A92F4">
        <w:rPr>
          <w:rFonts w:cs="Calibri"/>
        </w:rPr>
        <w:t xml:space="preserve"> to address this</w:t>
      </w:r>
      <w:r w:rsidR="004D1E6F" w:rsidRPr="6D0A92F4">
        <w:rPr>
          <w:rFonts w:cs="Calibri"/>
        </w:rPr>
        <w:t xml:space="preserve"> finding</w:t>
      </w:r>
      <w:r w:rsidR="00C45F74" w:rsidRPr="6D0A92F4">
        <w:rPr>
          <w:rFonts w:cs="Calibri"/>
        </w:rPr>
        <w:t xml:space="preserve">, </w:t>
      </w:r>
      <w:r w:rsidR="00CA57AC" w:rsidRPr="6D0A92F4">
        <w:rPr>
          <w:rFonts w:cs="Calibri"/>
        </w:rPr>
        <w:t xml:space="preserve">ADOSH hired an intake supervisor to assist </w:t>
      </w:r>
      <w:r w:rsidR="00C45F74" w:rsidRPr="6D0A92F4">
        <w:rPr>
          <w:rFonts w:cs="Calibri"/>
        </w:rPr>
        <w:t xml:space="preserve">with </w:t>
      </w:r>
      <w:r w:rsidR="00F561BC" w:rsidRPr="6D0A92F4">
        <w:rPr>
          <w:rFonts w:cs="Calibri"/>
        </w:rPr>
        <w:t>managing</w:t>
      </w:r>
      <w:r w:rsidR="004D1E6F" w:rsidRPr="6D0A92F4">
        <w:rPr>
          <w:rFonts w:cs="Calibri"/>
        </w:rPr>
        <w:t xml:space="preserve"> the</w:t>
      </w:r>
      <w:r w:rsidR="00C45F74" w:rsidRPr="6D0A92F4">
        <w:rPr>
          <w:rFonts w:cs="Calibri"/>
        </w:rPr>
        <w:t xml:space="preserve"> backlog </w:t>
      </w:r>
      <w:r w:rsidR="004D1E6F" w:rsidRPr="6D0A92F4">
        <w:rPr>
          <w:rFonts w:cs="Calibri"/>
        </w:rPr>
        <w:t xml:space="preserve">and process </w:t>
      </w:r>
      <w:r w:rsidR="00C45F74" w:rsidRPr="6D0A92F4">
        <w:rPr>
          <w:rFonts w:cs="Calibri"/>
        </w:rPr>
        <w:t xml:space="preserve">incoming complaints. </w:t>
      </w:r>
      <w:r w:rsidR="0026492C" w:rsidRPr="6D0A92F4">
        <w:rPr>
          <w:rFonts w:cs="Calibri"/>
        </w:rPr>
        <w:t xml:space="preserve"> This finding remains open.</w:t>
      </w:r>
    </w:p>
    <w:p w14:paraId="4836DD19" w14:textId="77777777" w:rsidR="00980A8D" w:rsidRDefault="00980A8D" w:rsidP="00980A8D">
      <w:pPr>
        <w:widowControl/>
        <w:autoSpaceDE/>
        <w:autoSpaceDN/>
        <w:adjustRightInd/>
        <w:rPr>
          <w:rFonts w:cs="Calibri"/>
          <w:iCs/>
          <w:highlight w:val="cyan"/>
        </w:rPr>
      </w:pPr>
    </w:p>
    <w:p w14:paraId="76476649" w14:textId="24A45253" w:rsidR="00980A8D" w:rsidRPr="000B5239" w:rsidRDefault="003B47B1" w:rsidP="00980A8D">
      <w:pPr>
        <w:widowControl/>
        <w:autoSpaceDE/>
        <w:autoSpaceDN/>
        <w:adjustRightInd/>
        <w:rPr>
          <w:rFonts w:cs="Calibri"/>
          <w:iCs/>
          <w:highlight w:val="cyan"/>
        </w:rPr>
      </w:pPr>
      <w:r w:rsidRPr="003B47B1">
        <w:rPr>
          <w:rFonts w:cs="Calibri"/>
          <w:b/>
          <w:bCs/>
          <w:iCs/>
        </w:rPr>
        <w:t xml:space="preserve">Finding </w:t>
      </w:r>
      <w:r w:rsidR="00980A8D" w:rsidRPr="003B47B1">
        <w:rPr>
          <w:rFonts w:cs="Calibri"/>
          <w:b/>
          <w:bCs/>
          <w:iCs/>
        </w:rPr>
        <w:t>FY 202</w:t>
      </w:r>
      <w:r w:rsidR="004B0327" w:rsidRPr="003B47B1">
        <w:rPr>
          <w:rFonts w:cs="Calibri"/>
          <w:b/>
          <w:bCs/>
          <w:iCs/>
        </w:rPr>
        <w:t>4</w:t>
      </w:r>
      <w:r w:rsidR="00980A8D" w:rsidRPr="003B47B1">
        <w:rPr>
          <w:rFonts w:cs="Calibri"/>
          <w:b/>
          <w:bCs/>
          <w:iCs/>
        </w:rPr>
        <w:t>-</w:t>
      </w:r>
      <w:r w:rsidRPr="003B47B1">
        <w:rPr>
          <w:rFonts w:cs="Calibri"/>
          <w:b/>
          <w:bCs/>
          <w:iCs/>
        </w:rPr>
        <w:t>02</w:t>
      </w:r>
      <w:r w:rsidR="00354DC4" w:rsidRPr="003B47B1">
        <w:rPr>
          <w:rFonts w:cs="Calibri"/>
          <w:b/>
          <w:bCs/>
          <w:iCs/>
        </w:rPr>
        <w:t xml:space="preserve"> (FY 2023-O4)</w:t>
      </w:r>
      <w:r w:rsidR="00980A8D" w:rsidRPr="003B47B1">
        <w:rPr>
          <w:rFonts w:cs="Calibri"/>
          <w:b/>
          <w:bCs/>
          <w:iCs/>
        </w:rPr>
        <w:t>:</w:t>
      </w:r>
      <w:r w:rsidR="00980A8D" w:rsidRPr="003B47B1">
        <w:rPr>
          <w:rFonts w:cs="Calibri"/>
          <w:iCs/>
        </w:rPr>
        <w:t xml:space="preserve"> </w:t>
      </w:r>
      <w:r w:rsidR="003C0B8F">
        <w:rPr>
          <w:rFonts w:cs="Calibri"/>
          <w:iCs/>
        </w:rPr>
        <w:t xml:space="preserve"> </w:t>
      </w:r>
      <w:r w:rsidR="00980A8D" w:rsidRPr="003B47B1">
        <w:rPr>
          <w:rFonts w:cs="Calibri"/>
          <w:iCs/>
        </w:rPr>
        <w:t>ADOSH’s</w:t>
      </w:r>
      <w:r w:rsidR="00980A8D" w:rsidRPr="00BE6EAB">
        <w:rPr>
          <w:rFonts w:cs="Calibri"/>
          <w:iCs/>
        </w:rPr>
        <w:t xml:space="preserve"> response time to initiate compliant investigations was </w:t>
      </w:r>
      <w:r w:rsidR="00A44946">
        <w:rPr>
          <w:rFonts w:cs="Calibri"/>
          <w:iCs/>
        </w:rPr>
        <w:t>111.20</w:t>
      </w:r>
      <w:r w:rsidR="00980A8D" w:rsidRPr="00BE6EAB">
        <w:rPr>
          <w:rFonts w:cs="Calibri"/>
          <w:iCs/>
        </w:rPr>
        <w:t xml:space="preserve"> days (SAMM 2a), which was above the negotiated goal of 3 working days. </w:t>
      </w:r>
    </w:p>
    <w:p w14:paraId="0BDB199F" w14:textId="77777777" w:rsidR="007C0A36" w:rsidRPr="00980A8D" w:rsidRDefault="007C0A36" w:rsidP="000B58F1">
      <w:pPr>
        <w:widowControl/>
        <w:tabs>
          <w:tab w:val="center" w:pos="270"/>
          <w:tab w:val="left" w:pos="360"/>
        </w:tabs>
        <w:autoSpaceDE/>
        <w:autoSpaceDN/>
        <w:adjustRightInd/>
        <w:rPr>
          <w:rFonts w:eastAsia="Calibri" w:cs="Calibri"/>
        </w:rPr>
      </w:pPr>
    </w:p>
    <w:p w14:paraId="70C5FD4D" w14:textId="4E48A32F" w:rsidR="00A06D38" w:rsidRDefault="00980A8D" w:rsidP="000B58F1">
      <w:pPr>
        <w:widowControl/>
        <w:tabs>
          <w:tab w:val="center" w:pos="270"/>
          <w:tab w:val="left" w:pos="360"/>
        </w:tabs>
        <w:autoSpaceDE/>
        <w:autoSpaceDN/>
        <w:adjustRightInd/>
        <w:rPr>
          <w:rFonts w:cs="Calibri"/>
          <w:iCs/>
        </w:rPr>
      </w:pPr>
      <w:r w:rsidRPr="00980A8D">
        <w:rPr>
          <w:rFonts w:eastAsia="Calibri" w:cs="Calibri"/>
          <w:b/>
          <w:bCs/>
        </w:rPr>
        <w:t>Status:</w:t>
      </w:r>
      <w:r w:rsidR="0026492C">
        <w:rPr>
          <w:rFonts w:eastAsia="Calibri" w:cs="Calibri"/>
          <w:b/>
          <w:bCs/>
        </w:rPr>
        <w:t xml:space="preserve"> </w:t>
      </w:r>
      <w:r w:rsidR="00AE47A8">
        <w:rPr>
          <w:rFonts w:cs="Calibri"/>
          <w:iCs/>
        </w:rPr>
        <w:t>According to Appendix D, in FY 2024,</w:t>
      </w:r>
      <w:r w:rsidR="00AE47A8" w:rsidRPr="00B01E98">
        <w:rPr>
          <w:rFonts w:cs="Calibri"/>
          <w:iCs/>
        </w:rPr>
        <w:t xml:space="preserve"> ADOSH’s average</w:t>
      </w:r>
      <w:r w:rsidR="00AE47A8">
        <w:rPr>
          <w:rFonts w:cs="Calibri"/>
          <w:iCs/>
        </w:rPr>
        <w:t xml:space="preserve"> number of</w:t>
      </w:r>
      <w:r w:rsidR="00AE47A8" w:rsidRPr="00B01E98">
        <w:rPr>
          <w:rFonts w:cs="Calibri"/>
          <w:iCs/>
        </w:rPr>
        <w:t xml:space="preserve"> </w:t>
      </w:r>
      <w:proofErr w:type="gramStart"/>
      <w:r w:rsidR="00AE47A8" w:rsidRPr="00B01E98">
        <w:rPr>
          <w:rFonts w:cs="Calibri"/>
          <w:iCs/>
        </w:rPr>
        <w:t>work days</w:t>
      </w:r>
      <w:proofErr w:type="gramEnd"/>
      <w:r w:rsidR="00AE47A8" w:rsidRPr="00B01E98">
        <w:rPr>
          <w:rFonts w:cs="Calibri"/>
          <w:iCs/>
        </w:rPr>
        <w:t xml:space="preserve"> to initiate a complaint </w:t>
      </w:r>
      <w:r w:rsidR="00AE47A8">
        <w:rPr>
          <w:rFonts w:cs="Calibri"/>
          <w:iCs/>
        </w:rPr>
        <w:t>investigation</w:t>
      </w:r>
      <w:r w:rsidR="00AE47A8" w:rsidRPr="00B01E98">
        <w:rPr>
          <w:rFonts w:cs="Calibri"/>
          <w:iCs/>
        </w:rPr>
        <w:t xml:space="preserve"> </w:t>
      </w:r>
      <w:r w:rsidR="00AE47A8">
        <w:rPr>
          <w:rFonts w:cs="Calibri"/>
          <w:iCs/>
        </w:rPr>
        <w:t xml:space="preserve">(SAMM 2a) </w:t>
      </w:r>
      <w:r w:rsidR="00AE47A8" w:rsidRPr="00B01E98">
        <w:rPr>
          <w:rFonts w:cs="Calibri"/>
          <w:iCs/>
        </w:rPr>
        <w:t xml:space="preserve">was </w:t>
      </w:r>
      <w:r w:rsidR="00AE47A8">
        <w:rPr>
          <w:rFonts w:cs="Calibri"/>
          <w:iCs/>
        </w:rPr>
        <w:t xml:space="preserve">111.20, an increase from 13.36 in FY 2023.  The FRL was </w:t>
      </w:r>
      <w:r w:rsidR="00A10E07">
        <w:rPr>
          <w:rFonts w:cs="Calibri"/>
          <w:iCs/>
        </w:rPr>
        <w:t>three</w:t>
      </w:r>
      <w:r w:rsidR="00AE47A8">
        <w:rPr>
          <w:rFonts w:cs="Calibri"/>
          <w:iCs/>
        </w:rPr>
        <w:t xml:space="preserve"> work</w:t>
      </w:r>
      <w:r w:rsidR="00A10E07">
        <w:rPr>
          <w:rFonts w:cs="Calibri"/>
          <w:iCs/>
        </w:rPr>
        <w:t>ing</w:t>
      </w:r>
      <w:r w:rsidR="00AE47A8">
        <w:rPr>
          <w:rFonts w:cs="Calibri"/>
          <w:iCs/>
        </w:rPr>
        <w:t xml:space="preserve"> days and was negotiated by OSHA and ADOSH through the </w:t>
      </w:r>
      <w:proofErr w:type="gramStart"/>
      <w:r w:rsidR="00AE47A8">
        <w:rPr>
          <w:rFonts w:cs="Calibri"/>
          <w:iCs/>
        </w:rPr>
        <w:t>23(g) grant</w:t>
      </w:r>
      <w:proofErr w:type="gramEnd"/>
      <w:r w:rsidR="00AE47A8">
        <w:rPr>
          <w:rFonts w:cs="Calibri"/>
          <w:iCs/>
        </w:rPr>
        <w:t xml:space="preserve"> application.  </w:t>
      </w:r>
      <w:proofErr w:type="gramStart"/>
      <w:r w:rsidR="00A10E07">
        <w:rPr>
          <w:rFonts w:cs="Calibri"/>
          <w:iCs/>
        </w:rPr>
        <w:t>Similar to</w:t>
      </w:r>
      <w:proofErr w:type="gramEnd"/>
      <w:r w:rsidR="00A10E07">
        <w:rPr>
          <w:rFonts w:cs="Calibri"/>
          <w:iCs/>
        </w:rPr>
        <w:t xml:space="preserve"> SAMM 1a, t</w:t>
      </w:r>
      <w:r w:rsidR="00AE47A8" w:rsidRPr="00B01E98">
        <w:rPr>
          <w:rFonts w:cs="Calibri"/>
          <w:iCs/>
        </w:rPr>
        <w:t xml:space="preserve">his increase was attributed to over 1,000 complaints received </w:t>
      </w:r>
      <w:r w:rsidR="00AE47A8">
        <w:rPr>
          <w:rFonts w:cs="Calibri"/>
          <w:iCs/>
        </w:rPr>
        <w:t>and</w:t>
      </w:r>
      <w:r w:rsidR="00AE47A8" w:rsidRPr="00B01E98">
        <w:rPr>
          <w:rFonts w:cs="Calibri"/>
          <w:iCs/>
        </w:rPr>
        <w:t xml:space="preserve"> unaccounted for</w:t>
      </w:r>
      <w:r w:rsidR="00DF7A40">
        <w:rPr>
          <w:rFonts w:cs="Calibri"/>
          <w:iCs/>
        </w:rPr>
        <w:t xml:space="preserve">, </w:t>
      </w:r>
      <w:r w:rsidR="00427BA1">
        <w:rPr>
          <w:rFonts w:cs="Calibri"/>
          <w:iCs/>
        </w:rPr>
        <w:t>which was identified in the Special Study</w:t>
      </w:r>
      <w:r w:rsidR="00AE47A8" w:rsidRPr="00B01E98">
        <w:rPr>
          <w:rFonts w:cs="Calibri"/>
          <w:iCs/>
        </w:rPr>
        <w:t>.  ADOSH</w:t>
      </w:r>
      <w:r w:rsidR="000D588A">
        <w:rPr>
          <w:rFonts w:cs="Calibri"/>
          <w:iCs/>
        </w:rPr>
        <w:t>’s efforts to reduce the backlog</w:t>
      </w:r>
      <w:r w:rsidR="00AE47A8" w:rsidRPr="00B01E98">
        <w:rPr>
          <w:rFonts w:cs="Calibri"/>
          <w:iCs/>
        </w:rPr>
        <w:t xml:space="preserve"> has increased the average number of </w:t>
      </w:r>
      <w:proofErr w:type="gramStart"/>
      <w:r w:rsidR="00AE47A8" w:rsidRPr="00B01E98">
        <w:rPr>
          <w:rFonts w:cs="Calibri"/>
          <w:iCs/>
        </w:rPr>
        <w:t>work days</w:t>
      </w:r>
      <w:proofErr w:type="gramEnd"/>
      <w:r w:rsidR="00AE47A8" w:rsidRPr="00B01E98">
        <w:rPr>
          <w:rFonts w:cs="Calibri"/>
          <w:iCs/>
        </w:rPr>
        <w:t xml:space="preserve"> to initiate complaint </w:t>
      </w:r>
      <w:r w:rsidR="00A06D38">
        <w:rPr>
          <w:rFonts w:cs="Calibri"/>
          <w:iCs/>
        </w:rPr>
        <w:t>investigations</w:t>
      </w:r>
      <w:r w:rsidR="001917C4">
        <w:rPr>
          <w:rFonts w:cs="Calibri"/>
          <w:iCs/>
        </w:rPr>
        <w:t xml:space="preserve">.  </w:t>
      </w:r>
      <w:r w:rsidR="00AE47A8" w:rsidRPr="00B01E98">
        <w:rPr>
          <w:rFonts w:cs="Calibri"/>
          <w:iCs/>
        </w:rPr>
        <w:t>This finding remains open.</w:t>
      </w:r>
    </w:p>
    <w:p w14:paraId="20681E4D" w14:textId="77777777" w:rsidR="009A6265" w:rsidRPr="009B7B81" w:rsidRDefault="009A6265" w:rsidP="000B58F1">
      <w:pPr>
        <w:widowControl/>
        <w:tabs>
          <w:tab w:val="center" w:pos="270"/>
          <w:tab w:val="left" w:pos="360"/>
        </w:tabs>
        <w:autoSpaceDE/>
        <w:autoSpaceDN/>
        <w:adjustRightInd/>
        <w:rPr>
          <w:rFonts w:eastAsia="Calibri" w:cs="Calibri"/>
        </w:rPr>
      </w:pPr>
    </w:p>
    <w:p w14:paraId="25E91627" w14:textId="325F782D" w:rsidR="009A6265" w:rsidRDefault="00EB6D0C" w:rsidP="009A6265">
      <w:pPr>
        <w:widowControl/>
        <w:autoSpaceDE/>
        <w:autoSpaceDN/>
        <w:adjustRightInd/>
        <w:rPr>
          <w:rFonts w:cs="Calibri"/>
          <w:iCs/>
        </w:rPr>
      </w:pPr>
      <w:r>
        <w:rPr>
          <w:rFonts w:cs="Calibri"/>
          <w:b/>
          <w:bCs/>
          <w:iCs/>
        </w:rPr>
        <w:t xml:space="preserve">Finding </w:t>
      </w:r>
      <w:r w:rsidR="009A6265" w:rsidRPr="0045177B">
        <w:rPr>
          <w:rFonts w:cs="Calibri"/>
          <w:b/>
          <w:bCs/>
          <w:iCs/>
        </w:rPr>
        <w:t>FY 2024-</w:t>
      </w:r>
      <w:r w:rsidR="0012218D" w:rsidRPr="0045177B">
        <w:rPr>
          <w:rFonts w:cs="Calibri"/>
          <w:b/>
          <w:bCs/>
          <w:iCs/>
        </w:rPr>
        <w:t>03</w:t>
      </w:r>
      <w:r w:rsidR="00E8503A">
        <w:rPr>
          <w:rFonts w:cs="Calibri"/>
          <w:b/>
          <w:bCs/>
          <w:iCs/>
        </w:rPr>
        <w:t xml:space="preserve"> </w:t>
      </w:r>
      <w:r w:rsidR="00E8503A" w:rsidRPr="00805241">
        <w:rPr>
          <w:rFonts w:cs="Calibri"/>
          <w:iCs/>
        </w:rPr>
        <w:t>(</w:t>
      </w:r>
      <w:r w:rsidR="00E8503A" w:rsidRPr="008E3AFF">
        <w:rPr>
          <w:rFonts w:asciiTheme="minorHAnsi" w:hAnsiTheme="minorHAnsi" w:cstheme="minorHAnsi"/>
        </w:rPr>
        <w:t>FY 2023-05)</w:t>
      </w:r>
      <w:r w:rsidR="009A6265" w:rsidRPr="008E3AFF">
        <w:rPr>
          <w:rFonts w:cs="Calibri"/>
          <w:iCs/>
        </w:rPr>
        <w:t>:</w:t>
      </w:r>
      <w:r w:rsidR="009A6265" w:rsidRPr="0045177B">
        <w:rPr>
          <w:rFonts w:cs="Calibri"/>
          <w:iCs/>
        </w:rPr>
        <w:t xml:space="preserve">  A total of </w:t>
      </w:r>
      <w:r w:rsidR="0061527F">
        <w:rPr>
          <w:rFonts w:cs="Calibri"/>
          <w:iCs/>
        </w:rPr>
        <w:t>616</w:t>
      </w:r>
      <w:r w:rsidR="0061527F" w:rsidRPr="0045177B">
        <w:rPr>
          <w:rFonts w:cs="Calibri"/>
          <w:iCs/>
        </w:rPr>
        <w:t xml:space="preserve"> </w:t>
      </w:r>
      <w:r w:rsidR="009A6265" w:rsidRPr="0045177B">
        <w:rPr>
          <w:rFonts w:cs="Calibri"/>
          <w:iCs/>
        </w:rPr>
        <w:t>(</w:t>
      </w:r>
      <w:r w:rsidR="00FC7804">
        <w:rPr>
          <w:rFonts w:cs="Calibri"/>
          <w:iCs/>
        </w:rPr>
        <w:t>52.42</w:t>
      </w:r>
      <w:r w:rsidR="009A6265" w:rsidRPr="0045177B">
        <w:rPr>
          <w:rFonts w:cs="Calibri"/>
          <w:iCs/>
        </w:rPr>
        <w:t>%) inspections</w:t>
      </w:r>
      <w:r w:rsidR="009A6265" w:rsidRPr="00E83D06">
        <w:rPr>
          <w:rFonts w:cs="Calibri"/>
          <w:iCs/>
        </w:rPr>
        <w:t xml:space="preserve"> of the goal of </w:t>
      </w:r>
      <w:r w:rsidR="00FC7804">
        <w:rPr>
          <w:rFonts w:cs="Calibri"/>
          <w:iCs/>
        </w:rPr>
        <w:t>1,175</w:t>
      </w:r>
      <w:r w:rsidR="00FC7804" w:rsidRPr="00E83D06">
        <w:rPr>
          <w:rFonts w:cs="Calibri"/>
          <w:iCs/>
        </w:rPr>
        <w:t xml:space="preserve"> </w:t>
      </w:r>
      <w:r w:rsidR="009A6265" w:rsidRPr="00E83D06">
        <w:rPr>
          <w:rFonts w:cs="Calibri"/>
          <w:iCs/>
        </w:rPr>
        <w:t>were conducted (SAMM 7).</w:t>
      </w:r>
    </w:p>
    <w:p w14:paraId="27F939AF" w14:textId="77777777" w:rsidR="00335246" w:rsidRDefault="00335246" w:rsidP="009A6265">
      <w:pPr>
        <w:widowControl/>
        <w:autoSpaceDE/>
        <w:autoSpaceDN/>
        <w:adjustRightInd/>
        <w:rPr>
          <w:rFonts w:cs="Calibri"/>
          <w:iCs/>
        </w:rPr>
      </w:pPr>
    </w:p>
    <w:p w14:paraId="49295C3A" w14:textId="217B60A9" w:rsidR="0045177B" w:rsidRPr="0045177B" w:rsidRDefault="0045177B" w:rsidP="0045177B">
      <w:pPr>
        <w:widowControl/>
        <w:autoSpaceDE/>
        <w:autoSpaceDN/>
        <w:adjustRightInd/>
        <w:rPr>
          <w:rFonts w:cs="Calibri"/>
          <w:iCs/>
        </w:rPr>
      </w:pPr>
      <w:r w:rsidRPr="0045177B">
        <w:rPr>
          <w:rFonts w:cs="Calibri"/>
          <w:b/>
          <w:bCs/>
          <w:iCs/>
        </w:rPr>
        <w:t xml:space="preserve">Status: </w:t>
      </w:r>
      <w:r>
        <w:rPr>
          <w:rFonts w:cs="Calibri"/>
          <w:b/>
          <w:bCs/>
          <w:iCs/>
        </w:rPr>
        <w:t xml:space="preserve"> </w:t>
      </w:r>
      <w:r w:rsidR="009D5F23" w:rsidRPr="009D5F23">
        <w:rPr>
          <w:rFonts w:cs="Calibri"/>
          <w:iCs/>
        </w:rPr>
        <w:t>ADOSH’s inspection goal in FY 202</w:t>
      </w:r>
      <w:r w:rsidR="00F35FF2" w:rsidRPr="0045177B">
        <w:rPr>
          <w:rFonts w:cs="Calibri"/>
          <w:iCs/>
        </w:rPr>
        <w:t>4</w:t>
      </w:r>
      <w:r w:rsidR="009D5F23" w:rsidRPr="009D5F23">
        <w:rPr>
          <w:rFonts w:cs="Calibri"/>
          <w:iCs/>
        </w:rPr>
        <w:t xml:space="preserve"> was </w:t>
      </w:r>
      <w:r w:rsidR="00F35FF2" w:rsidRPr="0045177B">
        <w:rPr>
          <w:rFonts w:cs="Calibri"/>
          <w:iCs/>
        </w:rPr>
        <w:t>795</w:t>
      </w:r>
      <w:r w:rsidR="009D5F23" w:rsidRPr="009D5F23">
        <w:rPr>
          <w:rFonts w:cs="Calibri"/>
          <w:iCs/>
        </w:rPr>
        <w:t xml:space="preserve"> safety and </w:t>
      </w:r>
      <w:r w:rsidR="00D322E3" w:rsidRPr="0045177B">
        <w:rPr>
          <w:rFonts w:cs="Calibri"/>
          <w:iCs/>
        </w:rPr>
        <w:t>380</w:t>
      </w:r>
      <w:r w:rsidR="009D5F23" w:rsidRPr="009D5F23">
        <w:rPr>
          <w:rFonts w:cs="Calibri"/>
          <w:iCs/>
        </w:rPr>
        <w:t xml:space="preserve"> health</w:t>
      </w:r>
      <w:r w:rsidR="00AD3FC3">
        <w:rPr>
          <w:rFonts w:cs="Calibri"/>
          <w:iCs/>
        </w:rPr>
        <w:t xml:space="preserve">, totaling </w:t>
      </w:r>
      <w:r w:rsidR="00D322E3" w:rsidRPr="0045177B">
        <w:rPr>
          <w:rFonts w:cs="Calibri"/>
          <w:iCs/>
        </w:rPr>
        <w:t>1,175</w:t>
      </w:r>
      <w:r w:rsidR="009D5F23" w:rsidRPr="009D5F23">
        <w:rPr>
          <w:rFonts w:cs="Calibri"/>
          <w:iCs/>
        </w:rPr>
        <w:t xml:space="preserve">. </w:t>
      </w:r>
      <w:r w:rsidR="00D322E3" w:rsidRPr="0045177B">
        <w:rPr>
          <w:rFonts w:cs="Calibri"/>
          <w:iCs/>
        </w:rPr>
        <w:t xml:space="preserve"> </w:t>
      </w:r>
      <w:r w:rsidR="009D5F23" w:rsidRPr="009D5F23">
        <w:rPr>
          <w:rFonts w:cs="Calibri"/>
          <w:iCs/>
        </w:rPr>
        <w:t xml:space="preserve">ADOSH conducted </w:t>
      </w:r>
      <w:r w:rsidR="00D322E3" w:rsidRPr="0045177B">
        <w:rPr>
          <w:rFonts w:cs="Calibri"/>
          <w:iCs/>
        </w:rPr>
        <w:t>616</w:t>
      </w:r>
      <w:r w:rsidR="009D5F23" w:rsidRPr="009D5F23">
        <w:rPr>
          <w:rFonts w:cs="Calibri"/>
          <w:iCs/>
        </w:rPr>
        <w:t xml:space="preserve"> inspections</w:t>
      </w:r>
      <w:r w:rsidR="00F325E9">
        <w:rPr>
          <w:rFonts w:cs="Calibri"/>
          <w:iCs/>
        </w:rPr>
        <w:t xml:space="preserve">, </w:t>
      </w:r>
      <w:r w:rsidR="00DA0079">
        <w:rPr>
          <w:rFonts w:cs="Calibri"/>
          <w:iCs/>
        </w:rPr>
        <w:t>the</w:t>
      </w:r>
      <w:r w:rsidR="001C5895">
        <w:rPr>
          <w:rFonts w:cs="Calibri"/>
          <w:iCs/>
        </w:rPr>
        <w:t xml:space="preserve"> </w:t>
      </w:r>
      <w:r w:rsidR="006C0A38">
        <w:rPr>
          <w:rFonts w:cs="Calibri"/>
          <w:iCs/>
        </w:rPr>
        <w:t>highest</w:t>
      </w:r>
      <w:r w:rsidR="00F4416C">
        <w:rPr>
          <w:rFonts w:cs="Calibri"/>
          <w:iCs/>
        </w:rPr>
        <w:t xml:space="preserve"> </w:t>
      </w:r>
      <w:r w:rsidR="006C0A38">
        <w:rPr>
          <w:rFonts w:cs="Calibri"/>
          <w:iCs/>
        </w:rPr>
        <w:t>number</w:t>
      </w:r>
      <w:r w:rsidR="00DA0079">
        <w:rPr>
          <w:rFonts w:cs="Calibri"/>
          <w:iCs/>
        </w:rPr>
        <w:t xml:space="preserve"> </w:t>
      </w:r>
      <w:r w:rsidR="001C5895">
        <w:rPr>
          <w:rFonts w:cs="Calibri"/>
          <w:iCs/>
        </w:rPr>
        <w:t>since FY 2017.  Of the 616</w:t>
      </w:r>
      <w:r w:rsidR="00D27F09">
        <w:rPr>
          <w:rFonts w:cs="Calibri"/>
          <w:iCs/>
        </w:rPr>
        <w:t xml:space="preserve"> total</w:t>
      </w:r>
      <w:r w:rsidR="001C5895">
        <w:rPr>
          <w:rFonts w:cs="Calibri"/>
          <w:iCs/>
        </w:rPr>
        <w:t xml:space="preserve">, </w:t>
      </w:r>
      <w:r w:rsidR="00F325E9">
        <w:rPr>
          <w:rFonts w:cs="Calibri"/>
          <w:iCs/>
        </w:rPr>
        <w:t xml:space="preserve">402 were safety (SAMM 7a) and 214 health (SAMM 7b).  </w:t>
      </w:r>
      <w:r w:rsidR="009D5F23" w:rsidRPr="009D5F23">
        <w:rPr>
          <w:rFonts w:cs="Calibri"/>
          <w:iCs/>
        </w:rPr>
        <w:t xml:space="preserve">The acceptable range not requiring further review is </w:t>
      </w:r>
      <w:r w:rsidR="00D322E3" w:rsidRPr="0045177B">
        <w:rPr>
          <w:rFonts w:cs="Calibri"/>
          <w:iCs/>
        </w:rPr>
        <w:t>755</w:t>
      </w:r>
      <w:r w:rsidR="009D5F23" w:rsidRPr="009D5F23">
        <w:rPr>
          <w:rFonts w:cs="Calibri"/>
          <w:iCs/>
        </w:rPr>
        <w:t xml:space="preserve"> to </w:t>
      </w:r>
      <w:r w:rsidR="00D322E3" w:rsidRPr="0045177B">
        <w:rPr>
          <w:rFonts w:cs="Calibri"/>
          <w:iCs/>
        </w:rPr>
        <w:t>835</w:t>
      </w:r>
      <w:r w:rsidR="009D5F23" w:rsidRPr="009D5F23">
        <w:rPr>
          <w:rFonts w:cs="Calibri"/>
          <w:iCs/>
        </w:rPr>
        <w:t xml:space="preserve"> for safety and </w:t>
      </w:r>
      <w:r w:rsidR="00885DB6" w:rsidRPr="0045177B">
        <w:rPr>
          <w:rFonts w:cs="Calibri"/>
          <w:iCs/>
        </w:rPr>
        <w:t>361</w:t>
      </w:r>
      <w:r w:rsidR="009D5F23" w:rsidRPr="009D5F23">
        <w:rPr>
          <w:rFonts w:cs="Calibri"/>
          <w:iCs/>
        </w:rPr>
        <w:t xml:space="preserve"> to </w:t>
      </w:r>
      <w:r w:rsidR="00885DB6" w:rsidRPr="0045177B">
        <w:rPr>
          <w:rFonts w:cs="Calibri"/>
          <w:iCs/>
        </w:rPr>
        <w:t>399</w:t>
      </w:r>
      <w:r w:rsidR="009D5F23" w:rsidRPr="009D5F23">
        <w:rPr>
          <w:rFonts w:cs="Calibri"/>
          <w:iCs/>
        </w:rPr>
        <w:t xml:space="preserve"> for health</w:t>
      </w:r>
      <w:r w:rsidR="00621323">
        <w:rPr>
          <w:rFonts w:cs="Calibri"/>
          <w:iCs/>
        </w:rPr>
        <w:t>,</w:t>
      </w:r>
      <w:r w:rsidR="00F0165D">
        <w:rPr>
          <w:rFonts w:cs="Calibri"/>
          <w:iCs/>
        </w:rPr>
        <w:t xml:space="preserve"> </w:t>
      </w:r>
      <w:r w:rsidR="00621323">
        <w:rPr>
          <w:rFonts w:cs="Calibri"/>
          <w:iCs/>
        </w:rPr>
        <w:t>which Arizona’s data was below</w:t>
      </w:r>
      <w:r w:rsidR="00F0165D">
        <w:rPr>
          <w:rFonts w:cs="Calibri"/>
          <w:iCs/>
        </w:rPr>
        <w:t xml:space="preserve"> and warranted a closer look</w:t>
      </w:r>
      <w:r w:rsidR="009D5F23" w:rsidRPr="009D5F23">
        <w:rPr>
          <w:rFonts w:cs="Calibri"/>
          <w:iCs/>
        </w:rPr>
        <w:t xml:space="preserve">. </w:t>
      </w:r>
      <w:r w:rsidR="00885DB6" w:rsidRPr="0045177B">
        <w:rPr>
          <w:rFonts w:cs="Calibri"/>
          <w:iCs/>
        </w:rPr>
        <w:t xml:space="preserve"> Although the total number of inspections increased </w:t>
      </w:r>
      <w:r w:rsidR="00621323">
        <w:rPr>
          <w:rFonts w:cs="Calibri"/>
          <w:iCs/>
        </w:rPr>
        <w:t>from</w:t>
      </w:r>
      <w:r w:rsidR="00885DB6" w:rsidRPr="0045177B">
        <w:rPr>
          <w:rFonts w:cs="Calibri"/>
          <w:iCs/>
        </w:rPr>
        <w:t xml:space="preserve"> the previous year</w:t>
      </w:r>
      <w:r w:rsidR="00621323">
        <w:rPr>
          <w:rFonts w:cs="Calibri"/>
          <w:iCs/>
        </w:rPr>
        <w:t>s</w:t>
      </w:r>
      <w:r w:rsidR="00885DB6" w:rsidRPr="0045177B">
        <w:rPr>
          <w:rFonts w:cs="Calibri"/>
          <w:iCs/>
        </w:rPr>
        <w:t>, ADOSH continued to fall short of reaching their annual inspection goals</w:t>
      </w:r>
      <w:r w:rsidR="0044324B">
        <w:rPr>
          <w:rFonts w:cs="Calibri"/>
          <w:iCs/>
        </w:rPr>
        <w:t xml:space="preserve">.  </w:t>
      </w:r>
      <w:r w:rsidR="00621323">
        <w:rPr>
          <w:rFonts w:cs="Calibri"/>
          <w:iCs/>
        </w:rPr>
        <w:t xml:space="preserve">The </w:t>
      </w:r>
      <w:r w:rsidRPr="0045177B">
        <w:rPr>
          <w:rFonts w:cs="Calibri"/>
          <w:iCs/>
        </w:rPr>
        <w:t xml:space="preserve">limited number of trained compliance officers available to conduct inspections independently was a </w:t>
      </w:r>
      <w:r w:rsidR="00621323">
        <w:rPr>
          <w:rFonts w:cs="Calibri"/>
          <w:iCs/>
        </w:rPr>
        <w:t xml:space="preserve">primary </w:t>
      </w:r>
      <w:r w:rsidRPr="0045177B">
        <w:rPr>
          <w:rFonts w:cs="Calibri"/>
          <w:iCs/>
        </w:rPr>
        <w:t>factor in not reaching inspection goals.  However, ADOSH’s strategic plan project</w:t>
      </w:r>
      <w:r w:rsidR="00621323">
        <w:rPr>
          <w:rFonts w:cs="Calibri"/>
          <w:iCs/>
        </w:rPr>
        <w:t>ed</w:t>
      </w:r>
      <w:r w:rsidRPr="0045177B">
        <w:rPr>
          <w:rFonts w:cs="Calibri"/>
          <w:iCs/>
        </w:rPr>
        <w:t xml:space="preserve"> an increased number of inspections each consecutive year, which</w:t>
      </w:r>
      <w:r w:rsidR="00621323">
        <w:rPr>
          <w:rFonts w:cs="Calibri"/>
          <w:iCs/>
        </w:rPr>
        <w:t xml:space="preserve"> also</w:t>
      </w:r>
      <w:r w:rsidRPr="0045177B">
        <w:rPr>
          <w:rFonts w:cs="Calibri"/>
          <w:iCs/>
        </w:rPr>
        <w:t xml:space="preserve"> made the goal difficult to attain.  </w:t>
      </w:r>
      <w:r w:rsidR="004731F6">
        <w:rPr>
          <w:rFonts w:cs="Calibri"/>
          <w:iCs/>
        </w:rPr>
        <w:t>Arizona has since negotiated a more attainable inspection goal for FY 2025</w:t>
      </w:r>
      <w:r w:rsidR="00621323">
        <w:rPr>
          <w:rFonts w:cs="Calibri"/>
          <w:iCs/>
        </w:rPr>
        <w:t xml:space="preserve"> through the </w:t>
      </w:r>
      <w:proofErr w:type="gramStart"/>
      <w:r w:rsidR="00621323">
        <w:rPr>
          <w:rFonts w:cs="Calibri"/>
          <w:iCs/>
        </w:rPr>
        <w:t>23(g) grant</w:t>
      </w:r>
      <w:proofErr w:type="gramEnd"/>
      <w:r w:rsidR="00621323">
        <w:rPr>
          <w:rFonts w:cs="Calibri"/>
          <w:iCs/>
        </w:rPr>
        <w:t xml:space="preserve"> application process</w:t>
      </w:r>
      <w:r w:rsidR="004731F6">
        <w:rPr>
          <w:rFonts w:cs="Calibri"/>
          <w:iCs/>
        </w:rPr>
        <w:t xml:space="preserve">.  OSHA will continue to monitor this data through </w:t>
      </w:r>
      <w:r w:rsidR="00621323">
        <w:rPr>
          <w:rFonts w:cs="Calibri"/>
          <w:iCs/>
        </w:rPr>
        <w:t>throughout the next evaluation period</w:t>
      </w:r>
      <w:r w:rsidR="004731F6">
        <w:rPr>
          <w:rFonts w:cs="Calibri"/>
          <w:iCs/>
        </w:rPr>
        <w:t xml:space="preserve">.  </w:t>
      </w:r>
      <w:r w:rsidRPr="0045177B">
        <w:rPr>
          <w:rFonts w:cs="Calibri"/>
          <w:iCs/>
        </w:rPr>
        <w:t xml:space="preserve">This finding remains open.  </w:t>
      </w:r>
    </w:p>
    <w:p w14:paraId="165B8480" w14:textId="77777777" w:rsidR="006D070D" w:rsidRDefault="006D070D" w:rsidP="009A6265">
      <w:pPr>
        <w:widowControl/>
        <w:autoSpaceDE/>
        <w:autoSpaceDN/>
        <w:adjustRightInd/>
        <w:rPr>
          <w:rFonts w:cs="Calibri"/>
          <w:iCs/>
        </w:rPr>
      </w:pPr>
    </w:p>
    <w:p w14:paraId="17DE2C23" w14:textId="1EA42A69" w:rsidR="00980A8D" w:rsidRPr="00F64AEE" w:rsidRDefault="00EB6D0C" w:rsidP="009A6265">
      <w:pPr>
        <w:widowControl/>
        <w:tabs>
          <w:tab w:val="center" w:pos="270"/>
          <w:tab w:val="left" w:pos="360"/>
        </w:tabs>
        <w:autoSpaceDE/>
        <w:autoSpaceDN/>
        <w:adjustRightInd/>
        <w:rPr>
          <w:rFonts w:cs="Calibri"/>
          <w:iCs/>
        </w:rPr>
      </w:pPr>
      <w:r w:rsidRPr="00EB6D0C">
        <w:rPr>
          <w:rFonts w:cs="Calibri"/>
          <w:b/>
          <w:bCs/>
          <w:iCs/>
        </w:rPr>
        <w:t xml:space="preserve">Finding </w:t>
      </w:r>
      <w:r w:rsidR="009A6265" w:rsidRPr="00EB6D0C">
        <w:rPr>
          <w:rFonts w:cs="Calibri"/>
          <w:b/>
          <w:bCs/>
          <w:iCs/>
        </w:rPr>
        <w:t>FY 2024-</w:t>
      </w:r>
      <w:r w:rsidRPr="00EB6D0C">
        <w:rPr>
          <w:rFonts w:cs="Calibri"/>
          <w:b/>
          <w:bCs/>
          <w:iCs/>
        </w:rPr>
        <w:t>04</w:t>
      </w:r>
      <w:r w:rsidR="008E3AFF">
        <w:rPr>
          <w:rFonts w:cs="Calibri"/>
          <w:b/>
          <w:bCs/>
          <w:iCs/>
        </w:rPr>
        <w:t xml:space="preserve"> </w:t>
      </w:r>
      <w:r w:rsidR="008E3AFF" w:rsidRPr="004D650E">
        <w:rPr>
          <w:rFonts w:cs="Calibri"/>
          <w:iCs/>
        </w:rPr>
        <w:t>(</w:t>
      </w:r>
      <w:r w:rsidR="008E3AFF" w:rsidRPr="008E3AFF">
        <w:rPr>
          <w:rFonts w:asciiTheme="minorHAnsi" w:hAnsiTheme="minorHAnsi" w:cstheme="minorHAnsi"/>
        </w:rPr>
        <w:t>FY 2023-07)</w:t>
      </w:r>
      <w:r w:rsidR="009A6265" w:rsidRPr="008E3AFF">
        <w:rPr>
          <w:rFonts w:cs="Calibri"/>
          <w:b/>
          <w:bCs/>
          <w:iCs/>
        </w:rPr>
        <w:t>:</w:t>
      </w:r>
      <w:r w:rsidR="009A6265" w:rsidRPr="00EB6D0C">
        <w:rPr>
          <w:rFonts w:cs="Calibri"/>
          <w:iCs/>
        </w:rPr>
        <w:t xml:space="preserve">  </w:t>
      </w:r>
      <w:r w:rsidR="004634F9">
        <w:rPr>
          <w:rFonts w:cs="Calibri"/>
          <w:iCs/>
        </w:rPr>
        <w:t>In FY 2023, a</w:t>
      </w:r>
      <w:r w:rsidR="009A6265" w:rsidRPr="00F64AEE">
        <w:rPr>
          <w:rFonts w:cs="Calibri"/>
          <w:iCs/>
        </w:rPr>
        <w:t>batement documentation was missing in 6 of 39 (15.38%) case files.</w:t>
      </w:r>
    </w:p>
    <w:p w14:paraId="276A4D8F" w14:textId="77777777" w:rsidR="00F64AEE" w:rsidRPr="00F64AEE" w:rsidRDefault="00F64AEE" w:rsidP="009A6265">
      <w:pPr>
        <w:widowControl/>
        <w:tabs>
          <w:tab w:val="center" w:pos="270"/>
          <w:tab w:val="left" w:pos="360"/>
        </w:tabs>
        <w:autoSpaceDE/>
        <w:autoSpaceDN/>
        <w:adjustRightInd/>
        <w:rPr>
          <w:rFonts w:eastAsia="Calibri" w:cs="Calibri"/>
        </w:rPr>
      </w:pPr>
    </w:p>
    <w:p w14:paraId="6E5B9106" w14:textId="2DF24F2F" w:rsidR="00F64AEE" w:rsidRDefault="00F64AEE" w:rsidP="009A6265">
      <w:pPr>
        <w:widowControl/>
        <w:tabs>
          <w:tab w:val="center" w:pos="270"/>
          <w:tab w:val="left" w:pos="360"/>
        </w:tabs>
        <w:autoSpaceDE/>
        <w:autoSpaceDN/>
        <w:adjustRightInd/>
        <w:rPr>
          <w:rFonts w:eastAsia="Calibri" w:cs="Calibri"/>
        </w:rPr>
      </w:pPr>
      <w:r w:rsidRPr="00F64AEE">
        <w:rPr>
          <w:rFonts w:eastAsia="Calibri" w:cs="Calibri"/>
          <w:b/>
          <w:bCs/>
        </w:rPr>
        <w:t xml:space="preserve">Status: </w:t>
      </w:r>
      <w:r w:rsidR="00EB6D0C">
        <w:rPr>
          <w:rFonts w:eastAsia="Calibri" w:cs="Calibri"/>
          <w:b/>
          <w:bCs/>
        </w:rPr>
        <w:t xml:space="preserve"> </w:t>
      </w:r>
      <w:r w:rsidR="00EB6D0C">
        <w:rPr>
          <w:rFonts w:eastAsia="Calibri" w:cs="Calibri"/>
        </w:rPr>
        <w:t>According to ADOSH</w:t>
      </w:r>
      <w:r w:rsidR="00F0165D">
        <w:rPr>
          <w:rFonts w:eastAsia="Calibri" w:cs="Calibri"/>
        </w:rPr>
        <w:t>’s corrective action plan for the Special Study</w:t>
      </w:r>
      <w:r w:rsidR="00EB6D0C">
        <w:rPr>
          <w:rFonts w:eastAsia="Calibri" w:cs="Calibri"/>
        </w:rPr>
        <w:t xml:space="preserve">, internal audits </w:t>
      </w:r>
      <w:r w:rsidR="00F0165D">
        <w:rPr>
          <w:rFonts w:eastAsia="Calibri" w:cs="Calibri"/>
        </w:rPr>
        <w:t>were</w:t>
      </w:r>
      <w:r w:rsidR="00EB6D0C">
        <w:rPr>
          <w:rFonts w:eastAsia="Calibri" w:cs="Calibri"/>
        </w:rPr>
        <w:t xml:space="preserve"> developed </w:t>
      </w:r>
      <w:r w:rsidR="00161B93">
        <w:rPr>
          <w:rFonts w:eastAsia="Calibri" w:cs="Calibri"/>
        </w:rPr>
        <w:t xml:space="preserve">and implemented </w:t>
      </w:r>
      <w:r w:rsidR="00EB6D0C">
        <w:rPr>
          <w:rFonts w:eastAsia="Calibri" w:cs="Calibri"/>
        </w:rPr>
        <w:t xml:space="preserve">as a </w:t>
      </w:r>
      <w:r w:rsidR="00161B93">
        <w:rPr>
          <w:rFonts w:eastAsia="Calibri" w:cs="Calibri"/>
        </w:rPr>
        <w:t xml:space="preserve">tool to ensure abatement documentation </w:t>
      </w:r>
      <w:r w:rsidR="008237CF">
        <w:rPr>
          <w:rFonts w:eastAsia="Calibri" w:cs="Calibri"/>
        </w:rPr>
        <w:t>was</w:t>
      </w:r>
      <w:r w:rsidR="00161B93">
        <w:rPr>
          <w:rFonts w:eastAsia="Calibri" w:cs="Calibri"/>
        </w:rPr>
        <w:t xml:space="preserve"> maintained in inspection files.  However, a</w:t>
      </w:r>
      <w:r w:rsidRPr="00F64AEE">
        <w:rPr>
          <w:rFonts w:eastAsia="Calibri" w:cs="Calibri"/>
        </w:rPr>
        <w:t xml:space="preserve"> case file review is necessary to gather the facts needed to evaluate </w:t>
      </w:r>
      <w:r w:rsidR="00161B93">
        <w:rPr>
          <w:rFonts w:eastAsia="Calibri" w:cs="Calibri"/>
        </w:rPr>
        <w:t>progress on this finding</w:t>
      </w:r>
      <w:r w:rsidRPr="00F64AEE">
        <w:rPr>
          <w:rFonts w:eastAsia="Calibri" w:cs="Calibri"/>
        </w:rPr>
        <w:t xml:space="preserve">.  This will be a focus of next year’s on-site case file review during the FY 2025 </w:t>
      </w:r>
      <w:r w:rsidR="004634F9">
        <w:rPr>
          <w:rFonts w:eastAsia="Calibri" w:cs="Calibri"/>
        </w:rPr>
        <w:t>C</w:t>
      </w:r>
      <w:r w:rsidRPr="00F64AEE">
        <w:rPr>
          <w:rFonts w:eastAsia="Calibri" w:cs="Calibri"/>
        </w:rPr>
        <w:t>omprehensive FAME.  This finding remains open.</w:t>
      </w:r>
      <w:r w:rsidRPr="56B52501">
        <w:rPr>
          <w:rFonts w:eastAsia="Calibri" w:cs="Calibri"/>
        </w:rPr>
        <w:t xml:space="preserve">  </w:t>
      </w:r>
    </w:p>
    <w:p w14:paraId="25127666" w14:textId="77777777" w:rsidR="00EE4556" w:rsidRPr="000E3AA5" w:rsidRDefault="00EE4556" w:rsidP="000B58F1">
      <w:pPr>
        <w:widowControl/>
        <w:tabs>
          <w:tab w:val="center" w:pos="270"/>
          <w:tab w:val="left" w:pos="360"/>
        </w:tabs>
        <w:autoSpaceDE/>
        <w:autoSpaceDN/>
        <w:adjustRightInd/>
        <w:rPr>
          <w:rFonts w:eastAsia="Calibri" w:cs="Calibri"/>
        </w:rPr>
      </w:pPr>
    </w:p>
    <w:p w14:paraId="4CA927C2" w14:textId="77777777" w:rsidR="00E9586C" w:rsidRDefault="00E9586C" w:rsidP="00E9586C">
      <w:pPr>
        <w:widowControl/>
        <w:autoSpaceDE/>
        <w:autoSpaceDN/>
        <w:adjustRightInd/>
        <w:rPr>
          <w:rFonts w:asciiTheme="minorHAnsi" w:hAnsiTheme="minorHAnsi" w:cstheme="minorHAnsi"/>
        </w:rPr>
      </w:pPr>
      <w:bookmarkStart w:id="20" w:name="_Toc118900176"/>
      <w:bookmarkStart w:id="21" w:name="_Toc118905015"/>
      <w:r>
        <w:rPr>
          <w:rFonts w:asciiTheme="minorHAnsi" w:hAnsiTheme="minorHAnsi" w:cstheme="minorHAnsi"/>
          <w:b/>
          <w:bCs/>
        </w:rPr>
        <w:t>New Findings</w:t>
      </w:r>
    </w:p>
    <w:p w14:paraId="10671DEA" w14:textId="77777777" w:rsidR="00E9586C" w:rsidRDefault="00E9586C" w:rsidP="00E9586C">
      <w:pPr>
        <w:widowControl/>
        <w:autoSpaceDE/>
        <w:autoSpaceDN/>
        <w:adjustRightInd/>
        <w:rPr>
          <w:rFonts w:asciiTheme="minorHAnsi" w:hAnsiTheme="minorHAnsi" w:cstheme="minorHAnsi"/>
        </w:rPr>
      </w:pPr>
    </w:p>
    <w:p w14:paraId="5B60B91F" w14:textId="094D0940" w:rsidR="00E9586C" w:rsidRDefault="00E9586C" w:rsidP="00E5511C">
      <w:pPr>
        <w:widowControl/>
        <w:autoSpaceDE/>
        <w:autoSpaceDN/>
        <w:adjustRightInd/>
        <w:rPr>
          <w:rFonts w:asciiTheme="minorHAnsi" w:hAnsiTheme="minorHAnsi" w:cstheme="minorHAnsi"/>
        </w:rPr>
      </w:pPr>
      <w:r w:rsidRPr="00E5511C">
        <w:rPr>
          <w:rFonts w:asciiTheme="minorHAnsi" w:hAnsiTheme="minorHAnsi" w:cstheme="minorHAnsi"/>
        </w:rPr>
        <w:t>There were no new findings identified in FY 202</w:t>
      </w:r>
      <w:r w:rsidR="00E5511C" w:rsidRPr="00E5511C">
        <w:rPr>
          <w:rFonts w:asciiTheme="minorHAnsi" w:hAnsiTheme="minorHAnsi" w:cstheme="minorHAnsi"/>
        </w:rPr>
        <w:t>4</w:t>
      </w:r>
      <w:r w:rsidRPr="00E5511C">
        <w:rPr>
          <w:rFonts w:asciiTheme="minorHAnsi" w:hAnsiTheme="minorHAnsi" w:cstheme="minorHAnsi"/>
        </w:rPr>
        <w:t>.</w:t>
      </w:r>
    </w:p>
    <w:p w14:paraId="284722C0" w14:textId="058355BE" w:rsidR="00E5511C" w:rsidRDefault="00482931" w:rsidP="00E5511C">
      <w:pPr>
        <w:widowControl/>
        <w:autoSpaceDE/>
        <w:autoSpaceDN/>
        <w:adjustRightInd/>
      </w:pPr>
      <w:r>
        <w:br w:type="column"/>
      </w:r>
    </w:p>
    <w:p w14:paraId="49B482D8" w14:textId="357AC6ED" w:rsidR="00443054" w:rsidRPr="001C1E47" w:rsidRDefault="44331AB9" w:rsidP="000F35E3">
      <w:pPr>
        <w:pStyle w:val="Heading4"/>
      </w:pPr>
      <w:r>
        <w:t>Observations</w:t>
      </w:r>
      <w:r w:rsidR="15B70285">
        <w:t xml:space="preserve"> (Status of Previous and New Items)</w:t>
      </w:r>
      <w:bookmarkEnd w:id="20"/>
      <w:bookmarkEnd w:id="21"/>
    </w:p>
    <w:p w14:paraId="2D0C820B" w14:textId="77777777" w:rsidR="005C1BFC" w:rsidRDefault="005C1BFC" w:rsidP="000B58F1">
      <w:pPr>
        <w:widowControl/>
        <w:autoSpaceDE/>
        <w:autoSpaceDN/>
        <w:adjustRightInd/>
        <w:rPr>
          <w:rFonts w:cs="Calibri"/>
          <w:bCs/>
          <w:highlight w:val="yellow"/>
          <w:u w:val="single"/>
        </w:rPr>
      </w:pPr>
    </w:p>
    <w:p w14:paraId="6DA646AA" w14:textId="0F99EAA6" w:rsidR="002005EA" w:rsidRPr="002005EA" w:rsidRDefault="004965C7" w:rsidP="000B58F1">
      <w:pPr>
        <w:widowControl/>
        <w:autoSpaceDE/>
        <w:autoSpaceDN/>
        <w:adjustRightInd/>
        <w:rPr>
          <w:rFonts w:cs="Calibri"/>
          <w:b/>
        </w:rPr>
      </w:pPr>
      <w:r>
        <w:rPr>
          <w:rFonts w:cs="Calibri"/>
          <w:b/>
        </w:rPr>
        <w:t>Closed</w:t>
      </w:r>
      <w:r w:rsidR="002005EA" w:rsidRPr="002005EA">
        <w:rPr>
          <w:rFonts w:cs="Calibri"/>
          <w:b/>
        </w:rPr>
        <w:t xml:space="preserve"> </w:t>
      </w:r>
      <w:r w:rsidR="002005EA">
        <w:rPr>
          <w:rFonts w:cs="Calibri"/>
          <w:b/>
        </w:rPr>
        <w:t>Observations</w:t>
      </w:r>
    </w:p>
    <w:p w14:paraId="753769D4" w14:textId="77777777" w:rsidR="002005EA" w:rsidRDefault="002005EA" w:rsidP="002005EA">
      <w:pPr>
        <w:widowControl/>
        <w:autoSpaceDE/>
        <w:autoSpaceDN/>
        <w:adjustRightInd/>
        <w:rPr>
          <w:rFonts w:cs="Calibri"/>
          <w:b/>
          <w:bCs/>
          <w:iCs/>
        </w:rPr>
      </w:pPr>
    </w:p>
    <w:p w14:paraId="68A6B801" w14:textId="2FF2E31A" w:rsidR="004965C7" w:rsidRPr="00F009C1" w:rsidRDefault="004965C7" w:rsidP="004965C7">
      <w:pPr>
        <w:widowControl/>
        <w:autoSpaceDE/>
        <w:autoSpaceDN/>
        <w:adjustRightInd/>
        <w:rPr>
          <w:rFonts w:cs="Calibri"/>
          <w:iCs/>
        </w:rPr>
      </w:pPr>
      <w:r>
        <w:rPr>
          <w:rFonts w:cs="Calibri"/>
          <w:b/>
          <w:bCs/>
          <w:iCs/>
        </w:rPr>
        <w:t xml:space="preserve">Observation </w:t>
      </w:r>
      <w:r w:rsidRPr="00F009C1">
        <w:rPr>
          <w:rFonts w:cs="Calibri"/>
          <w:b/>
          <w:bCs/>
          <w:iCs/>
        </w:rPr>
        <w:t xml:space="preserve">FY </w:t>
      </w:r>
      <w:r>
        <w:rPr>
          <w:rFonts w:cs="Calibri"/>
          <w:b/>
          <w:bCs/>
          <w:iCs/>
        </w:rPr>
        <w:t>2023-OB-02</w:t>
      </w:r>
      <w:r w:rsidRPr="00F009C1">
        <w:rPr>
          <w:rFonts w:cs="Calibri"/>
          <w:b/>
          <w:bCs/>
          <w:iCs/>
        </w:rPr>
        <w:t>:</w:t>
      </w:r>
      <w:r w:rsidR="003C0B8F">
        <w:rPr>
          <w:rFonts w:cs="Calibri"/>
          <w:b/>
          <w:bCs/>
          <w:iCs/>
        </w:rPr>
        <w:t xml:space="preserve"> </w:t>
      </w:r>
      <w:r w:rsidRPr="00F009C1">
        <w:rPr>
          <w:rFonts w:cs="Calibri"/>
          <w:iCs/>
        </w:rPr>
        <w:t xml:space="preserve"> ADOSH’s other-than-serious violations per inspection was 2.41 (SAMM 5b) and </w:t>
      </w:r>
      <w:r w:rsidRPr="006F46C2">
        <w:rPr>
          <w:rFonts w:cs="Calibri"/>
          <w:iCs/>
        </w:rPr>
        <w:t>above the FRL range of 0.71 to 1.07.</w:t>
      </w:r>
      <w:r w:rsidRPr="00F009C1">
        <w:rPr>
          <w:rFonts w:cs="Calibri"/>
          <w:iCs/>
        </w:rPr>
        <w:t xml:space="preserve"> </w:t>
      </w:r>
    </w:p>
    <w:p w14:paraId="5EEDE4A4" w14:textId="77777777" w:rsidR="004965C7" w:rsidRPr="004965C7" w:rsidRDefault="004965C7" w:rsidP="004965C7">
      <w:pPr>
        <w:widowControl/>
        <w:autoSpaceDE/>
        <w:autoSpaceDN/>
        <w:adjustRightInd/>
        <w:rPr>
          <w:rFonts w:cs="Calibri"/>
          <w:iCs/>
        </w:rPr>
      </w:pPr>
    </w:p>
    <w:p w14:paraId="67693F18" w14:textId="5B41E920" w:rsidR="004965C7" w:rsidRPr="004965C7" w:rsidRDefault="004965C7" w:rsidP="516B59D9">
      <w:pPr>
        <w:widowControl/>
        <w:autoSpaceDE/>
        <w:autoSpaceDN/>
        <w:adjustRightInd/>
        <w:rPr>
          <w:rFonts w:cs="Calibri"/>
        </w:rPr>
      </w:pPr>
      <w:r w:rsidRPr="516B59D9">
        <w:rPr>
          <w:rFonts w:cs="Calibri"/>
          <w:b/>
          <w:bCs/>
        </w:rPr>
        <w:t xml:space="preserve">Status:  </w:t>
      </w:r>
      <w:r w:rsidRPr="516B59D9">
        <w:rPr>
          <w:rFonts w:cs="Calibri"/>
        </w:rPr>
        <w:t xml:space="preserve">According to OIS, ADOSH’s </w:t>
      </w:r>
      <w:r w:rsidR="00E66EC9" w:rsidRPr="516B59D9">
        <w:rPr>
          <w:rFonts w:cs="Calibri"/>
        </w:rPr>
        <w:t xml:space="preserve">average number of </w:t>
      </w:r>
      <w:r w:rsidRPr="516B59D9">
        <w:rPr>
          <w:rFonts w:cs="Calibri"/>
        </w:rPr>
        <w:t>other-than-serious violations per inspection (SAMM 5b) decreased to 1.66 in FY 2024</w:t>
      </w:r>
      <w:r w:rsidR="00AF583E" w:rsidRPr="516B59D9">
        <w:rPr>
          <w:rFonts w:cs="Calibri"/>
        </w:rPr>
        <w:t xml:space="preserve"> from 2.41 the previous year</w:t>
      </w:r>
      <w:r w:rsidRPr="516B59D9">
        <w:rPr>
          <w:rFonts w:cs="Calibri"/>
        </w:rPr>
        <w:t xml:space="preserve">.  </w:t>
      </w:r>
      <w:r w:rsidR="00AC4631" w:rsidRPr="516B59D9">
        <w:rPr>
          <w:rFonts w:cs="Calibri"/>
        </w:rPr>
        <w:t xml:space="preserve">The FRL for this metric was +/- 20% of </w:t>
      </w:r>
      <w:r w:rsidR="006C34D8" w:rsidRPr="516B59D9">
        <w:rPr>
          <w:rFonts w:cs="Calibri"/>
        </w:rPr>
        <w:t>0.94</w:t>
      </w:r>
      <w:r w:rsidR="00AC4631" w:rsidRPr="516B59D9">
        <w:rPr>
          <w:rFonts w:cs="Calibri"/>
        </w:rPr>
        <w:t xml:space="preserve">, which was based on a three-year national average and provides a range of </w:t>
      </w:r>
      <w:r w:rsidR="006C34D8" w:rsidRPr="516B59D9">
        <w:rPr>
          <w:rFonts w:cs="Calibri"/>
        </w:rPr>
        <w:t>0.75</w:t>
      </w:r>
      <w:r w:rsidR="00AC4631" w:rsidRPr="516B59D9">
        <w:rPr>
          <w:rFonts w:cs="Calibri"/>
        </w:rPr>
        <w:t xml:space="preserve"> to </w:t>
      </w:r>
      <w:r w:rsidR="006C34D8" w:rsidRPr="516B59D9">
        <w:rPr>
          <w:rFonts w:cs="Calibri"/>
        </w:rPr>
        <w:t>1.12</w:t>
      </w:r>
      <w:r w:rsidR="00AC4631" w:rsidRPr="516B59D9">
        <w:rPr>
          <w:rFonts w:cs="Calibri"/>
        </w:rPr>
        <w:t>.</w:t>
      </w:r>
      <w:r w:rsidR="006C34D8" w:rsidRPr="516B59D9">
        <w:rPr>
          <w:rFonts w:cs="Calibri"/>
        </w:rPr>
        <w:t xml:space="preserve">  </w:t>
      </w:r>
      <w:r w:rsidR="009B6BA5" w:rsidRPr="516B59D9">
        <w:rPr>
          <w:rFonts w:cs="Calibri"/>
        </w:rPr>
        <w:t xml:space="preserve">Although </w:t>
      </w:r>
      <w:r w:rsidR="00B1283C" w:rsidRPr="516B59D9">
        <w:rPr>
          <w:rFonts w:cs="Calibri"/>
        </w:rPr>
        <w:t>ADOSH</w:t>
      </w:r>
      <w:r w:rsidR="009B6BA5" w:rsidRPr="516B59D9">
        <w:rPr>
          <w:rFonts w:cs="Calibri"/>
        </w:rPr>
        <w:t xml:space="preserve"> remained above the FRL, </w:t>
      </w:r>
      <w:r w:rsidR="007910C0" w:rsidRPr="516B59D9">
        <w:rPr>
          <w:rFonts w:cs="Calibri"/>
        </w:rPr>
        <w:t>compliance officers</w:t>
      </w:r>
      <w:r w:rsidR="004C7B20" w:rsidRPr="516B59D9">
        <w:rPr>
          <w:rFonts w:cs="Calibri"/>
        </w:rPr>
        <w:t xml:space="preserve"> identified more other-than-serious hazards than the national average</w:t>
      </w:r>
      <w:r w:rsidR="004252BA">
        <w:rPr>
          <w:rFonts w:cs="Calibri"/>
        </w:rPr>
        <w:t xml:space="preserve">, and </w:t>
      </w:r>
      <w:r w:rsidR="00D133B5">
        <w:rPr>
          <w:rFonts w:cs="Calibri"/>
        </w:rPr>
        <w:t>through discussions at quarterly monitoring meetings</w:t>
      </w:r>
      <w:r w:rsidR="004252BA">
        <w:rPr>
          <w:rFonts w:cs="Calibri"/>
        </w:rPr>
        <w:t xml:space="preserve">, </w:t>
      </w:r>
      <w:r w:rsidR="00380E9A">
        <w:rPr>
          <w:rFonts w:cs="Calibri"/>
        </w:rPr>
        <w:t xml:space="preserve">ADOSH </w:t>
      </w:r>
      <w:r w:rsidR="00767D8F">
        <w:rPr>
          <w:rFonts w:cs="Calibri"/>
        </w:rPr>
        <w:t xml:space="preserve">confirmed </w:t>
      </w:r>
      <w:r w:rsidR="004252BA">
        <w:rPr>
          <w:rFonts w:cs="Calibri"/>
        </w:rPr>
        <w:t>t</w:t>
      </w:r>
      <w:r w:rsidR="00D133B5">
        <w:rPr>
          <w:rFonts w:cs="Calibri"/>
        </w:rPr>
        <w:t>hese were appropriately classified.</w:t>
      </w:r>
      <w:r w:rsidR="00FD35C4" w:rsidRPr="516B59D9">
        <w:rPr>
          <w:rFonts w:cs="Calibri"/>
        </w:rPr>
        <w:t xml:space="preserve"> </w:t>
      </w:r>
      <w:r w:rsidR="00A1575F" w:rsidRPr="516B59D9">
        <w:rPr>
          <w:rFonts w:cs="Calibri"/>
        </w:rPr>
        <w:t xml:space="preserve"> </w:t>
      </w:r>
      <w:r w:rsidR="006C34D8" w:rsidRPr="516B59D9">
        <w:rPr>
          <w:rFonts w:cs="Calibri"/>
        </w:rPr>
        <w:t xml:space="preserve">OSHA will </w:t>
      </w:r>
      <w:r w:rsidR="00FD74DE" w:rsidRPr="516B59D9">
        <w:rPr>
          <w:rFonts w:cs="Calibri"/>
        </w:rPr>
        <w:t>continue to monitor this</w:t>
      </w:r>
      <w:r w:rsidR="009B6BA5" w:rsidRPr="516B59D9">
        <w:rPr>
          <w:rFonts w:cs="Calibri"/>
        </w:rPr>
        <w:t xml:space="preserve"> data</w:t>
      </w:r>
      <w:r w:rsidR="00FD74DE" w:rsidRPr="516B59D9">
        <w:rPr>
          <w:rFonts w:cs="Calibri"/>
        </w:rPr>
        <w:t xml:space="preserve"> through the SAMM report</w:t>
      </w:r>
      <w:r w:rsidR="00A1575F" w:rsidRPr="516B59D9">
        <w:rPr>
          <w:rFonts w:cs="Calibri"/>
        </w:rPr>
        <w:t xml:space="preserve">, and this metric will </w:t>
      </w:r>
      <w:r w:rsidR="00B1283C" w:rsidRPr="516B59D9">
        <w:rPr>
          <w:rFonts w:cs="Calibri"/>
        </w:rPr>
        <w:t xml:space="preserve">be </w:t>
      </w:r>
      <w:r w:rsidR="00A1575F" w:rsidRPr="516B59D9">
        <w:rPr>
          <w:rFonts w:cs="Calibri"/>
        </w:rPr>
        <w:t xml:space="preserve">a focus in the FY 2025 </w:t>
      </w:r>
      <w:r w:rsidR="418BA647" w:rsidRPr="516B59D9">
        <w:rPr>
          <w:rFonts w:cs="Calibri"/>
        </w:rPr>
        <w:t>C</w:t>
      </w:r>
      <w:r w:rsidR="00A1575F" w:rsidRPr="516B59D9">
        <w:rPr>
          <w:rFonts w:cs="Calibri"/>
        </w:rPr>
        <w:t xml:space="preserve">omprehensive FAME on-site case file review. </w:t>
      </w:r>
      <w:r w:rsidR="00FD35C4" w:rsidRPr="516B59D9">
        <w:rPr>
          <w:rFonts w:cs="Calibri"/>
        </w:rPr>
        <w:t xml:space="preserve"> </w:t>
      </w:r>
      <w:r w:rsidRPr="516B59D9">
        <w:rPr>
          <w:rFonts w:cs="Calibri"/>
        </w:rPr>
        <w:t>This observation is closed.</w:t>
      </w:r>
    </w:p>
    <w:p w14:paraId="14B7C253" w14:textId="77777777" w:rsidR="004965C7" w:rsidRPr="004965C7" w:rsidRDefault="004965C7" w:rsidP="002005EA">
      <w:pPr>
        <w:widowControl/>
        <w:autoSpaceDE/>
        <w:autoSpaceDN/>
        <w:adjustRightInd/>
        <w:rPr>
          <w:rFonts w:cs="Calibri"/>
          <w:b/>
          <w:bCs/>
          <w:iCs/>
        </w:rPr>
      </w:pPr>
    </w:p>
    <w:p w14:paraId="402081EB" w14:textId="31414523" w:rsidR="004965C7" w:rsidRDefault="004965C7" w:rsidP="004965C7">
      <w:pPr>
        <w:widowControl/>
        <w:autoSpaceDE/>
        <w:autoSpaceDN/>
        <w:adjustRightInd/>
        <w:rPr>
          <w:rFonts w:cs="Calibri"/>
          <w:iCs/>
        </w:rPr>
      </w:pPr>
      <w:r w:rsidRPr="00880887">
        <w:rPr>
          <w:rFonts w:cs="Calibri"/>
          <w:b/>
          <w:bCs/>
          <w:iCs/>
        </w:rPr>
        <w:t>Observation FY 2023-OB-03</w:t>
      </w:r>
      <w:r w:rsidRPr="00880887">
        <w:rPr>
          <w:rFonts w:cs="Calibri"/>
          <w:iCs/>
        </w:rPr>
        <w:t>:  In two of 16 (13%) state and local government agency consultation files, there was no documentation of the List of Hazards being sent to the union representatives.</w:t>
      </w:r>
      <w:r w:rsidRPr="004965C7">
        <w:rPr>
          <w:rFonts w:cs="Calibri"/>
          <w:iCs/>
        </w:rPr>
        <w:t xml:space="preserve"> </w:t>
      </w:r>
    </w:p>
    <w:p w14:paraId="21DFA9D2" w14:textId="4DE6AC4B" w:rsidR="004965C7" w:rsidRDefault="004965C7" w:rsidP="000B58F1">
      <w:pPr>
        <w:widowControl/>
        <w:autoSpaceDE/>
        <w:autoSpaceDN/>
        <w:adjustRightInd/>
        <w:rPr>
          <w:rFonts w:cs="Calibri"/>
          <w:bCs/>
          <w:highlight w:val="yellow"/>
          <w:u w:val="single"/>
        </w:rPr>
      </w:pPr>
    </w:p>
    <w:p w14:paraId="0B5DE845" w14:textId="416E9727" w:rsidR="004965C7" w:rsidRPr="00A00826" w:rsidRDefault="004965C7" w:rsidP="000B58F1">
      <w:pPr>
        <w:widowControl/>
        <w:autoSpaceDE/>
        <w:autoSpaceDN/>
        <w:adjustRightInd/>
        <w:rPr>
          <w:rFonts w:cs="Calibri"/>
          <w:bCs/>
          <w:u w:val="single"/>
        </w:rPr>
      </w:pPr>
      <w:r w:rsidRPr="004965C7">
        <w:rPr>
          <w:rFonts w:cs="Calibri"/>
          <w:b/>
        </w:rPr>
        <w:t xml:space="preserve">Status: </w:t>
      </w:r>
      <w:r w:rsidR="00A00826">
        <w:rPr>
          <w:rFonts w:cs="Calibri"/>
          <w:b/>
        </w:rPr>
        <w:t xml:space="preserve"> </w:t>
      </w:r>
      <w:r w:rsidR="00A96401">
        <w:rPr>
          <w:rFonts w:cs="Calibri"/>
          <w:bCs/>
        </w:rPr>
        <w:t xml:space="preserve">An on-site review </w:t>
      </w:r>
      <w:r w:rsidR="00392398">
        <w:rPr>
          <w:rFonts w:cs="Calibri"/>
          <w:bCs/>
        </w:rPr>
        <w:t xml:space="preserve">of </w:t>
      </w:r>
      <w:r w:rsidR="001B1AD8">
        <w:rPr>
          <w:rFonts w:cs="Calibri"/>
          <w:bCs/>
        </w:rPr>
        <w:t xml:space="preserve">state and local government workplace </w:t>
      </w:r>
      <w:r w:rsidR="00392398">
        <w:rPr>
          <w:rFonts w:cs="Calibri"/>
          <w:bCs/>
        </w:rPr>
        <w:t xml:space="preserve">consultation case files </w:t>
      </w:r>
      <w:r w:rsidR="00A96401">
        <w:rPr>
          <w:rFonts w:cs="Calibri"/>
          <w:bCs/>
        </w:rPr>
        <w:t>was conducted to</w:t>
      </w:r>
      <w:r w:rsidR="00392398">
        <w:rPr>
          <w:rFonts w:cs="Calibri"/>
          <w:bCs/>
        </w:rPr>
        <w:t xml:space="preserve"> </w:t>
      </w:r>
      <w:r w:rsidR="00182294">
        <w:rPr>
          <w:rFonts w:cs="Calibri"/>
          <w:bCs/>
        </w:rPr>
        <w:t>ensure</w:t>
      </w:r>
      <w:r w:rsidR="00392398">
        <w:rPr>
          <w:rFonts w:cs="Calibri"/>
          <w:bCs/>
        </w:rPr>
        <w:t xml:space="preserve"> ADOSH was following approved policies and procedures </w:t>
      </w:r>
      <w:r w:rsidR="001A34F0">
        <w:rPr>
          <w:rFonts w:cs="Calibri"/>
          <w:bCs/>
        </w:rPr>
        <w:t>by</w:t>
      </w:r>
      <w:r w:rsidR="00392398">
        <w:rPr>
          <w:rFonts w:cs="Calibri"/>
          <w:bCs/>
        </w:rPr>
        <w:t xml:space="preserve"> sending a copy of the List of Hazards to </w:t>
      </w:r>
      <w:r w:rsidR="00182294">
        <w:rPr>
          <w:rFonts w:cs="Calibri"/>
          <w:bCs/>
        </w:rPr>
        <w:t>employee</w:t>
      </w:r>
      <w:r w:rsidR="00392398">
        <w:rPr>
          <w:rFonts w:cs="Calibri"/>
          <w:bCs/>
        </w:rPr>
        <w:t xml:space="preserve"> representatives.  </w:t>
      </w:r>
      <w:r w:rsidR="00C73331">
        <w:rPr>
          <w:rFonts w:cs="Calibri"/>
          <w:bCs/>
        </w:rPr>
        <w:t xml:space="preserve">It was </w:t>
      </w:r>
      <w:r w:rsidR="00182294">
        <w:rPr>
          <w:rFonts w:cs="Calibri"/>
          <w:bCs/>
        </w:rPr>
        <w:t>confirmed</w:t>
      </w:r>
      <w:r w:rsidR="00C73331">
        <w:rPr>
          <w:rFonts w:cs="Calibri"/>
          <w:bCs/>
        </w:rPr>
        <w:t xml:space="preserve"> that </w:t>
      </w:r>
      <w:r w:rsidR="00182294">
        <w:rPr>
          <w:rFonts w:cs="Calibri"/>
          <w:bCs/>
        </w:rPr>
        <w:t xml:space="preserve">the </w:t>
      </w:r>
      <w:r w:rsidR="00C73331">
        <w:rPr>
          <w:rFonts w:cs="Calibri"/>
          <w:bCs/>
        </w:rPr>
        <w:t xml:space="preserve">common practice was to ensure a List of Hazards was sent to </w:t>
      </w:r>
      <w:r w:rsidR="00182294">
        <w:rPr>
          <w:rFonts w:cs="Calibri"/>
          <w:bCs/>
        </w:rPr>
        <w:t>the</w:t>
      </w:r>
      <w:r w:rsidR="00C73331">
        <w:rPr>
          <w:rFonts w:cs="Calibri"/>
          <w:bCs/>
        </w:rPr>
        <w:t xml:space="preserve"> employee representative</w:t>
      </w:r>
      <w:r w:rsidR="00182294">
        <w:rPr>
          <w:rFonts w:cs="Calibri"/>
          <w:bCs/>
        </w:rPr>
        <w:t>, if the worksite was covered by a union</w:t>
      </w:r>
      <w:r w:rsidR="00FC51D5">
        <w:rPr>
          <w:rFonts w:cs="Calibri"/>
          <w:bCs/>
        </w:rPr>
        <w:t xml:space="preserve">.  </w:t>
      </w:r>
      <w:r w:rsidR="001A34F0">
        <w:rPr>
          <w:rFonts w:cs="Calibri"/>
          <w:bCs/>
        </w:rPr>
        <w:t xml:space="preserve">This observation is </w:t>
      </w:r>
      <w:r w:rsidR="00FC51D5">
        <w:rPr>
          <w:rFonts w:cs="Calibri"/>
          <w:bCs/>
        </w:rPr>
        <w:t>closed.</w:t>
      </w:r>
      <w:r w:rsidR="001A34F0">
        <w:rPr>
          <w:rFonts w:cs="Calibri"/>
          <w:bCs/>
        </w:rPr>
        <w:t xml:space="preserve"> </w:t>
      </w:r>
    </w:p>
    <w:p w14:paraId="08F1D261" w14:textId="77777777" w:rsidR="004965C7" w:rsidRPr="001C1E47" w:rsidRDefault="004965C7" w:rsidP="000B58F1">
      <w:pPr>
        <w:widowControl/>
        <w:autoSpaceDE/>
        <w:autoSpaceDN/>
        <w:adjustRightInd/>
        <w:rPr>
          <w:rFonts w:cs="Calibri"/>
          <w:bCs/>
          <w:highlight w:val="yellow"/>
          <w:u w:val="single"/>
        </w:rPr>
      </w:pPr>
    </w:p>
    <w:p w14:paraId="370CCAAD" w14:textId="02B80DF0" w:rsidR="00602EF3" w:rsidRPr="0061362E" w:rsidRDefault="004E505A" w:rsidP="000B58F1">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w:t>
      </w:r>
      <w:r w:rsidR="00E623BF">
        <w:rPr>
          <w:rFonts w:cs="Calibri"/>
          <w:b/>
        </w:rPr>
        <w:t>4</w:t>
      </w:r>
      <w:r w:rsidR="007C0A36" w:rsidRPr="0061362E">
        <w:rPr>
          <w:rFonts w:cs="Calibri"/>
          <w:b/>
        </w:rPr>
        <w:t xml:space="preserve"> </w:t>
      </w:r>
      <w:r w:rsidR="00443054" w:rsidRPr="0061362E">
        <w:rPr>
          <w:rFonts w:cs="Calibri"/>
          <w:b/>
        </w:rPr>
        <w:t>Observation</w:t>
      </w:r>
      <w:r w:rsidR="0061362E" w:rsidRPr="0061362E">
        <w:rPr>
          <w:rFonts w:cs="Calibri"/>
          <w:b/>
        </w:rPr>
        <w:t>s</w:t>
      </w:r>
    </w:p>
    <w:p w14:paraId="3FD36F1E" w14:textId="77777777" w:rsidR="00EA4B05" w:rsidRDefault="00EA4B05" w:rsidP="000B58F1">
      <w:pPr>
        <w:widowControl/>
        <w:autoSpaceDE/>
        <w:autoSpaceDN/>
        <w:adjustRightInd/>
        <w:rPr>
          <w:rFonts w:cs="Calibri"/>
          <w:iCs/>
          <w:highlight w:val="yellow"/>
        </w:rPr>
      </w:pPr>
    </w:p>
    <w:p w14:paraId="76674FE5" w14:textId="30061D1E" w:rsidR="00980A8D" w:rsidRPr="00C37517" w:rsidRDefault="00AC4631" w:rsidP="00980A8D">
      <w:pPr>
        <w:widowControl/>
        <w:autoSpaceDE/>
        <w:autoSpaceDN/>
        <w:adjustRightInd/>
        <w:rPr>
          <w:rFonts w:cs="Calibri"/>
          <w:iCs/>
        </w:rPr>
      </w:pPr>
      <w:r>
        <w:rPr>
          <w:rFonts w:cs="Calibri"/>
          <w:b/>
          <w:bCs/>
          <w:iCs/>
        </w:rPr>
        <w:t xml:space="preserve">Observation </w:t>
      </w:r>
      <w:r w:rsidR="00980A8D" w:rsidRPr="00C37517">
        <w:rPr>
          <w:rFonts w:cs="Calibri"/>
          <w:b/>
          <w:bCs/>
          <w:iCs/>
        </w:rPr>
        <w:t>FY 202</w:t>
      </w:r>
      <w:r w:rsidR="00EF3DA4">
        <w:rPr>
          <w:rFonts w:cs="Calibri"/>
          <w:b/>
          <w:bCs/>
          <w:iCs/>
        </w:rPr>
        <w:t>4</w:t>
      </w:r>
      <w:r w:rsidR="00980A8D" w:rsidRPr="00C37517">
        <w:rPr>
          <w:rFonts w:cs="Calibri"/>
          <w:b/>
          <w:bCs/>
          <w:iCs/>
        </w:rPr>
        <w:t>-OB</w:t>
      </w:r>
      <w:r w:rsidR="0060582F">
        <w:rPr>
          <w:rFonts w:cs="Calibri"/>
          <w:b/>
          <w:bCs/>
          <w:iCs/>
        </w:rPr>
        <w:t>-01</w:t>
      </w:r>
      <w:r w:rsidR="00980A8D" w:rsidRPr="00C37517">
        <w:rPr>
          <w:rFonts w:cs="Calibri"/>
          <w:iCs/>
        </w:rPr>
        <w:t xml:space="preserve">: ADOSH’s </w:t>
      </w:r>
      <w:r w:rsidR="00947419">
        <w:rPr>
          <w:rFonts w:cs="Calibri"/>
          <w:iCs/>
        </w:rPr>
        <w:t xml:space="preserve">serious, </w:t>
      </w:r>
      <w:r w:rsidR="00937A92">
        <w:rPr>
          <w:rFonts w:cs="Calibri"/>
          <w:iCs/>
        </w:rPr>
        <w:t>willful, repeated, and unclassified (</w:t>
      </w:r>
      <w:r w:rsidR="00980A8D" w:rsidRPr="00C37517">
        <w:rPr>
          <w:rFonts w:cs="Calibri"/>
          <w:iCs/>
        </w:rPr>
        <w:t>SWRU</w:t>
      </w:r>
      <w:r w:rsidR="00937A92">
        <w:rPr>
          <w:rFonts w:cs="Calibri"/>
          <w:iCs/>
        </w:rPr>
        <w:t>)</w:t>
      </w:r>
      <w:r w:rsidR="00980A8D" w:rsidRPr="00C37517">
        <w:rPr>
          <w:rFonts w:cs="Calibri"/>
          <w:iCs/>
        </w:rPr>
        <w:t xml:space="preserve"> violations per inspection rate was </w:t>
      </w:r>
      <w:r w:rsidR="004B01C6">
        <w:rPr>
          <w:rFonts w:cs="Calibri"/>
          <w:iCs/>
        </w:rPr>
        <w:t>1.15</w:t>
      </w:r>
      <w:r w:rsidR="00980A8D" w:rsidRPr="00C37517">
        <w:rPr>
          <w:rFonts w:cs="Calibri"/>
          <w:iCs/>
        </w:rPr>
        <w:t xml:space="preserve"> (SAMM 5a) and </w:t>
      </w:r>
      <w:r w:rsidR="00980A8D" w:rsidRPr="00F81D95">
        <w:rPr>
          <w:rFonts w:cs="Calibri"/>
          <w:iCs/>
        </w:rPr>
        <w:t>below the FRL range of 1.</w:t>
      </w:r>
      <w:r w:rsidR="00006BD6">
        <w:rPr>
          <w:rFonts w:cs="Calibri"/>
          <w:iCs/>
        </w:rPr>
        <w:t>39</w:t>
      </w:r>
      <w:r w:rsidR="00006BD6" w:rsidRPr="00F81D95">
        <w:rPr>
          <w:rFonts w:cs="Calibri"/>
          <w:iCs/>
        </w:rPr>
        <w:t xml:space="preserve"> </w:t>
      </w:r>
      <w:r w:rsidR="00980A8D" w:rsidRPr="00F81D95">
        <w:rPr>
          <w:rFonts w:cs="Calibri"/>
          <w:iCs/>
        </w:rPr>
        <w:t>to 2.</w:t>
      </w:r>
      <w:r w:rsidR="00006BD6">
        <w:rPr>
          <w:rFonts w:cs="Calibri"/>
          <w:iCs/>
        </w:rPr>
        <w:t>08</w:t>
      </w:r>
      <w:r w:rsidR="00980A8D" w:rsidRPr="00F81D95">
        <w:rPr>
          <w:rFonts w:cs="Calibri"/>
          <w:iCs/>
        </w:rPr>
        <w:t>.</w:t>
      </w:r>
      <w:r w:rsidR="00980A8D" w:rsidRPr="00C37517">
        <w:rPr>
          <w:rFonts w:cs="Calibri"/>
          <w:iCs/>
        </w:rPr>
        <w:t xml:space="preserve"> </w:t>
      </w:r>
    </w:p>
    <w:p w14:paraId="7D29ADAD" w14:textId="77777777" w:rsidR="00980A8D" w:rsidRDefault="00980A8D" w:rsidP="00980A8D">
      <w:pPr>
        <w:widowControl/>
        <w:autoSpaceDE/>
        <w:autoSpaceDN/>
        <w:adjustRightInd/>
        <w:rPr>
          <w:rFonts w:cs="Calibri"/>
          <w:iCs/>
          <w:highlight w:val="cyan"/>
        </w:rPr>
      </w:pPr>
    </w:p>
    <w:p w14:paraId="7FCB73D5" w14:textId="13636A0A" w:rsidR="00980A8D" w:rsidRPr="00F81D95" w:rsidRDefault="00980A8D" w:rsidP="6D0A92F4">
      <w:pPr>
        <w:widowControl/>
        <w:autoSpaceDE/>
        <w:autoSpaceDN/>
        <w:adjustRightInd/>
        <w:rPr>
          <w:rFonts w:cs="Calibri"/>
          <w:highlight w:val="cyan"/>
        </w:rPr>
      </w:pPr>
      <w:r w:rsidRPr="6D0A92F4">
        <w:rPr>
          <w:rFonts w:cs="Calibri"/>
          <w:b/>
          <w:bCs/>
        </w:rPr>
        <w:t xml:space="preserve">Status: </w:t>
      </w:r>
      <w:r w:rsidR="004C4450" w:rsidRPr="6D0A92F4">
        <w:rPr>
          <w:rFonts w:cs="Calibri"/>
          <w:b/>
          <w:bCs/>
        </w:rPr>
        <w:t xml:space="preserve"> </w:t>
      </w:r>
      <w:r w:rsidR="004C4450" w:rsidRPr="6D0A92F4">
        <w:rPr>
          <w:rFonts w:cs="Calibri"/>
        </w:rPr>
        <w:t xml:space="preserve">In FY 2024, according to Appendix D, </w:t>
      </w:r>
      <w:r w:rsidR="005F2E74" w:rsidRPr="6D0A92F4">
        <w:rPr>
          <w:rFonts w:cs="Calibri"/>
        </w:rPr>
        <w:t xml:space="preserve">ADOSH’s </w:t>
      </w:r>
      <w:r w:rsidR="006F2FF7" w:rsidRPr="6D0A92F4">
        <w:rPr>
          <w:rFonts w:cs="Calibri"/>
        </w:rPr>
        <w:t xml:space="preserve">average number of </w:t>
      </w:r>
      <w:r w:rsidR="005F2E74" w:rsidRPr="6D0A92F4">
        <w:rPr>
          <w:rFonts w:cs="Calibri"/>
        </w:rPr>
        <w:t>SWRU violations per inspection rate (SAMM 5a)</w:t>
      </w:r>
      <w:r w:rsidR="006F2FF7" w:rsidRPr="6D0A92F4">
        <w:rPr>
          <w:rFonts w:cs="Calibri"/>
        </w:rPr>
        <w:t xml:space="preserve"> was 1.15</w:t>
      </w:r>
      <w:r w:rsidR="00F049AB" w:rsidRPr="6D0A92F4">
        <w:rPr>
          <w:rFonts w:cs="Calibri"/>
        </w:rPr>
        <w:t>, an increase from 0.87 from the previous evaluation period</w:t>
      </w:r>
      <w:r w:rsidR="00D90420" w:rsidRPr="6D0A92F4">
        <w:rPr>
          <w:rFonts w:cs="Calibri"/>
        </w:rPr>
        <w:t>.</w:t>
      </w:r>
      <w:r w:rsidR="0071200B" w:rsidRPr="6D0A92F4">
        <w:rPr>
          <w:rFonts w:cs="Calibri"/>
        </w:rPr>
        <w:t xml:space="preserve">  </w:t>
      </w:r>
      <w:r w:rsidR="000C7778" w:rsidRPr="6D0A92F4">
        <w:rPr>
          <w:rFonts w:cs="Calibri"/>
        </w:rPr>
        <w:t xml:space="preserve">The FRL for this metric was </w:t>
      </w:r>
      <w:r w:rsidR="005C4B0C" w:rsidRPr="6D0A92F4">
        <w:rPr>
          <w:rFonts w:cs="Calibri"/>
        </w:rPr>
        <w:t>+/- 20%</w:t>
      </w:r>
      <w:r w:rsidR="00684D9F" w:rsidRPr="6D0A92F4">
        <w:rPr>
          <w:rFonts w:cs="Calibri"/>
        </w:rPr>
        <w:t xml:space="preserve"> of 1.74</w:t>
      </w:r>
      <w:r w:rsidR="007D721D" w:rsidRPr="6D0A92F4">
        <w:rPr>
          <w:rFonts w:cs="Calibri"/>
        </w:rPr>
        <w:t xml:space="preserve">, which was based on a three-year national average and provides a range of 1.39 to 2.08. </w:t>
      </w:r>
      <w:r w:rsidR="00993B0F" w:rsidRPr="6D0A92F4">
        <w:rPr>
          <w:rFonts w:cs="Calibri"/>
        </w:rPr>
        <w:t xml:space="preserve"> </w:t>
      </w:r>
      <w:r w:rsidR="00AC4631" w:rsidRPr="6D0A92F4">
        <w:rPr>
          <w:rFonts w:cs="Calibri"/>
        </w:rPr>
        <w:t>As compliance staff gained experience and training, the ability to identify serious hazards ha</w:t>
      </w:r>
      <w:r w:rsidR="00EE0F81" w:rsidRPr="6D0A92F4">
        <w:rPr>
          <w:rFonts w:cs="Calibri"/>
        </w:rPr>
        <w:t>d</w:t>
      </w:r>
      <w:r w:rsidR="00AC4631" w:rsidRPr="6D0A92F4">
        <w:rPr>
          <w:rFonts w:cs="Calibri"/>
        </w:rPr>
        <w:t xml:space="preserve"> increased.  However,</w:t>
      </w:r>
      <w:r w:rsidR="00993B0F" w:rsidRPr="6D0A92F4">
        <w:rPr>
          <w:rFonts w:cs="Calibri"/>
        </w:rPr>
        <w:t xml:space="preserve"> ADOSH’s average continued to fall below the FRL</w:t>
      </w:r>
      <w:r w:rsidR="00AC4631" w:rsidRPr="6D0A92F4">
        <w:rPr>
          <w:rFonts w:cs="Calibri"/>
        </w:rPr>
        <w:t xml:space="preserve">.  </w:t>
      </w:r>
      <w:r w:rsidR="0019736C" w:rsidRPr="6D0A92F4">
        <w:rPr>
          <w:rFonts w:cs="Calibri"/>
        </w:rPr>
        <w:t>A case file review is necessary to</w:t>
      </w:r>
      <w:r w:rsidR="009B6BA5" w:rsidRPr="6D0A92F4">
        <w:rPr>
          <w:rFonts w:cs="Calibri"/>
        </w:rPr>
        <w:t xml:space="preserve"> evaluate progress on this observation</w:t>
      </w:r>
      <w:r w:rsidR="0019736C" w:rsidRPr="6D0A92F4">
        <w:rPr>
          <w:rFonts w:cs="Calibri"/>
        </w:rPr>
        <w:t xml:space="preserve"> and will be a focus during the FY 2025 </w:t>
      </w:r>
      <w:r w:rsidR="1076E9F7" w:rsidRPr="6D0A92F4">
        <w:rPr>
          <w:rFonts w:cs="Calibri"/>
        </w:rPr>
        <w:t>C</w:t>
      </w:r>
      <w:r w:rsidR="0019736C" w:rsidRPr="6D0A92F4">
        <w:rPr>
          <w:rFonts w:cs="Calibri"/>
        </w:rPr>
        <w:t xml:space="preserve">omprehensive </w:t>
      </w:r>
      <w:r w:rsidR="00DA5FF6" w:rsidRPr="6D0A92F4">
        <w:rPr>
          <w:rFonts w:cs="Calibri"/>
        </w:rPr>
        <w:t>FAME</w:t>
      </w:r>
      <w:r w:rsidR="0019736C" w:rsidRPr="6D0A92F4">
        <w:rPr>
          <w:rFonts w:cs="Calibri"/>
        </w:rPr>
        <w:t xml:space="preserve">. </w:t>
      </w:r>
      <w:r w:rsidR="00DA5FF6" w:rsidRPr="6D0A92F4">
        <w:rPr>
          <w:rFonts w:cs="Calibri"/>
        </w:rPr>
        <w:t xml:space="preserve"> </w:t>
      </w:r>
      <w:r w:rsidR="00CE1BD7" w:rsidRPr="6D0A92F4">
        <w:rPr>
          <w:rFonts w:cs="Calibri"/>
        </w:rPr>
        <w:t xml:space="preserve">This </w:t>
      </w:r>
      <w:r w:rsidR="00AC4631" w:rsidRPr="6D0A92F4">
        <w:rPr>
          <w:rFonts w:cs="Calibri"/>
        </w:rPr>
        <w:t>observation</w:t>
      </w:r>
      <w:r w:rsidR="00CE1BD7" w:rsidRPr="6D0A92F4">
        <w:rPr>
          <w:rFonts w:cs="Calibri"/>
        </w:rPr>
        <w:t xml:space="preserve"> remains open. </w:t>
      </w:r>
    </w:p>
    <w:p w14:paraId="012CEA3A" w14:textId="77777777" w:rsidR="00980A8D" w:rsidRDefault="00980A8D" w:rsidP="00980A8D">
      <w:pPr>
        <w:widowControl/>
        <w:autoSpaceDE/>
        <w:autoSpaceDN/>
        <w:adjustRightInd/>
        <w:rPr>
          <w:rFonts w:cs="Calibri"/>
          <w:iCs/>
          <w:highlight w:val="cyan"/>
        </w:rPr>
      </w:pPr>
    </w:p>
    <w:p w14:paraId="4574C877" w14:textId="000DE5CD" w:rsidR="009C18D3" w:rsidRPr="009C18D3" w:rsidRDefault="009C18D3" w:rsidP="000B58F1">
      <w:pPr>
        <w:rPr>
          <w:rFonts w:eastAsia="Calibri" w:cs="Calibri"/>
          <w:b/>
          <w:bCs/>
        </w:rPr>
      </w:pPr>
      <w:r w:rsidRPr="009C18D3">
        <w:rPr>
          <w:rFonts w:eastAsia="Calibri" w:cs="Calibri"/>
          <w:b/>
          <w:bCs/>
        </w:rPr>
        <w:t>New Observations</w:t>
      </w:r>
    </w:p>
    <w:p w14:paraId="30359B14" w14:textId="138B0B30" w:rsidR="009C18D3" w:rsidRDefault="009C18D3" w:rsidP="000B58F1">
      <w:pPr>
        <w:rPr>
          <w:rFonts w:eastAsia="Calibri" w:cs="Calibri"/>
        </w:rPr>
      </w:pPr>
    </w:p>
    <w:p w14:paraId="698227C6" w14:textId="3D0FF934" w:rsidR="005E038B" w:rsidRDefault="009C18D3" w:rsidP="00F15AA2">
      <w:pPr>
        <w:rPr>
          <w:rFonts w:cs="Calibri"/>
          <w:b/>
          <w:highlight w:val="yellow"/>
        </w:rPr>
      </w:pPr>
      <w:r w:rsidRPr="004965C7">
        <w:rPr>
          <w:rFonts w:eastAsia="Calibri" w:cs="Calibri"/>
        </w:rPr>
        <w:t xml:space="preserve">There were </w:t>
      </w:r>
      <w:r w:rsidR="00D22DDC">
        <w:rPr>
          <w:rFonts w:eastAsia="Calibri" w:cs="Calibri"/>
        </w:rPr>
        <w:t xml:space="preserve">two new observations identified in FY 2024.  </w:t>
      </w:r>
    </w:p>
    <w:p w14:paraId="49F1E414" w14:textId="77777777" w:rsidR="00D22DDC" w:rsidRDefault="00D22DDC" w:rsidP="000B58F1">
      <w:pPr>
        <w:widowControl/>
        <w:rPr>
          <w:rFonts w:cs="Calibri"/>
          <w:b/>
          <w:highlight w:val="yellow"/>
        </w:rPr>
      </w:pPr>
    </w:p>
    <w:p w14:paraId="366ED463" w14:textId="07125565" w:rsidR="00A45785" w:rsidRDefault="00A45785" w:rsidP="00A45785">
      <w:pPr>
        <w:rPr>
          <w:rFonts w:eastAsia="Calibri" w:cs="Calibri"/>
        </w:rPr>
      </w:pPr>
      <w:r>
        <w:rPr>
          <w:rFonts w:eastAsia="Calibri" w:cs="Calibri"/>
          <w:b/>
          <w:bCs/>
        </w:rPr>
        <w:t xml:space="preserve">Observation 2024-OB-02: </w:t>
      </w:r>
      <w:r>
        <w:rPr>
          <w:rFonts w:eastAsia="Calibri" w:cs="Calibri"/>
        </w:rPr>
        <w:t xml:space="preserve"> ADOSH’s average lapse time for safety inspections </w:t>
      </w:r>
      <w:r w:rsidR="00303624">
        <w:rPr>
          <w:rFonts w:eastAsia="Calibri" w:cs="Calibri"/>
        </w:rPr>
        <w:t xml:space="preserve">(SAMM 11a) </w:t>
      </w:r>
      <w:r>
        <w:rPr>
          <w:rFonts w:eastAsia="Calibri" w:cs="Calibri"/>
        </w:rPr>
        <w:t xml:space="preserve">was 97.92 days, which was above the FRL.  </w:t>
      </w:r>
    </w:p>
    <w:p w14:paraId="54D69BE7" w14:textId="77777777" w:rsidR="00A45785" w:rsidRDefault="00A45785" w:rsidP="00A45785">
      <w:pPr>
        <w:rPr>
          <w:rFonts w:eastAsia="Calibri" w:cs="Calibri"/>
        </w:rPr>
      </w:pPr>
    </w:p>
    <w:p w14:paraId="4827C0C3" w14:textId="77777777" w:rsidR="00A45785" w:rsidRPr="00A141A1" w:rsidRDefault="00A45785" w:rsidP="00A45785">
      <w:pPr>
        <w:rPr>
          <w:rFonts w:eastAsia="Calibri" w:cs="Calibri"/>
        </w:rPr>
      </w:pPr>
      <w:r>
        <w:rPr>
          <w:rFonts w:eastAsia="Calibri" w:cs="Calibri"/>
          <w:b/>
          <w:bCs/>
        </w:rPr>
        <w:t xml:space="preserve">Federal Monitoring Plan FY 2024-OB-02: </w:t>
      </w:r>
      <w:r>
        <w:rPr>
          <w:rFonts w:eastAsia="Calibri" w:cs="Calibri"/>
        </w:rPr>
        <w:t xml:space="preserve"> OSHA will monitor ADOSH’s lapse time for safety inspections and ensure they are within the FRL.  </w:t>
      </w:r>
    </w:p>
    <w:p w14:paraId="27752861" w14:textId="77777777" w:rsidR="00D22DDC" w:rsidRPr="006D6EEE" w:rsidRDefault="00D22DDC" w:rsidP="00D22DDC">
      <w:pPr>
        <w:rPr>
          <w:rFonts w:eastAsia="Calibri" w:cs="Calibri"/>
          <w:b/>
          <w:bCs/>
        </w:rPr>
      </w:pPr>
    </w:p>
    <w:p w14:paraId="7D07D101" w14:textId="605D079C" w:rsidR="00D22DDC" w:rsidRDefault="00D22DDC" w:rsidP="00D22DDC">
      <w:pPr>
        <w:rPr>
          <w:rFonts w:eastAsia="Calibri" w:cs="Calibri"/>
        </w:rPr>
      </w:pPr>
      <w:r w:rsidRPr="00F549EB">
        <w:rPr>
          <w:rFonts w:eastAsia="Calibri" w:cs="Calibri"/>
          <w:b/>
          <w:bCs/>
        </w:rPr>
        <w:t>Discussion:</w:t>
      </w:r>
      <w:r>
        <w:rPr>
          <w:rFonts w:eastAsia="Calibri" w:cs="Calibri"/>
        </w:rPr>
        <w:t xml:space="preserve"> </w:t>
      </w:r>
      <w:r w:rsidRPr="005C73BE">
        <w:rPr>
          <w:rFonts w:eastAsia="Calibri" w:cs="Calibri"/>
        </w:rPr>
        <w:t>The FRL for</w:t>
      </w:r>
      <w:r>
        <w:rPr>
          <w:rFonts w:eastAsia="Calibri" w:cs="Calibri"/>
        </w:rPr>
        <w:t xml:space="preserve"> the</w:t>
      </w:r>
      <w:r w:rsidRPr="005C73BE">
        <w:rPr>
          <w:rFonts w:eastAsia="Calibri" w:cs="Calibri"/>
        </w:rPr>
        <w:t xml:space="preserve"> </w:t>
      </w:r>
      <w:r>
        <w:rPr>
          <w:rFonts w:eastAsia="Calibri" w:cs="Calibri"/>
        </w:rPr>
        <w:t>average lapse time</w:t>
      </w:r>
      <w:r w:rsidRPr="005C73BE">
        <w:rPr>
          <w:rFonts w:eastAsia="Calibri" w:cs="Calibri"/>
        </w:rPr>
        <w:t xml:space="preserve"> for safety inspections</w:t>
      </w:r>
      <w:r>
        <w:rPr>
          <w:rFonts w:eastAsia="Calibri" w:cs="Calibri"/>
        </w:rPr>
        <w:t xml:space="preserve"> (SAMM 11a)</w:t>
      </w:r>
      <w:r w:rsidRPr="005C73BE">
        <w:rPr>
          <w:rFonts w:eastAsia="Calibri" w:cs="Calibri"/>
        </w:rPr>
        <w:t xml:space="preserve"> is +/- 20% of</w:t>
      </w:r>
      <w:r>
        <w:rPr>
          <w:rFonts w:eastAsia="Calibri" w:cs="Calibri"/>
        </w:rPr>
        <w:t xml:space="preserve"> 56.02 days, which is based on a three</w:t>
      </w:r>
      <w:r w:rsidRPr="005C73BE">
        <w:rPr>
          <w:rFonts w:eastAsia="Calibri" w:cs="Calibri"/>
        </w:rPr>
        <w:t xml:space="preserve">-year national average </w:t>
      </w:r>
      <w:r>
        <w:rPr>
          <w:rFonts w:eastAsia="Calibri" w:cs="Calibri"/>
        </w:rPr>
        <w:t>and provides an acceptable range of 44.82 to 67.23.</w:t>
      </w:r>
      <w:r w:rsidRPr="005C73BE">
        <w:rPr>
          <w:rFonts w:eastAsia="Calibri" w:cs="Calibri"/>
        </w:rPr>
        <w:t> </w:t>
      </w:r>
      <w:r>
        <w:rPr>
          <w:rFonts w:eastAsia="Calibri" w:cs="Calibri"/>
        </w:rPr>
        <w:t xml:space="preserve"> According to Appendix D, in FY 2024, Arizona’s average lapse time for safety inspections was 97.92</w:t>
      </w:r>
      <w:r w:rsidR="00DD54E4">
        <w:rPr>
          <w:rFonts w:eastAsia="Calibri" w:cs="Calibri"/>
        </w:rPr>
        <w:t xml:space="preserve"> days</w:t>
      </w:r>
      <w:r>
        <w:rPr>
          <w:rFonts w:eastAsia="Calibri" w:cs="Calibri"/>
        </w:rPr>
        <w:t>,</w:t>
      </w:r>
      <w:r w:rsidR="005F1620">
        <w:rPr>
          <w:rFonts w:eastAsia="Calibri" w:cs="Calibri"/>
        </w:rPr>
        <w:t xml:space="preserve"> an increase from 64.89 in FY 2023,</w:t>
      </w:r>
      <w:r>
        <w:rPr>
          <w:rFonts w:eastAsia="Calibri" w:cs="Calibri"/>
        </w:rPr>
        <w:t xml:space="preserve"> which was above the FRL and warranted a closer look. </w:t>
      </w:r>
      <w:r w:rsidR="005F1620">
        <w:rPr>
          <w:rFonts w:eastAsia="Calibri" w:cs="Calibri"/>
        </w:rPr>
        <w:t xml:space="preserve"> </w:t>
      </w:r>
      <w:r>
        <w:rPr>
          <w:rFonts w:eastAsia="Calibri" w:cs="Calibri"/>
        </w:rPr>
        <w:t>ADOSH explained that this higher-than-average lapse time was attributed to the increased duration of time cases spent in supervisory review</w:t>
      </w:r>
      <w:r w:rsidR="00AB5C0B">
        <w:rPr>
          <w:rFonts w:eastAsia="Calibri" w:cs="Calibri"/>
        </w:rPr>
        <w:t xml:space="preserve">, which was impacted when management was serving in multiple roles prior to the new Director </w:t>
      </w:r>
      <w:r w:rsidR="00BF4C19">
        <w:rPr>
          <w:rFonts w:eastAsia="Calibri" w:cs="Calibri"/>
        </w:rPr>
        <w:t>appointed</w:t>
      </w:r>
      <w:r w:rsidR="002872BE">
        <w:rPr>
          <w:rFonts w:eastAsia="Calibri" w:cs="Calibri"/>
        </w:rPr>
        <w:t xml:space="preserve"> in April 2024.</w:t>
      </w:r>
      <w:r>
        <w:rPr>
          <w:rFonts w:eastAsia="Calibri" w:cs="Calibri"/>
        </w:rPr>
        <w:t xml:space="preserve"> </w:t>
      </w:r>
      <w:r w:rsidR="002872BE">
        <w:rPr>
          <w:rFonts w:eastAsia="Calibri" w:cs="Calibri"/>
        </w:rPr>
        <w:t xml:space="preserve"> This metric</w:t>
      </w:r>
      <w:r>
        <w:rPr>
          <w:rFonts w:eastAsia="Calibri" w:cs="Calibri"/>
        </w:rPr>
        <w:t xml:space="preserve"> will be monitored as a new observation. </w:t>
      </w:r>
    </w:p>
    <w:p w14:paraId="2FEA0B40" w14:textId="77777777" w:rsidR="00D22DDC" w:rsidRDefault="00D22DDC" w:rsidP="00D22DDC">
      <w:pPr>
        <w:rPr>
          <w:rFonts w:eastAsia="Calibri" w:cs="Calibri"/>
        </w:rPr>
      </w:pPr>
    </w:p>
    <w:p w14:paraId="1E2D0B14" w14:textId="62E9FA5C" w:rsidR="005F1620" w:rsidRDefault="005F1620" w:rsidP="005F1620">
      <w:pPr>
        <w:rPr>
          <w:rFonts w:eastAsia="Calibri" w:cs="Calibri"/>
        </w:rPr>
      </w:pPr>
      <w:r>
        <w:rPr>
          <w:rFonts w:eastAsia="Calibri" w:cs="Calibri"/>
          <w:b/>
          <w:bCs/>
        </w:rPr>
        <w:t xml:space="preserve">Observation 2024-OB-03: </w:t>
      </w:r>
      <w:r>
        <w:rPr>
          <w:rFonts w:eastAsia="Calibri" w:cs="Calibri"/>
        </w:rPr>
        <w:t xml:space="preserve"> ADOSH’s average lapse time for health inspections </w:t>
      </w:r>
      <w:r w:rsidR="00303624">
        <w:rPr>
          <w:rFonts w:eastAsia="Calibri" w:cs="Calibri"/>
        </w:rPr>
        <w:t xml:space="preserve">(SAMM 11b) </w:t>
      </w:r>
      <w:r>
        <w:rPr>
          <w:rFonts w:eastAsia="Calibri" w:cs="Calibri"/>
        </w:rPr>
        <w:t xml:space="preserve">was 93.30 days, which was above the FRL.  </w:t>
      </w:r>
    </w:p>
    <w:p w14:paraId="410EB26A" w14:textId="77777777" w:rsidR="005F1620" w:rsidRDefault="005F1620" w:rsidP="005F1620">
      <w:pPr>
        <w:rPr>
          <w:rFonts w:eastAsia="Calibri" w:cs="Calibri"/>
        </w:rPr>
      </w:pPr>
    </w:p>
    <w:p w14:paraId="6BDF7687" w14:textId="77777777" w:rsidR="005F1620" w:rsidRPr="00A141A1" w:rsidRDefault="005F1620" w:rsidP="005F1620">
      <w:pPr>
        <w:rPr>
          <w:rFonts w:eastAsia="Calibri" w:cs="Calibri"/>
        </w:rPr>
      </w:pPr>
      <w:r>
        <w:rPr>
          <w:rFonts w:eastAsia="Calibri" w:cs="Calibri"/>
          <w:b/>
          <w:bCs/>
        </w:rPr>
        <w:t xml:space="preserve">Federal Monitoring Plan FY 2024-OB-03: </w:t>
      </w:r>
      <w:r>
        <w:rPr>
          <w:rFonts w:eastAsia="Calibri" w:cs="Calibri"/>
        </w:rPr>
        <w:t xml:space="preserve"> OSHA will monitor ADOSH’s lapse time for health inspections and ensure they are within the FRL.  </w:t>
      </w:r>
    </w:p>
    <w:p w14:paraId="61EA7042" w14:textId="77777777" w:rsidR="00D22DDC" w:rsidRDefault="00D22DDC" w:rsidP="00D22DDC">
      <w:pPr>
        <w:rPr>
          <w:rFonts w:eastAsia="Calibri" w:cs="Calibri"/>
          <w:b/>
          <w:bCs/>
        </w:rPr>
      </w:pPr>
    </w:p>
    <w:p w14:paraId="4FB551B5" w14:textId="58E829F3" w:rsidR="00D22DDC" w:rsidRDefault="00D22DDC" w:rsidP="00D22DDC">
      <w:pPr>
        <w:rPr>
          <w:rFonts w:eastAsia="Calibri" w:cs="Calibri"/>
        </w:rPr>
      </w:pPr>
      <w:r w:rsidRPr="00F549EB">
        <w:rPr>
          <w:rFonts w:eastAsia="Calibri" w:cs="Calibri"/>
          <w:b/>
          <w:bCs/>
        </w:rPr>
        <w:t>Discussion:</w:t>
      </w:r>
      <w:r w:rsidRPr="00BF1E90">
        <w:rPr>
          <w:rFonts w:eastAsia="Calibri" w:cs="Calibri"/>
        </w:rPr>
        <w:t xml:space="preserve"> </w:t>
      </w:r>
      <w:r>
        <w:rPr>
          <w:rFonts w:eastAsia="Calibri" w:cs="Calibri"/>
        </w:rPr>
        <w:t xml:space="preserve"> </w:t>
      </w:r>
      <w:r w:rsidRPr="005C73BE">
        <w:rPr>
          <w:rFonts w:eastAsia="Calibri" w:cs="Calibri"/>
        </w:rPr>
        <w:t>The FRL for</w:t>
      </w:r>
      <w:r>
        <w:rPr>
          <w:rFonts w:eastAsia="Calibri" w:cs="Calibri"/>
        </w:rPr>
        <w:t xml:space="preserve"> the</w:t>
      </w:r>
      <w:r w:rsidRPr="005C73BE">
        <w:rPr>
          <w:rFonts w:eastAsia="Calibri" w:cs="Calibri"/>
        </w:rPr>
        <w:t xml:space="preserve"> </w:t>
      </w:r>
      <w:r>
        <w:rPr>
          <w:rFonts w:eastAsia="Calibri" w:cs="Calibri"/>
        </w:rPr>
        <w:t>average lapse time</w:t>
      </w:r>
      <w:r w:rsidRPr="005C73BE">
        <w:rPr>
          <w:rFonts w:eastAsia="Calibri" w:cs="Calibri"/>
        </w:rPr>
        <w:t xml:space="preserve"> for </w:t>
      </w:r>
      <w:r>
        <w:rPr>
          <w:rFonts w:eastAsia="Calibri" w:cs="Calibri"/>
        </w:rPr>
        <w:t>health</w:t>
      </w:r>
      <w:r w:rsidRPr="005C73BE">
        <w:rPr>
          <w:rFonts w:eastAsia="Calibri" w:cs="Calibri"/>
        </w:rPr>
        <w:t xml:space="preserve"> inspections</w:t>
      </w:r>
      <w:r>
        <w:rPr>
          <w:rFonts w:eastAsia="Calibri" w:cs="Calibri"/>
        </w:rPr>
        <w:t xml:space="preserve"> (SAMM 11b)</w:t>
      </w:r>
      <w:r w:rsidRPr="005C73BE">
        <w:rPr>
          <w:rFonts w:eastAsia="Calibri" w:cs="Calibri"/>
        </w:rPr>
        <w:t xml:space="preserve"> is +/- 20% of</w:t>
      </w:r>
      <w:r>
        <w:rPr>
          <w:rFonts w:eastAsia="Calibri" w:cs="Calibri"/>
        </w:rPr>
        <w:t xml:space="preserve"> 67.21 days, which is based on a three</w:t>
      </w:r>
      <w:r w:rsidRPr="005C73BE">
        <w:rPr>
          <w:rFonts w:eastAsia="Calibri" w:cs="Calibri"/>
        </w:rPr>
        <w:t xml:space="preserve">-year national average </w:t>
      </w:r>
      <w:r>
        <w:rPr>
          <w:rFonts w:eastAsia="Calibri" w:cs="Calibri"/>
        </w:rPr>
        <w:t>and provides an acceptable range of 53.77 to 80.65.</w:t>
      </w:r>
      <w:r w:rsidRPr="005C73BE">
        <w:rPr>
          <w:rFonts w:eastAsia="Calibri" w:cs="Calibri"/>
        </w:rPr>
        <w:t> </w:t>
      </w:r>
      <w:r>
        <w:rPr>
          <w:rFonts w:eastAsia="Calibri" w:cs="Calibri"/>
        </w:rPr>
        <w:t xml:space="preserve"> According to Appendix D, in FY 2024, Arizona’s average lapse time for health inspections was 93.30, </w:t>
      </w:r>
      <w:r w:rsidR="007428D7">
        <w:rPr>
          <w:rFonts w:eastAsia="Calibri" w:cs="Calibri"/>
        </w:rPr>
        <w:t xml:space="preserve">an increase from 58.78 days in FY 2023, </w:t>
      </w:r>
      <w:r>
        <w:rPr>
          <w:rFonts w:eastAsia="Calibri" w:cs="Calibri"/>
        </w:rPr>
        <w:t xml:space="preserve">which was above the FRL. </w:t>
      </w:r>
      <w:r w:rsidR="000D5098">
        <w:rPr>
          <w:rFonts w:eastAsia="Calibri" w:cs="Calibri"/>
        </w:rPr>
        <w:t xml:space="preserve"> </w:t>
      </w:r>
      <w:proofErr w:type="gramStart"/>
      <w:r w:rsidRPr="00F56612">
        <w:rPr>
          <w:rFonts w:eastAsia="Calibri" w:cs="Calibri"/>
        </w:rPr>
        <w:t>Similar to</w:t>
      </w:r>
      <w:proofErr w:type="gramEnd"/>
      <w:r w:rsidRPr="00F56612">
        <w:rPr>
          <w:rFonts w:eastAsia="Calibri" w:cs="Calibri"/>
        </w:rPr>
        <w:t xml:space="preserve"> </w:t>
      </w:r>
      <w:r>
        <w:rPr>
          <w:rFonts w:eastAsia="Calibri" w:cs="Calibri"/>
        </w:rPr>
        <w:t>SAMM 11a, the increase in lapse time was impacted by the duration cases spent in review</w:t>
      </w:r>
      <w:r w:rsidR="00AC10CD">
        <w:rPr>
          <w:rFonts w:eastAsia="Calibri" w:cs="Calibri"/>
        </w:rPr>
        <w:t xml:space="preserve"> with supervisors</w:t>
      </w:r>
      <w:r>
        <w:rPr>
          <w:rFonts w:eastAsia="Calibri" w:cs="Calibri"/>
        </w:rPr>
        <w:t xml:space="preserve">.  This metric requires Arizona’s attention and will be monitored as a new observation. </w:t>
      </w:r>
    </w:p>
    <w:p w14:paraId="0AE6CF5F" w14:textId="77777777" w:rsidR="00D22DDC" w:rsidRDefault="00D22DDC" w:rsidP="000B58F1">
      <w:pPr>
        <w:widowControl/>
        <w:rPr>
          <w:rFonts w:cs="Calibri"/>
          <w:b/>
          <w:highlight w:val="yellow"/>
        </w:rPr>
      </w:pPr>
    </w:p>
    <w:p w14:paraId="3B828F9D" w14:textId="415179B3" w:rsidR="00F132A8" w:rsidRPr="0061362E" w:rsidRDefault="00465D7E" w:rsidP="0045624F">
      <w:pPr>
        <w:pStyle w:val="Heading3"/>
      </w:pPr>
      <w:bookmarkStart w:id="22" w:name="_Toc118900177"/>
      <w:bookmarkStart w:id="23" w:name="_Toc118905016"/>
      <w:bookmarkStart w:id="24" w:name="_Toc190424180"/>
      <w:r>
        <w:t xml:space="preserve">C.  </w:t>
      </w:r>
      <w:r w:rsidR="00F132A8" w:rsidRPr="0061362E">
        <w:t>State Activity Mandated Measures (SAMM)</w:t>
      </w:r>
      <w:r w:rsidR="00A243D6" w:rsidRPr="0061362E">
        <w:t xml:space="preserve"> Highlights</w:t>
      </w:r>
      <w:bookmarkEnd w:id="22"/>
      <w:bookmarkEnd w:id="23"/>
      <w:bookmarkEnd w:id="24"/>
    </w:p>
    <w:p w14:paraId="6AD12CC3" w14:textId="3763E8BE" w:rsidR="00C14885" w:rsidRPr="002D22CC" w:rsidRDefault="00C14885" w:rsidP="000B58F1">
      <w:pPr>
        <w:widowControl/>
        <w:autoSpaceDE/>
        <w:adjustRightInd/>
        <w:rPr>
          <w:rFonts w:cs="Calibri"/>
          <w:iCs/>
          <w:color w:val="0070C0"/>
        </w:rPr>
      </w:pPr>
    </w:p>
    <w:p w14:paraId="6334AF51" w14:textId="37DAFFA8" w:rsidR="00C219A4" w:rsidRDefault="02D01C39" w:rsidP="000B58F1">
      <w:pPr>
        <w:rPr>
          <w:rFonts w:eastAsia="Calibri" w:cs="Calibri"/>
        </w:rPr>
      </w:pPr>
      <w:r w:rsidRPr="090008D6">
        <w:rPr>
          <w:rFonts w:eastAsia="Calibri" w:cs="Calibri"/>
        </w:rPr>
        <w:t xml:space="preserve">Each SAMM measure has an agreed upon </w:t>
      </w:r>
      <w:r w:rsidR="00472102">
        <w:rPr>
          <w:rFonts w:eastAsia="Calibri" w:cs="Calibri"/>
        </w:rPr>
        <w:t>FRL</w:t>
      </w:r>
      <w:r w:rsidRPr="090008D6">
        <w:rPr>
          <w:rFonts w:eastAsia="Calibri" w:cs="Calibri"/>
        </w:rPr>
        <w:t xml:space="preserve"> which can be either a single number or a range of numbers above and below the national average.  State Plan SAMM data that falls outside of the FRL triggers a closer look at the underlying performance of the mandatory activity.  Appendix D presents the State Plan’s FY 202</w:t>
      </w:r>
      <w:r w:rsidR="00436510">
        <w:rPr>
          <w:rFonts w:eastAsia="Calibri" w:cs="Calibri"/>
        </w:rPr>
        <w:t>4</w:t>
      </w:r>
      <w:r w:rsidRPr="090008D6">
        <w:rPr>
          <w:rFonts w:eastAsia="Calibri" w:cs="Calibri"/>
        </w:rPr>
        <w:t xml:space="preserve"> </w:t>
      </w:r>
      <w:r w:rsidR="003E141C">
        <w:rPr>
          <w:rFonts w:eastAsia="Calibri" w:cs="Calibri"/>
        </w:rPr>
        <w:t>SAMM</w:t>
      </w:r>
      <w:r w:rsidRPr="090008D6">
        <w:rPr>
          <w:rFonts w:eastAsia="Calibri" w:cs="Calibri"/>
        </w:rPr>
        <w:t xml:space="preserve"> Report and includes the FRLs for each measure.</w:t>
      </w:r>
    </w:p>
    <w:p w14:paraId="078221C1" w14:textId="0B3498BE" w:rsidR="00C219A4" w:rsidRDefault="00C219A4" w:rsidP="000B58F1">
      <w:pPr>
        <w:rPr>
          <w:rFonts w:eastAsia="Calibri" w:cs="Calibri"/>
        </w:rPr>
      </w:pPr>
    </w:p>
    <w:p w14:paraId="7BD4592F" w14:textId="4D6F17FE" w:rsidR="00C219A4" w:rsidRDefault="00C219A4" w:rsidP="000B58F1">
      <w:pPr>
        <w:rPr>
          <w:rFonts w:eastAsia="Calibri" w:cs="Calibri"/>
        </w:rPr>
      </w:pPr>
      <w:r w:rsidRPr="00DB278E">
        <w:rPr>
          <w:rFonts w:cs="Calibri"/>
        </w:rPr>
        <w:t xml:space="preserve">It should be noted that OSHA is in the final stages of transitioning from the Whistleblower Application in the OSHA IT Support System (OITSS), a legacy data system, to the Whistleblower module in OIS, a modern data system.  </w:t>
      </w:r>
      <w:r w:rsidR="00AC10CD">
        <w:rPr>
          <w:rFonts w:cs="Calibri"/>
        </w:rPr>
        <w:t>Arizona use</w:t>
      </w:r>
      <w:r w:rsidR="00411BE4">
        <w:rPr>
          <w:rFonts w:cs="Calibri"/>
        </w:rPr>
        <w:t>d</w:t>
      </w:r>
      <w:r w:rsidR="00AC10CD">
        <w:rPr>
          <w:rFonts w:cs="Calibri"/>
        </w:rPr>
        <w:t xml:space="preserve"> </w:t>
      </w:r>
      <w:r w:rsidR="00946AE9">
        <w:rPr>
          <w:rFonts w:cs="Calibri"/>
        </w:rPr>
        <w:t xml:space="preserve">the Salesforce application to report whistleblower retaliation data into OIS.  </w:t>
      </w:r>
      <w:r w:rsidR="00411BE4">
        <w:rPr>
          <w:rFonts w:cs="Calibri"/>
        </w:rPr>
        <w:t xml:space="preserve">At times, </w:t>
      </w:r>
      <w:r w:rsidR="00707582">
        <w:rPr>
          <w:rFonts w:cs="Calibri"/>
        </w:rPr>
        <w:t xml:space="preserve">errors in the data would </w:t>
      </w:r>
      <w:r w:rsidR="002D4555">
        <w:rPr>
          <w:rFonts w:cs="Calibri"/>
        </w:rPr>
        <w:t xml:space="preserve">be rejected by OIS and require a correction in Salesforce </w:t>
      </w:r>
      <w:proofErr w:type="gramStart"/>
      <w:r w:rsidR="002D4555">
        <w:rPr>
          <w:rFonts w:cs="Calibri"/>
        </w:rPr>
        <w:t>in order to</w:t>
      </w:r>
      <w:proofErr w:type="gramEnd"/>
      <w:r w:rsidR="002D4555">
        <w:rPr>
          <w:rFonts w:cs="Calibri"/>
        </w:rPr>
        <w:t xml:space="preserve"> re-upload.  </w:t>
      </w:r>
      <w:r w:rsidR="001A77ED">
        <w:rPr>
          <w:rFonts w:cs="Calibri"/>
        </w:rPr>
        <w:t xml:space="preserve">This continues to be </w:t>
      </w:r>
      <w:r w:rsidR="00EE6F20">
        <w:rPr>
          <w:rFonts w:cs="Calibri"/>
        </w:rPr>
        <w:t xml:space="preserve">evaluated to ensure proper integration of data into OIS.  </w:t>
      </w:r>
      <w:r w:rsidRPr="00DB278E">
        <w:rPr>
          <w:rFonts w:cs="Calibri"/>
        </w:rPr>
        <w:t>As such, OSHA will not be relying on SAMMs 14, 15, or 16 in their evaluation of the State Plans whistleblower programs for FY 202</w:t>
      </w:r>
      <w:r w:rsidR="00640CBE">
        <w:rPr>
          <w:rFonts w:cs="Calibri"/>
        </w:rPr>
        <w:t>4</w:t>
      </w:r>
      <w:r w:rsidRPr="00DB278E">
        <w:rPr>
          <w:rFonts w:cs="Calibri"/>
        </w:rPr>
        <w:t>.</w:t>
      </w:r>
    </w:p>
    <w:p w14:paraId="3B1AB8E9" w14:textId="77777777" w:rsidR="00C219A4" w:rsidRDefault="00C219A4" w:rsidP="000B58F1">
      <w:pPr>
        <w:rPr>
          <w:rFonts w:eastAsia="Calibri" w:cs="Calibri"/>
        </w:rPr>
      </w:pPr>
    </w:p>
    <w:p w14:paraId="39B8F3DA" w14:textId="0640D03E" w:rsidR="02D01C39" w:rsidRDefault="02D01C39" w:rsidP="000B58F1">
      <w:r w:rsidRPr="6D0A92F4">
        <w:rPr>
          <w:rFonts w:eastAsia="Calibri" w:cs="Calibri"/>
        </w:rPr>
        <w:t xml:space="preserve">The </w:t>
      </w:r>
      <w:r w:rsidR="5C7A4909" w:rsidRPr="6D0A92F4">
        <w:rPr>
          <w:rFonts w:eastAsia="Calibri" w:cs="Calibri"/>
        </w:rPr>
        <w:t>Arizona</w:t>
      </w:r>
      <w:r w:rsidRPr="6D0A92F4">
        <w:rPr>
          <w:rFonts w:eastAsia="Calibri" w:cs="Calibri"/>
        </w:rPr>
        <w:t xml:space="preserve"> State Plan was outside the FRL on the following SAMMs</w:t>
      </w:r>
      <w:r w:rsidR="098CC7EE" w:rsidRPr="6D0A92F4">
        <w:rPr>
          <w:rFonts w:eastAsia="Calibri" w:cs="Calibri"/>
        </w:rPr>
        <w:t xml:space="preserve"> </w:t>
      </w:r>
      <w:r w:rsidR="3AF9B539" w:rsidRPr="6D0A92F4">
        <w:rPr>
          <w:rFonts w:eastAsia="Calibri" w:cs="Calibri"/>
        </w:rPr>
        <w:t>which have</w:t>
      </w:r>
      <w:r w:rsidR="098CC7EE" w:rsidRPr="6D0A92F4">
        <w:rPr>
          <w:rFonts w:eastAsia="Calibri" w:cs="Calibri"/>
        </w:rPr>
        <w:t xml:space="preserve"> not been previously addressed in this report</w:t>
      </w:r>
      <w:r w:rsidRPr="6D0A92F4">
        <w:rPr>
          <w:rFonts w:eastAsia="Calibri" w:cs="Calibri"/>
        </w:rPr>
        <w:t>:</w:t>
      </w:r>
    </w:p>
    <w:p w14:paraId="221DF124" w14:textId="77777777" w:rsidR="002B0A5D" w:rsidRDefault="002B0A5D" w:rsidP="002B0A5D">
      <w:pPr>
        <w:rPr>
          <w:rFonts w:eastAsia="Calibri" w:cs="Calibri"/>
          <w:b/>
          <w:bCs/>
        </w:rPr>
      </w:pPr>
    </w:p>
    <w:p w14:paraId="1B9C11CC" w14:textId="6E66353E" w:rsidR="00482F53" w:rsidRDefault="00482F53" w:rsidP="00482F53">
      <w:pPr>
        <w:rPr>
          <w:rFonts w:eastAsia="Calibri" w:cs="Calibri"/>
          <w:b/>
          <w:bCs/>
        </w:rPr>
      </w:pPr>
      <w:r w:rsidRPr="090008D6">
        <w:rPr>
          <w:rFonts w:eastAsia="Calibri" w:cs="Calibri"/>
          <w:b/>
          <w:bCs/>
        </w:rPr>
        <w:t xml:space="preserve">SAMM </w:t>
      </w:r>
      <w:r>
        <w:rPr>
          <w:rFonts w:eastAsia="Calibri" w:cs="Calibri"/>
          <w:b/>
          <w:bCs/>
        </w:rPr>
        <w:t>6 – Percent of total inspections in state and local government workplaces</w:t>
      </w:r>
    </w:p>
    <w:p w14:paraId="4D638C0F" w14:textId="77777777" w:rsidR="00482F53" w:rsidRDefault="00482F53" w:rsidP="00482F53">
      <w:pPr>
        <w:rPr>
          <w:rFonts w:eastAsia="Calibri" w:cs="Calibri"/>
          <w:b/>
          <w:bCs/>
        </w:rPr>
      </w:pPr>
    </w:p>
    <w:p w14:paraId="709832AE" w14:textId="4E2408C5" w:rsidR="00234346" w:rsidRPr="00993E7A" w:rsidRDefault="00234346" w:rsidP="00234346">
      <w:pPr>
        <w:rPr>
          <w:rFonts w:eastAsia="Calibri" w:cs="Calibri"/>
        </w:rPr>
      </w:pPr>
      <w:r w:rsidRPr="08722B81">
        <w:rPr>
          <w:rFonts w:eastAsia="Calibri" w:cs="Calibri"/>
          <w:b/>
          <w:bCs/>
        </w:rPr>
        <w:t xml:space="preserve">Discussion of </w:t>
      </w:r>
      <w:r w:rsidR="28C81F2C" w:rsidRPr="08722B81">
        <w:rPr>
          <w:rFonts w:eastAsia="Calibri" w:cs="Calibri"/>
          <w:b/>
          <w:bCs/>
        </w:rPr>
        <w:t>ADOSH’s</w:t>
      </w:r>
      <w:r w:rsidRPr="08722B81">
        <w:rPr>
          <w:rFonts w:eastAsia="Calibri" w:cs="Calibri"/>
          <w:b/>
          <w:bCs/>
        </w:rPr>
        <w:t xml:space="preserve"> Data and FRL:</w:t>
      </w:r>
      <w:r w:rsidR="702589B9" w:rsidRPr="08722B81">
        <w:rPr>
          <w:rFonts w:eastAsia="Calibri" w:cs="Calibri"/>
        </w:rPr>
        <w:t xml:space="preserve">  The FRL was </w:t>
      </w:r>
      <w:r w:rsidR="55197E80" w:rsidRPr="08722B81">
        <w:rPr>
          <w:rFonts w:eastAsia="Calibri" w:cs="Calibri"/>
        </w:rPr>
        <w:t xml:space="preserve">+/- 5% of 3.40, which was </w:t>
      </w:r>
      <w:r w:rsidR="702589B9" w:rsidRPr="08722B81">
        <w:rPr>
          <w:rFonts w:eastAsia="Calibri" w:cs="Calibri"/>
        </w:rPr>
        <w:t xml:space="preserve">negotiated by OSHA and the State Plan through the FY 2024 23(g) grant application.  The range of acceptable data not requiring further review was </w:t>
      </w:r>
      <w:r w:rsidR="55197E80" w:rsidRPr="08722B81">
        <w:rPr>
          <w:rFonts w:eastAsia="Calibri" w:cs="Calibri"/>
        </w:rPr>
        <w:t xml:space="preserve">based on a </w:t>
      </w:r>
      <w:r w:rsidR="49E2EC04" w:rsidRPr="08722B81">
        <w:rPr>
          <w:rFonts w:eastAsia="Calibri" w:cs="Calibri"/>
        </w:rPr>
        <w:t>three-year</w:t>
      </w:r>
      <w:r w:rsidR="55197E80" w:rsidRPr="08722B81">
        <w:rPr>
          <w:rFonts w:eastAsia="Calibri" w:cs="Calibri"/>
        </w:rPr>
        <w:t xml:space="preserve"> national average and provides a range </w:t>
      </w:r>
      <w:r w:rsidR="702589B9" w:rsidRPr="08722B81">
        <w:rPr>
          <w:rFonts w:eastAsia="Calibri" w:cs="Calibri"/>
        </w:rPr>
        <w:t xml:space="preserve">between </w:t>
      </w:r>
      <w:r w:rsidR="7ABD279E" w:rsidRPr="08722B81">
        <w:rPr>
          <w:rFonts w:eastAsia="Calibri" w:cs="Calibri"/>
        </w:rPr>
        <w:t>3.23</w:t>
      </w:r>
      <w:r w:rsidR="702589B9" w:rsidRPr="08722B81">
        <w:rPr>
          <w:rFonts w:eastAsia="Calibri" w:cs="Calibri"/>
        </w:rPr>
        <w:t xml:space="preserve">% to </w:t>
      </w:r>
      <w:r w:rsidR="7ABD279E" w:rsidRPr="08722B81">
        <w:rPr>
          <w:rFonts w:eastAsia="Calibri" w:cs="Calibri"/>
        </w:rPr>
        <w:t>3.57</w:t>
      </w:r>
      <w:r w:rsidR="702589B9" w:rsidRPr="08722B81">
        <w:rPr>
          <w:rFonts w:eastAsia="Calibri" w:cs="Calibri"/>
        </w:rPr>
        <w:t xml:space="preserve">%.  </w:t>
      </w:r>
      <w:r w:rsidR="55197E80" w:rsidRPr="08722B81">
        <w:rPr>
          <w:rFonts w:eastAsia="Calibri" w:cs="Calibri"/>
        </w:rPr>
        <w:t>ADOSH</w:t>
      </w:r>
      <w:r w:rsidR="702589B9" w:rsidRPr="08722B81">
        <w:rPr>
          <w:rFonts w:eastAsia="Calibri" w:cs="Calibri"/>
        </w:rPr>
        <w:t xml:space="preserve"> conducted </w:t>
      </w:r>
      <w:r w:rsidR="10B729B9" w:rsidRPr="08722B81">
        <w:rPr>
          <w:rFonts w:eastAsia="Calibri" w:cs="Calibri"/>
        </w:rPr>
        <w:t>31 (</w:t>
      </w:r>
      <w:r w:rsidR="55197E80" w:rsidRPr="08722B81">
        <w:rPr>
          <w:rFonts w:eastAsia="Calibri" w:cs="Calibri"/>
        </w:rPr>
        <w:t>5.03</w:t>
      </w:r>
      <w:r w:rsidR="702589B9" w:rsidRPr="08722B81">
        <w:rPr>
          <w:rFonts w:eastAsia="Calibri" w:cs="Calibri"/>
        </w:rPr>
        <w:t>%</w:t>
      </w:r>
      <w:r w:rsidR="10B729B9" w:rsidRPr="08722B81">
        <w:rPr>
          <w:rFonts w:eastAsia="Calibri" w:cs="Calibri"/>
        </w:rPr>
        <w:t>)</w:t>
      </w:r>
      <w:r w:rsidR="702589B9" w:rsidRPr="08722B81">
        <w:rPr>
          <w:rFonts w:eastAsia="Calibri" w:cs="Calibri"/>
        </w:rPr>
        <w:t xml:space="preserve"> of its total inspections in state and local government workplaces, exceeding the FRL. </w:t>
      </w:r>
    </w:p>
    <w:p w14:paraId="19DD3639" w14:textId="77777777" w:rsidR="00234346" w:rsidRDefault="00234346" w:rsidP="00234346">
      <w:pPr>
        <w:rPr>
          <w:rFonts w:eastAsia="Calibri" w:cs="Calibri"/>
          <w:b/>
          <w:bCs/>
        </w:rPr>
      </w:pPr>
    </w:p>
    <w:p w14:paraId="1CB29483" w14:textId="59B6CE66" w:rsidR="00482F53" w:rsidRDefault="00234346" w:rsidP="00482F53">
      <w:pPr>
        <w:rPr>
          <w:rFonts w:eastAsia="Calibri" w:cs="Calibri"/>
          <w:b/>
          <w:bCs/>
        </w:rPr>
      </w:pPr>
      <w:r w:rsidRPr="004C1785">
        <w:rPr>
          <w:rFonts w:eastAsia="Calibri" w:cs="Calibri"/>
          <w:b/>
          <w:bCs/>
        </w:rPr>
        <w:t>Explanation:</w:t>
      </w:r>
      <w:r>
        <w:rPr>
          <w:rFonts w:eastAsia="Calibri" w:cs="Calibri"/>
          <w:b/>
          <w:bCs/>
        </w:rPr>
        <w:t xml:space="preserve">  </w:t>
      </w:r>
      <w:r w:rsidR="006C4F83">
        <w:rPr>
          <w:rFonts w:eastAsia="Calibri" w:cs="Calibri"/>
        </w:rPr>
        <w:t xml:space="preserve">Considering the </w:t>
      </w:r>
      <w:r w:rsidR="001A39F3">
        <w:rPr>
          <w:rFonts w:eastAsia="Calibri" w:cs="Calibri"/>
        </w:rPr>
        <w:t xml:space="preserve">5.03% </w:t>
      </w:r>
      <w:r w:rsidR="006C4F83">
        <w:rPr>
          <w:rFonts w:eastAsia="Calibri" w:cs="Calibri"/>
        </w:rPr>
        <w:t xml:space="preserve">of state and local government inspections conducted, ADOSH exceeded the </w:t>
      </w:r>
      <w:r w:rsidR="001A39F3">
        <w:rPr>
          <w:rFonts w:eastAsia="Calibri" w:cs="Calibri"/>
        </w:rPr>
        <w:t>FRL</w:t>
      </w:r>
      <w:r w:rsidR="0087351B">
        <w:rPr>
          <w:rFonts w:eastAsia="Calibri" w:cs="Calibri"/>
        </w:rPr>
        <w:t xml:space="preserve">.  However, when considering that </w:t>
      </w:r>
      <w:r w:rsidR="0063469E">
        <w:rPr>
          <w:rFonts w:eastAsia="Calibri" w:cs="Calibri"/>
        </w:rPr>
        <w:t>ADOSH</w:t>
      </w:r>
      <w:r w:rsidR="00793A23">
        <w:rPr>
          <w:rFonts w:eastAsia="Calibri" w:cs="Calibri"/>
        </w:rPr>
        <w:t xml:space="preserve"> set a</w:t>
      </w:r>
      <w:r w:rsidR="00E8692E">
        <w:rPr>
          <w:rFonts w:eastAsia="Calibri" w:cs="Calibri"/>
        </w:rPr>
        <w:t xml:space="preserve">n annual </w:t>
      </w:r>
      <w:r w:rsidR="0087351B">
        <w:rPr>
          <w:rFonts w:eastAsia="Calibri" w:cs="Calibri"/>
        </w:rPr>
        <w:t xml:space="preserve">numerical </w:t>
      </w:r>
      <w:r w:rsidR="00793A23">
        <w:rPr>
          <w:rFonts w:eastAsia="Calibri" w:cs="Calibri"/>
        </w:rPr>
        <w:t xml:space="preserve">goal </w:t>
      </w:r>
      <w:r w:rsidR="00E8692E">
        <w:rPr>
          <w:rFonts w:eastAsia="Calibri" w:cs="Calibri"/>
        </w:rPr>
        <w:t>to conduct 2</w:t>
      </w:r>
      <w:r w:rsidR="006D6C13">
        <w:rPr>
          <w:rFonts w:eastAsia="Calibri" w:cs="Calibri"/>
        </w:rPr>
        <w:t>0 safety and 20 health inspections</w:t>
      </w:r>
      <w:r w:rsidR="00AB5389">
        <w:rPr>
          <w:rFonts w:eastAsia="Calibri" w:cs="Calibri"/>
        </w:rPr>
        <w:t xml:space="preserve"> in state and local government workplaces</w:t>
      </w:r>
      <w:r w:rsidR="006D6C13">
        <w:rPr>
          <w:rFonts w:eastAsia="Calibri" w:cs="Calibri"/>
        </w:rPr>
        <w:t xml:space="preserve"> </w:t>
      </w:r>
      <w:r w:rsidR="00AB5389">
        <w:rPr>
          <w:rFonts w:eastAsia="Calibri" w:cs="Calibri"/>
        </w:rPr>
        <w:t xml:space="preserve">in </w:t>
      </w:r>
      <w:r w:rsidR="00E8692E">
        <w:rPr>
          <w:rFonts w:eastAsia="Calibri" w:cs="Calibri"/>
        </w:rPr>
        <w:t>FY 2024</w:t>
      </w:r>
      <w:r w:rsidR="0087351B">
        <w:rPr>
          <w:rFonts w:eastAsia="Calibri" w:cs="Calibri"/>
        </w:rPr>
        <w:t>, they fell short</w:t>
      </w:r>
      <w:r w:rsidR="0004678A">
        <w:rPr>
          <w:rFonts w:eastAsia="Calibri" w:cs="Calibri"/>
        </w:rPr>
        <w:t xml:space="preserve">.  </w:t>
      </w:r>
      <w:r w:rsidR="0087351B">
        <w:rPr>
          <w:rFonts w:eastAsia="Calibri" w:cs="Calibri"/>
        </w:rPr>
        <w:t xml:space="preserve">ADOSH </w:t>
      </w:r>
      <w:r w:rsidR="00645734">
        <w:rPr>
          <w:rFonts w:eastAsia="Calibri" w:cs="Calibri"/>
        </w:rPr>
        <w:t xml:space="preserve">accomplished </w:t>
      </w:r>
      <w:r w:rsidR="009C585A">
        <w:rPr>
          <w:rFonts w:eastAsia="Calibri" w:cs="Calibri"/>
        </w:rPr>
        <w:t xml:space="preserve">77.5% </w:t>
      </w:r>
      <w:r w:rsidR="00401132">
        <w:rPr>
          <w:rFonts w:eastAsia="Calibri" w:cs="Calibri"/>
        </w:rPr>
        <w:t>of their numeric goal</w:t>
      </w:r>
      <w:r w:rsidR="00DC15EE">
        <w:rPr>
          <w:rFonts w:eastAsia="Calibri" w:cs="Calibri"/>
        </w:rPr>
        <w:t xml:space="preserve">. </w:t>
      </w:r>
      <w:r w:rsidR="00645734">
        <w:rPr>
          <w:rFonts w:eastAsia="Calibri" w:cs="Calibri"/>
        </w:rPr>
        <w:t xml:space="preserve"> </w:t>
      </w:r>
      <w:r w:rsidR="00DC15EE">
        <w:rPr>
          <w:rFonts w:eastAsia="Calibri" w:cs="Calibri"/>
        </w:rPr>
        <w:t>Performance on t</w:t>
      </w:r>
      <w:r w:rsidR="002D733F">
        <w:rPr>
          <w:rFonts w:eastAsia="Calibri" w:cs="Calibri"/>
        </w:rPr>
        <w:t xml:space="preserve">his </w:t>
      </w:r>
      <w:r w:rsidR="00DC15EE">
        <w:rPr>
          <w:rFonts w:eastAsia="Calibri" w:cs="Calibri"/>
        </w:rPr>
        <w:t>measure</w:t>
      </w:r>
      <w:r w:rsidR="002D733F">
        <w:rPr>
          <w:rFonts w:eastAsia="Calibri" w:cs="Calibri"/>
        </w:rPr>
        <w:t xml:space="preserve"> was not cause for concern and will continue to be monitored by OSHA through the SAMM report. </w:t>
      </w:r>
    </w:p>
    <w:p w14:paraId="0F84CB2B" w14:textId="77777777" w:rsidR="00C63E8D" w:rsidRDefault="00C63E8D" w:rsidP="00482F53">
      <w:pPr>
        <w:rPr>
          <w:rFonts w:eastAsia="Calibri" w:cs="Calibri"/>
          <w:b/>
          <w:bCs/>
        </w:rPr>
      </w:pPr>
    </w:p>
    <w:p w14:paraId="5FD59987" w14:textId="61394626" w:rsidR="00C63E8D" w:rsidRDefault="00C63E8D" w:rsidP="00C63E8D">
      <w:pPr>
        <w:rPr>
          <w:rFonts w:eastAsia="Calibri" w:cs="Calibri"/>
          <w:b/>
          <w:bCs/>
        </w:rPr>
      </w:pPr>
      <w:r w:rsidRPr="090008D6">
        <w:rPr>
          <w:rFonts w:eastAsia="Calibri" w:cs="Calibri"/>
          <w:b/>
          <w:bCs/>
        </w:rPr>
        <w:t xml:space="preserve">SAMM </w:t>
      </w:r>
      <w:r>
        <w:rPr>
          <w:rFonts w:eastAsia="Calibri" w:cs="Calibri"/>
          <w:b/>
          <w:bCs/>
        </w:rPr>
        <w:t>8</w:t>
      </w:r>
      <w:r w:rsidR="00E66FA8">
        <w:rPr>
          <w:rFonts w:eastAsia="Calibri" w:cs="Calibri"/>
          <w:b/>
          <w:bCs/>
        </w:rPr>
        <w:t xml:space="preserve"> - </w:t>
      </w:r>
      <w:r w:rsidR="00E66FA8">
        <w:rPr>
          <w:rFonts w:cs="Calibri"/>
          <w:b/>
          <w:bCs/>
        </w:rPr>
        <w:t>Average current serious penalty in private sector – total (1 to greater than 250 workers)</w:t>
      </w:r>
    </w:p>
    <w:p w14:paraId="206FC1DC" w14:textId="77777777" w:rsidR="00C63E8D" w:rsidRDefault="00C63E8D" w:rsidP="00C63E8D">
      <w:pPr>
        <w:rPr>
          <w:rFonts w:eastAsia="Calibri" w:cs="Calibri"/>
          <w:b/>
          <w:bCs/>
        </w:rPr>
      </w:pPr>
    </w:p>
    <w:p w14:paraId="0F3A0D1B" w14:textId="55126537" w:rsidR="00234346" w:rsidRPr="00993E7A" w:rsidRDefault="00234346" w:rsidP="00234346">
      <w:pPr>
        <w:rPr>
          <w:rFonts w:eastAsia="Calibri" w:cs="Calibri"/>
        </w:rPr>
      </w:pPr>
      <w:r w:rsidRPr="08722B81">
        <w:rPr>
          <w:rFonts w:eastAsia="Calibri" w:cs="Calibri"/>
          <w:b/>
          <w:bCs/>
        </w:rPr>
        <w:t xml:space="preserve">Discussion of </w:t>
      </w:r>
      <w:r w:rsidR="350FF1B6" w:rsidRPr="08722B81">
        <w:rPr>
          <w:rFonts w:eastAsia="Calibri" w:cs="Calibri"/>
          <w:b/>
          <w:bCs/>
        </w:rPr>
        <w:t>ADOSH’s</w:t>
      </w:r>
      <w:r w:rsidRPr="08722B81">
        <w:rPr>
          <w:rFonts w:eastAsia="Calibri" w:cs="Calibri"/>
          <w:b/>
          <w:bCs/>
        </w:rPr>
        <w:t xml:space="preserve"> Data and FRL:</w:t>
      </w:r>
      <w:r w:rsidR="263423B7" w:rsidRPr="08722B81">
        <w:rPr>
          <w:rFonts w:eastAsia="Calibri" w:cs="Calibri"/>
        </w:rPr>
        <w:t xml:space="preserve"> </w:t>
      </w:r>
      <w:r w:rsidR="0521496C" w:rsidRPr="08722B81">
        <w:rPr>
          <w:rFonts w:eastAsia="Calibri" w:cs="Calibri"/>
        </w:rPr>
        <w:t xml:space="preserve"> </w:t>
      </w:r>
      <w:r w:rsidR="263423B7" w:rsidRPr="08722B81">
        <w:rPr>
          <w:rFonts w:eastAsia="Calibri" w:cs="Calibri"/>
        </w:rPr>
        <w:t xml:space="preserve">The FRL for the average current penalty for 1-250+ workers was +/- 25% of $3,793.81, which was based on a three-year national average and provides a range of $2,845.36 to $4,742.27.  In </w:t>
      </w:r>
      <w:r w:rsidR="161BEEFB" w:rsidRPr="08722B81">
        <w:rPr>
          <w:rFonts w:eastAsia="Calibri" w:cs="Calibri"/>
        </w:rPr>
        <w:t>Arizona</w:t>
      </w:r>
      <w:r w:rsidR="263423B7" w:rsidRPr="08722B81">
        <w:rPr>
          <w:rFonts w:eastAsia="Calibri" w:cs="Calibri"/>
        </w:rPr>
        <w:t>, employers with 1-250+ workers were penalized at an average of $</w:t>
      </w:r>
      <w:r w:rsidR="7F41BDB7" w:rsidRPr="08722B81">
        <w:rPr>
          <w:rFonts w:eastAsia="Calibri" w:cs="Calibri"/>
        </w:rPr>
        <w:t>5,476.34</w:t>
      </w:r>
      <w:r w:rsidR="263423B7" w:rsidRPr="08722B81">
        <w:rPr>
          <w:rFonts w:eastAsia="Calibri" w:cs="Calibri"/>
        </w:rPr>
        <w:t xml:space="preserve"> per serious violation, which was above the FRL range.   </w:t>
      </w:r>
    </w:p>
    <w:p w14:paraId="41156FBE" w14:textId="77777777" w:rsidR="00234346" w:rsidRDefault="00234346" w:rsidP="00234346">
      <w:pPr>
        <w:rPr>
          <w:rFonts w:eastAsia="Calibri" w:cs="Calibri"/>
          <w:b/>
          <w:bCs/>
        </w:rPr>
      </w:pPr>
    </w:p>
    <w:p w14:paraId="6E6CA8EF" w14:textId="6D2ECCF1" w:rsidR="00234346" w:rsidRPr="00B67953" w:rsidRDefault="00234346" w:rsidP="00234346">
      <w:pPr>
        <w:rPr>
          <w:rFonts w:eastAsia="Calibri" w:cs="Calibri"/>
        </w:rPr>
      </w:pPr>
      <w:r w:rsidRPr="004C1785">
        <w:rPr>
          <w:rFonts w:eastAsia="Calibri" w:cs="Calibri"/>
          <w:b/>
          <w:bCs/>
        </w:rPr>
        <w:t>Explanation:</w:t>
      </w:r>
      <w:r>
        <w:rPr>
          <w:rFonts w:eastAsia="Calibri" w:cs="Calibri"/>
          <w:b/>
          <w:bCs/>
        </w:rPr>
        <w:t xml:space="preserve">  </w:t>
      </w:r>
      <w:r w:rsidR="00244BA7" w:rsidRPr="00244BA7">
        <w:rPr>
          <w:rFonts w:eastAsia="Calibri" w:cs="Calibri"/>
        </w:rPr>
        <w:t>A</w:t>
      </w:r>
      <w:r w:rsidR="00244BA7">
        <w:rPr>
          <w:rFonts w:eastAsia="Calibri" w:cs="Calibri"/>
        </w:rPr>
        <w:t>D</w:t>
      </w:r>
      <w:r w:rsidR="00244BA7" w:rsidRPr="00244BA7">
        <w:rPr>
          <w:rFonts w:eastAsia="Calibri" w:cs="Calibri"/>
        </w:rPr>
        <w:t xml:space="preserve">OSH’s average current total penalty for serious citations in private sector </w:t>
      </w:r>
      <w:r w:rsidR="00074777">
        <w:rPr>
          <w:rFonts w:eastAsia="Calibri" w:cs="Calibri"/>
        </w:rPr>
        <w:t xml:space="preserve">increased from $3,441.82 in FY 2023 and </w:t>
      </w:r>
      <w:r w:rsidR="00244BA7" w:rsidRPr="00244BA7">
        <w:rPr>
          <w:rFonts w:eastAsia="Calibri" w:cs="Calibri"/>
        </w:rPr>
        <w:t>was slightly greater than the national average</w:t>
      </w:r>
      <w:r w:rsidR="00074777">
        <w:rPr>
          <w:rFonts w:eastAsia="Calibri" w:cs="Calibri"/>
        </w:rPr>
        <w:t xml:space="preserve">.  ADOSH </w:t>
      </w:r>
      <w:r w:rsidR="00B04E0D">
        <w:rPr>
          <w:rFonts w:eastAsia="Calibri" w:cs="Calibri"/>
        </w:rPr>
        <w:t xml:space="preserve">applied penalties in accordance with approved procedures.  Exceeding </w:t>
      </w:r>
      <w:r w:rsidR="003E1BE5">
        <w:rPr>
          <w:rFonts w:eastAsia="Calibri" w:cs="Calibri"/>
        </w:rPr>
        <w:t xml:space="preserve">penalty averages </w:t>
      </w:r>
      <w:r w:rsidR="00D51054">
        <w:rPr>
          <w:rFonts w:eastAsia="Calibri" w:cs="Calibri"/>
        </w:rPr>
        <w:t xml:space="preserve">are </w:t>
      </w:r>
      <w:r w:rsidR="00244BA7" w:rsidRPr="00244BA7">
        <w:rPr>
          <w:rFonts w:eastAsia="Calibri" w:cs="Calibri"/>
        </w:rPr>
        <w:t xml:space="preserve">not a cause for concern.  OSHA will continue to monitor this metric </w:t>
      </w:r>
      <w:r w:rsidR="00172E37">
        <w:rPr>
          <w:rFonts w:eastAsia="Calibri" w:cs="Calibri"/>
        </w:rPr>
        <w:t>through the SAMM report</w:t>
      </w:r>
      <w:r w:rsidR="00244BA7" w:rsidRPr="00244BA7">
        <w:rPr>
          <w:rFonts w:eastAsia="Calibri" w:cs="Calibri"/>
        </w:rPr>
        <w:t>.  </w:t>
      </w:r>
      <w:r w:rsidR="00021BFC">
        <w:rPr>
          <w:rFonts w:eastAsia="Calibri" w:cs="Calibri"/>
        </w:rPr>
        <w:t xml:space="preserve"> </w:t>
      </w:r>
    </w:p>
    <w:p w14:paraId="16331F80" w14:textId="77777777" w:rsidR="00E66FA8" w:rsidRDefault="00E66FA8" w:rsidP="00C63E8D">
      <w:pPr>
        <w:rPr>
          <w:rFonts w:eastAsia="Calibri" w:cs="Calibri"/>
          <w:b/>
          <w:bCs/>
        </w:rPr>
      </w:pPr>
    </w:p>
    <w:p w14:paraId="44338FD4" w14:textId="477BB128" w:rsidR="00E66FA8" w:rsidRDefault="00E66FA8" w:rsidP="00E66FA8">
      <w:pPr>
        <w:rPr>
          <w:rFonts w:eastAsia="Calibri" w:cs="Calibri"/>
          <w:b/>
          <w:bCs/>
        </w:rPr>
      </w:pPr>
      <w:r w:rsidRPr="090008D6">
        <w:rPr>
          <w:rFonts w:eastAsia="Calibri" w:cs="Calibri"/>
          <w:b/>
          <w:bCs/>
        </w:rPr>
        <w:t xml:space="preserve">SAMM </w:t>
      </w:r>
      <w:r>
        <w:rPr>
          <w:rFonts w:eastAsia="Calibri" w:cs="Calibri"/>
          <w:b/>
          <w:bCs/>
        </w:rPr>
        <w:t xml:space="preserve">8a - </w:t>
      </w:r>
      <w:r>
        <w:rPr>
          <w:rFonts w:cs="Calibri"/>
          <w:b/>
          <w:bCs/>
        </w:rPr>
        <w:t>Average current serious penalty in private sector – total (1</w:t>
      </w:r>
      <w:r w:rsidR="005E1A5B">
        <w:rPr>
          <w:rFonts w:cs="Calibri"/>
          <w:b/>
          <w:bCs/>
        </w:rPr>
        <w:t>-</w:t>
      </w:r>
      <w:r>
        <w:rPr>
          <w:rFonts w:cs="Calibri"/>
          <w:b/>
          <w:bCs/>
        </w:rPr>
        <w:t>25 workers)</w:t>
      </w:r>
    </w:p>
    <w:p w14:paraId="0921972E" w14:textId="77777777" w:rsidR="00E66FA8" w:rsidRDefault="00E66FA8" w:rsidP="00E66FA8">
      <w:pPr>
        <w:rPr>
          <w:rFonts w:eastAsia="Calibri" w:cs="Calibri"/>
          <w:b/>
          <w:bCs/>
        </w:rPr>
      </w:pPr>
    </w:p>
    <w:p w14:paraId="5D0203D2" w14:textId="14918D5A" w:rsidR="00234346" w:rsidRPr="00993E7A" w:rsidRDefault="00234346" w:rsidP="00234346">
      <w:pPr>
        <w:rPr>
          <w:rFonts w:eastAsia="Calibri" w:cs="Calibri"/>
        </w:rPr>
      </w:pPr>
      <w:r w:rsidRPr="08722B81">
        <w:rPr>
          <w:rFonts w:eastAsia="Calibri" w:cs="Calibri"/>
          <w:b/>
          <w:bCs/>
        </w:rPr>
        <w:t xml:space="preserve">Discussion of </w:t>
      </w:r>
      <w:r w:rsidR="55302AE0" w:rsidRPr="08722B81">
        <w:rPr>
          <w:rFonts w:eastAsia="Calibri" w:cs="Calibri"/>
          <w:b/>
          <w:bCs/>
        </w:rPr>
        <w:t>ADOSH’s</w:t>
      </w:r>
      <w:r w:rsidRPr="08722B81">
        <w:rPr>
          <w:rFonts w:eastAsia="Calibri" w:cs="Calibri"/>
          <w:b/>
          <w:bCs/>
        </w:rPr>
        <w:t xml:space="preserve"> Data and FRL:</w:t>
      </w:r>
      <w:r w:rsidR="2635BA1F" w:rsidRPr="08722B81">
        <w:rPr>
          <w:rFonts w:eastAsia="Calibri" w:cs="Calibri"/>
        </w:rPr>
        <w:t xml:space="preserve"> </w:t>
      </w:r>
      <w:r w:rsidR="0521496C" w:rsidRPr="08722B81">
        <w:rPr>
          <w:rFonts w:eastAsia="Calibri" w:cs="Calibri"/>
        </w:rPr>
        <w:t xml:space="preserve"> </w:t>
      </w:r>
      <w:r w:rsidR="2635BA1F" w:rsidRPr="08722B81">
        <w:rPr>
          <w:rFonts w:eastAsia="Calibri" w:cs="Calibri"/>
        </w:rPr>
        <w:t>The FRL for the average current penalty for 1-25 workers was +/- 25% of $2,498.51, which was based on a three-year national average and provides a range of $1,873.88 to $</w:t>
      </w:r>
      <w:r w:rsidR="1F530109" w:rsidRPr="08722B81">
        <w:rPr>
          <w:rFonts w:eastAsia="Calibri" w:cs="Calibri"/>
        </w:rPr>
        <w:t>3,123.14</w:t>
      </w:r>
      <w:r w:rsidR="2635BA1F" w:rsidRPr="08722B81">
        <w:rPr>
          <w:rFonts w:eastAsia="Calibri" w:cs="Calibri"/>
        </w:rPr>
        <w:t>.  In Arizona, employers with 1-25 workers were penalized at an average of $</w:t>
      </w:r>
      <w:r w:rsidR="1F530109" w:rsidRPr="08722B81">
        <w:rPr>
          <w:rFonts w:eastAsia="Calibri" w:cs="Calibri"/>
        </w:rPr>
        <w:t>3,681.00</w:t>
      </w:r>
      <w:r w:rsidR="2635BA1F" w:rsidRPr="08722B81">
        <w:rPr>
          <w:rFonts w:eastAsia="Calibri" w:cs="Calibri"/>
        </w:rPr>
        <w:t xml:space="preserve"> per serious violation, which was above the FRL range.  </w:t>
      </w:r>
    </w:p>
    <w:p w14:paraId="31596FB9" w14:textId="77777777" w:rsidR="00234346" w:rsidRDefault="00234346" w:rsidP="00234346">
      <w:pPr>
        <w:rPr>
          <w:rFonts w:eastAsia="Calibri" w:cs="Calibri"/>
          <w:b/>
          <w:bCs/>
        </w:rPr>
      </w:pPr>
    </w:p>
    <w:p w14:paraId="359B0825" w14:textId="2EE8680C" w:rsidR="003F1338" w:rsidRPr="00B67953" w:rsidRDefault="00234346" w:rsidP="003F1338">
      <w:pPr>
        <w:rPr>
          <w:rFonts w:eastAsia="Calibri" w:cs="Calibri"/>
        </w:rPr>
      </w:pPr>
      <w:r w:rsidRPr="004C1785">
        <w:rPr>
          <w:rFonts w:eastAsia="Calibri" w:cs="Calibri"/>
          <w:b/>
          <w:bCs/>
        </w:rPr>
        <w:t>Explanation:</w:t>
      </w:r>
      <w:r>
        <w:rPr>
          <w:rFonts w:eastAsia="Calibri" w:cs="Calibri"/>
          <w:b/>
          <w:bCs/>
        </w:rPr>
        <w:t xml:space="preserve">  </w:t>
      </w:r>
      <w:r w:rsidR="003F1338" w:rsidRPr="00244BA7">
        <w:rPr>
          <w:rFonts w:eastAsia="Calibri" w:cs="Calibri"/>
        </w:rPr>
        <w:t>A</w:t>
      </w:r>
      <w:r w:rsidR="003F1338">
        <w:rPr>
          <w:rFonts w:eastAsia="Calibri" w:cs="Calibri"/>
        </w:rPr>
        <w:t>D</w:t>
      </w:r>
      <w:r w:rsidR="003F1338" w:rsidRPr="00244BA7">
        <w:rPr>
          <w:rFonts w:eastAsia="Calibri" w:cs="Calibri"/>
        </w:rPr>
        <w:t xml:space="preserve">OSH’s average current </w:t>
      </w:r>
      <w:r w:rsidR="002F79C6">
        <w:rPr>
          <w:rFonts w:eastAsia="Calibri" w:cs="Calibri"/>
        </w:rPr>
        <w:t xml:space="preserve">serious </w:t>
      </w:r>
      <w:r w:rsidR="003F1338" w:rsidRPr="00244BA7">
        <w:rPr>
          <w:rFonts w:eastAsia="Calibri" w:cs="Calibri"/>
        </w:rPr>
        <w:t xml:space="preserve">penalty </w:t>
      </w:r>
      <w:r w:rsidR="00D85ABD">
        <w:rPr>
          <w:rFonts w:eastAsia="Calibri" w:cs="Calibri"/>
        </w:rPr>
        <w:t xml:space="preserve">in private sector for businesses with 1-25 workers increased from an average of </w:t>
      </w:r>
      <w:r w:rsidR="00641554">
        <w:rPr>
          <w:rFonts w:eastAsia="Calibri" w:cs="Calibri"/>
        </w:rPr>
        <w:t>$2,386.00 the previous year</w:t>
      </w:r>
      <w:r w:rsidR="00172E37">
        <w:rPr>
          <w:rFonts w:eastAsia="Calibri" w:cs="Calibri"/>
        </w:rPr>
        <w:t xml:space="preserve"> and was slightly above the national average for FY 2024.  This was not</w:t>
      </w:r>
      <w:r w:rsidR="003F1338" w:rsidRPr="00244BA7">
        <w:rPr>
          <w:rFonts w:eastAsia="Calibri" w:cs="Calibri"/>
        </w:rPr>
        <w:t xml:space="preserve"> a cause for concern.  OSHA will continue to monitor this metric </w:t>
      </w:r>
      <w:r w:rsidR="00172E37">
        <w:rPr>
          <w:rFonts w:eastAsia="Calibri" w:cs="Calibri"/>
        </w:rPr>
        <w:t>through the SAMM report</w:t>
      </w:r>
      <w:r w:rsidR="003F1338" w:rsidRPr="00244BA7">
        <w:rPr>
          <w:rFonts w:eastAsia="Calibri" w:cs="Calibri"/>
        </w:rPr>
        <w:t>.  </w:t>
      </w:r>
      <w:r w:rsidR="003F1338">
        <w:rPr>
          <w:rFonts w:eastAsia="Calibri" w:cs="Calibri"/>
        </w:rPr>
        <w:t xml:space="preserve"> </w:t>
      </w:r>
    </w:p>
    <w:p w14:paraId="756932FA" w14:textId="77777777" w:rsidR="00C63E8D" w:rsidRDefault="00C63E8D" w:rsidP="00482F53">
      <w:pPr>
        <w:rPr>
          <w:rFonts w:eastAsia="Calibri" w:cs="Calibri"/>
          <w:b/>
          <w:bCs/>
        </w:rPr>
      </w:pPr>
    </w:p>
    <w:p w14:paraId="62A29EFA" w14:textId="2368AAEB" w:rsidR="005E1A5B" w:rsidRPr="00880887" w:rsidRDefault="005E1A5B" w:rsidP="005E1A5B">
      <w:pPr>
        <w:rPr>
          <w:rFonts w:eastAsia="Calibri" w:cs="Calibri"/>
          <w:b/>
          <w:bCs/>
        </w:rPr>
      </w:pPr>
      <w:r w:rsidRPr="75D42196">
        <w:rPr>
          <w:rFonts w:eastAsia="Calibri" w:cs="Calibri"/>
          <w:b/>
          <w:bCs/>
        </w:rPr>
        <w:t xml:space="preserve">SAMM 8b - </w:t>
      </w:r>
      <w:r w:rsidRPr="75D42196">
        <w:rPr>
          <w:rFonts w:cs="Calibri"/>
          <w:b/>
          <w:bCs/>
        </w:rPr>
        <w:t xml:space="preserve">Average current serious penalty in private sector – total </w:t>
      </w:r>
      <w:r w:rsidRPr="00880887">
        <w:rPr>
          <w:rFonts w:cs="Calibri"/>
          <w:b/>
          <w:bCs/>
        </w:rPr>
        <w:t>(26-100 workers)</w:t>
      </w:r>
    </w:p>
    <w:p w14:paraId="13B9BAEF" w14:textId="77777777" w:rsidR="005E1A5B" w:rsidRPr="00880887" w:rsidRDefault="005E1A5B" w:rsidP="005E1A5B">
      <w:pPr>
        <w:rPr>
          <w:rFonts w:eastAsia="Calibri" w:cs="Calibri"/>
          <w:b/>
          <w:bCs/>
        </w:rPr>
      </w:pPr>
    </w:p>
    <w:p w14:paraId="22DA3679" w14:textId="1792DEB6" w:rsidR="00234346" w:rsidRPr="00993E7A" w:rsidRDefault="00234346" w:rsidP="00234346">
      <w:pPr>
        <w:rPr>
          <w:rFonts w:eastAsia="Calibri" w:cs="Calibri"/>
        </w:rPr>
      </w:pPr>
      <w:r w:rsidRPr="00880887">
        <w:rPr>
          <w:rFonts w:eastAsia="Calibri" w:cs="Calibri"/>
          <w:b/>
          <w:bCs/>
        </w:rPr>
        <w:t xml:space="preserve">Discussion of </w:t>
      </w:r>
      <w:r w:rsidR="01B80D72" w:rsidRPr="00880887">
        <w:rPr>
          <w:rFonts w:eastAsia="Calibri" w:cs="Calibri"/>
          <w:b/>
          <w:bCs/>
        </w:rPr>
        <w:t>ADOSH’s</w:t>
      </w:r>
      <w:r w:rsidRPr="00880887">
        <w:rPr>
          <w:rFonts w:eastAsia="Calibri" w:cs="Calibri"/>
          <w:b/>
          <w:bCs/>
        </w:rPr>
        <w:t xml:space="preserve"> Data and FRL:</w:t>
      </w:r>
      <w:r w:rsidR="76850EBD" w:rsidRPr="00880887">
        <w:rPr>
          <w:rFonts w:eastAsia="Calibri" w:cs="Calibri"/>
        </w:rPr>
        <w:t xml:space="preserve"> </w:t>
      </w:r>
      <w:r w:rsidR="2635BA1F" w:rsidRPr="00880887">
        <w:rPr>
          <w:rFonts w:eastAsia="Calibri" w:cs="Calibri"/>
        </w:rPr>
        <w:t xml:space="preserve">The FRL for the average current penalty for </w:t>
      </w:r>
      <w:r w:rsidR="1F530109" w:rsidRPr="00880887">
        <w:rPr>
          <w:rFonts w:eastAsia="Calibri" w:cs="Calibri"/>
        </w:rPr>
        <w:t>26-100</w:t>
      </w:r>
      <w:r w:rsidR="2635BA1F" w:rsidRPr="00880887">
        <w:rPr>
          <w:rFonts w:eastAsia="Calibri" w:cs="Calibri"/>
        </w:rPr>
        <w:t xml:space="preserve"> workers was +/- 25% of $</w:t>
      </w:r>
      <w:r w:rsidR="35289EF1" w:rsidRPr="00880887">
        <w:rPr>
          <w:rFonts w:eastAsia="Calibri" w:cs="Calibri"/>
        </w:rPr>
        <w:t>4,322.61</w:t>
      </w:r>
      <w:r w:rsidR="2635BA1F" w:rsidRPr="00880887">
        <w:rPr>
          <w:rFonts w:eastAsia="Calibri" w:cs="Calibri"/>
        </w:rPr>
        <w:t>, which was based on a three-year national average and provides a range of $</w:t>
      </w:r>
      <w:r w:rsidR="1D819731" w:rsidRPr="00880887">
        <w:rPr>
          <w:rFonts w:eastAsia="Calibri" w:cs="Calibri"/>
        </w:rPr>
        <w:t>3,241.96 to $5,403.26</w:t>
      </w:r>
      <w:r w:rsidR="2635BA1F" w:rsidRPr="00880887">
        <w:rPr>
          <w:rFonts w:eastAsia="Calibri" w:cs="Calibri"/>
        </w:rPr>
        <w:t xml:space="preserve">.  In Arizona, employers with </w:t>
      </w:r>
      <w:r w:rsidR="00880887" w:rsidRPr="00880887">
        <w:rPr>
          <w:rFonts w:eastAsia="Calibri" w:cs="Calibri"/>
        </w:rPr>
        <w:t>26-100</w:t>
      </w:r>
      <w:r w:rsidR="2635BA1F" w:rsidRPr="00880887">
        <w:rPr>
          <w:rFonts w:eastAsia="Calibri" w:cs="Calibri"/>
        </w:rPr>
        <w:t xml:space="preserve"> workers</w:t>
      </w:r>
      <w:r w:rsidR="2635BA1F" w:rsidRPr="75D42196">
        <w:rPr>
          <w:rFonts w:eastAsia="Calibri" w:cs="Calibri"/>
        </w:rPr>
        <w:t xml:space="preserve"> were penalized at an average of $</w:t>
      </w:r>
      <w:r w:rsidR="35289EF1" w:rsidRPr="75D42196">
        <w:rPr>
          <w:rFonts w:eastAsia="Calibri" w:cs="Calibri"/>
        </w:rPr>
        <w:t>6,002.66</w:t>
      </w:r>
      <w:r w:rsidR="2635BA1F" w:rsidRPr="75D42196">
        <w:rPr>
          <w:rFonts w:eastAsia="Calibri" w:cs="Calibri"/>
        </w:rPr>
        <w:t xml:space="preserve"> per serious violation, which was above the FRL range.  </w:t>
      </w:r>
    </w:p>
    <w:p w14:paraId="28687CF3" w14:textId="77777777" w:rsidR="00234346" w:rsidRDefault="00234346" w:rsidP="00234346">
      <w:pPr>
        <w:rPr>
          <w:rFonts w:eastAsia="Calibri" w:cs="Calibri"/>
          <w:b/>
          <w:bCs/>
        </w:rPr>
      </w:pPr>
    </w:p>
    <w:p w14:paraId="4B8E4A92" w14:textId="66764115" w:rsidR="00234346" w:rsidRPr="007B0D78" w:rsidRDefault="00234346" w:rsidP="00234346">
      <w:pPr>
        <w:rPr>
          <w:rFonts w:eastAsia="Calibri" w:cs="Calibri"/>
        </w:rPr>
      </w:pPr>
      <w:r w:rsidRPr="00F549EB">
        <w:rPr>
          <w:rFonts w:eastAsia="Calibri" w:cs="Calibri"/>
          <w:b/>
          <w:bCs/>
        </w:rPr>
        <w:t>Explanation:</w:t>
      </w:r>
      <w:r>
        <w:rPr>
          <w:rFonts w:eastAsia="Calibri" w:cs="Calibri"/>
          <w:b/>
          <w:bCs/>
        </w:rPr>
        <w:t xml:space="preserve">  </w:t>
      </w:r>
      <w:r w:rsidR="00D052E1" w:rsidRPr="00244BA7">
        <w:rPr>
          <w:rFonts w:eastAsia="Calibri" w:cs="Calibri"/>
        </w:rPr>
        <w:t>A</w:t>
      </w:r>
      <w:r w:rsidR="00D052E1">
        <w:rPr>
          <w:rFonts w:eastAsia="Calibri" w:cs="Calibri"/>
        </w:rPr>
        <w:t>D</w:t>
      </w:r>
      <w:r w:rsidR="00D052E1" w:rsidRPr="00244BA7">
        <w:rPr>
          <w:rFonts w:eastAsia="Calibri" w:cs="Calibri"/>
        </w:rPr>
        <w:t xml:space="preserve">OSH’s average current </w:t>
      </w:r>
      <w:r w:rsidR="00D052E1">
        <w:rPr>
          <w:rFonts w:eastAsia="Calibri" w:cs="Calibri"/>
        </w:rPr>
        <w:t xml:space="preserve">serious </w:t>
      </w:r>
      <w:r w:rsidR="00D052E1" w:rsidRPr="00244BA7">
        <w:rPr>
          <w:rFonts w:eastAsia="Calibri" w:cs="Calibri"/>
        </w:rPr>
        <w:t xml:space="preserve">penalty </w:t>
      </w:r>
      <w:r w:rsidR="00D052E1">
        <w:rPr>
          <w:rFonts w:eastAsia="Calibri" w:cs="Calibri"/>
        </w:rPr>
        <w:t>in private sector for businesses with</w:t>
      </w:r>
      <w:r w:rsidR="008C5C06">
        <w:rPr>
          <w:rFonts w:eastAsia="Calibri" w:cs="Calibri"/>
        </w:rPr>
        <w:t xml:space="preserve"> </w:t>
      </w:r>
      <w:r w:rsidR="00D052E1">
        <w:rPr>
          <w:rFonts w:eastAsia="Calibri" w:cs="Calibri"/>
        </w:rPr>
        <w:t>2</w:t>
      </w:r>
      <w:r w:rsidR="008C5C06">
        <w:rPr>
          <w:rFonts w:eastAsia="Calibri" w:cs="Calibri"/>
        </w:rPr>
        <w:t>6-100</w:t>
      </w:r>
      <w:r w:rsidR="00D052E1">
        <w:rPr>
          <w:rFonts w:eastAsia="Calibri" w:cs="Calibri"/>
        </w:rPr>
        <w:t xml:space="preserve"> workers increased from an average of $</w:t>
      </w:r>
      <w:r w:rsidR="008C5C06">
        <w:rPr>
          <w:rFonts w:eastAsia="Calibri" w:cs="Calibri"/>
        </w:rPr>
        <w:t>3,776.72</w:t>
      </w:r>
      <w:r w:rsidR="00D052E1">
        <w:rPr>
          <w:rFonts w:eastAsia="Calibri" w:cs="Calibri"/>
        </w:rPr>
        <w:t xml:space="preserve"> the previous year and was above the national average for FY 2024.  This was not</w:t>
      </w:r>
      <w:r w:rsidR="00D052E1" w:rsidRPr="00244BA7">
        <w:rPr>
          <w:rFonts w:eastAsia="Calibri" w:cs="Calibri"/>
        </w:rPr>
        <w:t xml:space="preserve"> a cause for concern.  OSHA will continue to monitor this metric </w:t>
      </w:r>
      <w:r w:rsidR="00D052E1">
        <w:rPr>
          <w:rFonts w:eastAsia="Calibri" w:cs="Calibri"/>
        </w:rPr>
        <w:t>through the SAMM report</w:t>
      </w:r>
      <w:r w:rsidR="00D052E1" w:rsidRPr="00244BA7">
        <w:rPr>
          <w:rFonts w:eastAsia="Calibri" w:cs="Calibri"/>
        </w:rPr>
        <w:t>.  </w:t>
      </w:r>
    </w:p>
    <w:p w14:paraId="04CF46AB" w14:textId="77777777" w:rsidR="005E1A5B" w:rsidRDefault="005E1A5B" w:rsidP="00482F53">
      <w:pPr>
        <w:rPr>
          <w:rFonts w:eastAsia="Calibri" w:cs="Calibri"/>
          <w:b/>
          <w:bCs/>
        </w:rPr>
      </w:pPr>
    </w:p>
    <w:p w14:paraId="3303FB17" w14:textId="0B28E9CE" w:rsidR="005E1A5B" w:rsidRDefault="005E1A5B" w:rsidP="005E1A5B">
      <w:pPr>
        <w:rPr>
          <w:rFonts w:eastAsia="Calibri" w:cs="Calibri"/>
          <w:b/>
          <w:bCs/>
        </w:rPr>
      </w:pPr>
      <w:r w:rsidRPr="090008D6">
        <w:rPr>
          <w:rFonts w:eastAsia="Calibri" w:cs="Calibri"/>
          <w:b/>
          <w:bCs/>
        </w:rPr>
        <w:t xml:space="preserve">SAMM </w:t>
      </w:r>
      <w:r>
        <w:rPr>
          <w:rFonts w:eastAsia="Calibri" w:cs="Calibri"/>
          <w:b/>
          <w:bCs/>
        </w:rPr>
        <w:t xml:space="preserve">8c - </w:t>
      </w:r>
      <w:r>
        <w:rPr>
          <w:rFonts w:cs="Calibri"/>
          <w:b/>
          <w:bCs/>
        </w:rPr>
        <w:t>Average current serious penalty in private sector – total (101-250 workers)</w:t>
      </w:r>
    </w:p>
    <w:p w14:paraId="3AC47CCE" w14:textId="77777777" w:rsidR="005E1A5B" w:rsidRDefault="005E1A5B" w:rsidP="005E1A5B">
      <w:pPr>
        <w:rPr>
          <w:rFonts w:eastAsia="Calibri" w:cs="Calibri"/>
          <w:b/>
          <w:bCs/>
        </w:rPr>
      </w:pPr>
    </w:p>
    <w:p w14:paraId="676D29AB" w14:textId="278A402C" w:rsidR="00234346" w:rsidRPr="00993E7A" w:rsidRDefault="00234346" w:rsidP="00234346">
      <w:pPr>
        <w:rPr>
          <w:rFonts w:eastAsia="Calibri" w:cs="Calibri"/>
        </w:rPr>
      </w:pPr>
      <w:r w:rsidRPr="08722B81">
        <w:rPr>
          <w:rFonts w:eastAsia="Calibri"/>
          <w:b/>
          <w:bCs/>
        </w:rPr>
        <w:t xml:space="preserve">Discussion of </w:t>
      </w:r>
      <w:r w:rsidR="0078AAFB" w:rsidRPr="08722B81">
        <w:rPr>
          <w:rFonts w:eastAsia="Calibri"/>
          <w:b/>
          <w:bCs/>
        </w:rPr>
        <w:t>ADOSH’s</w:t>
      </w:r>
      <w:r w:rsidRPr="08722B81">
        <w:rPr>
          <w:rFonts w:eastAsia="Calibri"/>
          <w:b/>
          <w:bCs/>
        </w:rPr>
        <w:t xml:space="preserve"> Data and FRL:</w:t>
      </w:r>
      <w:r w:rsidR="62CF58C5" w:rsidRPr="08722B81">
        <w:rPr>
          <w:rFonts w:eastAsia="Calibri" w:cs="Calibri"/>
        </w:rPr>
        <w:t xml:space="preserve"> The FRL for the average current penalty for 101-250 workers was +/- 25% of $6,114.84, which was based on a three-year national average and provides a range of $4,586.13 to $7,643.55.  In </w:t>
      </w:r>
      <w:r w:rsidR="4FC7766D" w:rsidRPr="08722B81">
        <w:rPr>
          <w:rFonts w:eastAsia="Calibri" w:cs="Calibri"/>
        </w:rPr>
        <w:t>Arizona</w:t>
      </w:r>
      <w:r w:rsidR="62CF58C5" w:rsidRPr="08722B81">
        <w:rPr>
          <w:rFonts w:eastAsia="Calibri" w:cs="Calibri"/>
        </w:rPr>
        <w:t>, employers with 101-250 workers were penalized at an average of $</w:t>
      </w:r>
      <w:r w:rsidR="566E819C" w:rsidRPr="08722B81">
        <w:rPr>
          <w:rFonts w:eastAsia="Calibri" w:cs="Calibri"/>
        </w:rPr>
        <w:t>7,782.44</w:t>
      </w:r>
      <w:r w:rsidR="62CF58C5" w:rsidRPr="08722B81">
        <w:rPr>
          <w:rFonts w:eastAsia="Calibri" w:cs="Calibri"/>
        </w:rPr>
        <w:t xml:space="preserve"> per serious violation, which was </w:t>
      </w:r>
      <w:r w:rsidR="566E819C" w:rsidRPr="08722B81">
        <w:rPr>
          <w:rFonts w:eastAsia="Calibri" w:cs="Calibri"/>
        </w:rPr>
        <w:t>slightly above</w:t>
      </w:r>
      <w:r w:rsidR="62CF58C5" w:rsidRPr="08722B81">
        <w:rPr>
          <w:rFonts w:eastAsia="Calibri" w:cs="Calibri"/>
        </w:rPr>
        <w:t xml:space="preserve"> the FRL range.  </w:t>
      </w:r>
    </w:p>
    <w:p w14:paraId="61E4604F" w14:textId="77777777" w:rsidR="00234346" w:rsidRDefault="00234346" w:rsidP="00234346">
      <w:pPr>
        <w:rPr>
          <w:rFonts w:eastAsia="Calibri" w:cs="Calibri"/>
          <w:b/>
          <w:bCs/>
        </w:rPr>
      </w:pPr>
    </w:p>
    <w:p w14:paraId="114F92B7" w14:textId="5B004F0F" w:rsidR="00234346" w:rsidRPr="007B0D78" w:rsidRDefault="00234346" w:rsidP="00234346">
      <w:pPr>
        <w:rPr>
          <w:rFonts w:eastAsia="Calibri" w:cs="Calibri"/>
        </w:rPr>
      </w:pPr>
      <w:r w:rsidRPr="00F549EB">
        <w:rPr>
          <w:rFonts w:eastAsia="Calibri" w:cs="Calibri"/>
          <w:b/>
          <w:bCs/>
        </w:rPr>
        <w:t>Explanation:</w:t>
      </w:r>
      <w:r>
        <w:rPr>
          <w:rFonts w:eastAsia="Calibri" w:cs="Calibri"/>
          <w:b/>
          <w:bCs/>
        </w:rPr>
        <w:t xml:space="preserve">  </w:t>
      </w:r>
      <w:r w:rsidR="00DC7D62" w:rsidRPr="00244BA7">
        <w:rPr>
          <w:rFonts w:eastAsia="Calibri" w:cs="Calibri"/>
        </w:rPr>
        <w:t>A</w:t>
      </w:r>
      <w:r w:rsidR="00DC7D62">
        <w:rPr>
          <w:rFonts w:eastAsia="Calibri" w:cs="Calibri"/>
        </w:rPr>
        <w:t>D</w:t>
      </w:r>
      <w:r w:rsidR="00DC7D62" w:rsidRPr="00244BA7">
        <w:rPr>
          <w:rFonts w:eastAsia="Calibri" w:cs="Calibri"/>
        </w:rPr>
        <w:t xml:space="preserve">OSH’s average current </w:t>
      </w:r>
      <w:r w:rsidR="00DC7D62">
        <w:rPr>
          <w:rFonts w:eastAsia="Calibri" w:cs="Calibri"/>
        </w:rPr>
        <w:t xml:space="preserve">serious </w:t>
      </w:r>
      <w:r w:rsidR="00DC7D62" w:rsidRPr="00244BA7">
        <w:rPr>
          <w:rFonts w:eastAsia="Calibri" w:cs="Calibri"/>
        </w:rPr>
        <w:t xml:space="preserve">penalty </w:t>
      </w:r>
      <w:r w:rsidR="00DC7D62">
        <w:rPr>
          <w:rFonts w:eastAsia="Calibri" w:cs="Calibri"/>
        </w:rPr>
        <w:t>in private sector for businesses with 101-250 workers increased from an average of $</w:t>
      </w:r>
      <w:r w:rsidR="00734F15">
        <w:rPr>
          <w:rFonts w:eastAsia="Calibri" w:cs="Calibri"/>
        </w:rPr>
        <w:t>4,216.93</w:t>
      </w:r>
      <w:r w:rsidR="00DC7D62">
        <w:rPr>
          <w:rFonts w:eastAsia="Calibri" w:cs="Calibri"/>
        </w:rPr>
        <w:t xml:space="preserve"> the previous year and was above the national average for FY 2024.  This was not</w:t>
      </w:r>
      <w:r w:rsidR="00DC7D62" w:rsidRPr="00244BA7">
        <w:rPr>
          <w:rFonts w:eastAsia="Calibri" w:cs="Calibri"/>
        </w:rPr>
        <w:t xml:space="preserve"> a cause for concern.  OSHA will continue to monitor this metric </w:t>
      </w:r>
      <w:r w:rsidR="00DC7D62">
        <w:rPr>
          <w:rFonts w:eastAsia="Calibri" w:cs="Calibri"/>
        </w:rPr>
        <w:t>through the SAMM report</w:t>
      </w:r>
      <w:r w:rsidR="00DC7D62" w:rsidRPr="00244BA7">
        <w:rPr>
          <w:rFonts w:eastAsia="Calibri" w:cs="Calibri"/>
        </w:rPr>
        <w:t>.  </w:t>
      </w:r>
    </w:p>
    <w:p w14:paraId="412139B3" w14:textId="77777777" w:rsidR="005E1A5B" w:rsidRDefault="005E1A5B" w:rsidP="00482F53">
      <w:pPr>
        <w:rPr>
          <w:rFonts w:eastAsia="Calibri" w:cs="Calibri"/>
          <w:b/>
          <w:bCs/>
        </w:rPr>
      </w:pPr>
    </w:p>
    <w:p w14:paraId="3CA8F8C4" w14:textId="1382DE2F" w:rsidR="005E1A5B" w:rsidRDefault="005E1A5B" w:rsidP="005E1A5B">
      <w:pPr>
        <w:rPr>
          <w:rFonts w:eastAsia="Calibri" w:cs="Calibri"/>
          <w:b/>
          <w:bCs/>
        </w:rPr>
      </w:pPr>
      <w:r w:rsidRPr="090008D6">
        <w:rPr>
          <w:rFonts w:eastAsia="Calibri" w:cs="Calibri"/>
          <w:b/>
          <w:bCs/>
        </w:rPr>
        <w:t xml:space="preserve">SAMM </w:t>
      </w:r>
      <w:r>
        <w:rPr>
          <w:rFonts w:eastAsia="Calibri" w:cs="Calibri"/>
          <w:b/>
          <w:bCs/>
        </w:rPr>
        <w:t xml:space="preserve">8d - </w:t>
      </w:r>
      <w:r>
        <w:rPr>
          <w:rFonts w:cs="Calibri"/>
          <w:b/>
          <w:bCs/>
        </w:rPr>
        <w:t>Average current serious penalty in private sector – total (greater than 250 workers)</w:t>
      </w:r>
    </w:p>
    <w:p w14:paraId="395C5277" w14:textId="77777777" w:rsidR="005E1A5B" w:rsidRDefault="005E1A5B" w:rsidP="005E1A5B">
      <w:pPr>
        <w:rPr>
          <w:rFonts w:eastAsia="Calibri" w:cs="Calibri"/>
          <w:b/>
          <w:bCs/>
        </w:rPr>
      </w:pPr>
    </w:p>
    <w:p w14:paraId="68AC1EE9" w14:textId="57786E8E" w:rsidR="00234346" w:rsidRPr="00993E7A" w:rsidRDefault="00234346" w:rsidP="00234346">
      <w:pPr>
        <w:rPr>
          <w:rFonts w:eastAsia="Calibri" w:cs="Calibri"/>
        </w:rPr>
      </w:pPr>
      <w:r w:rsidRPr="08722B81">
        <w:rPr>
          <w:rFonts w:eastAsia="Calibri" w:cs="Calibri"/>
          <w:b/>
          <w:bCs/>
        </w:rPr>
        <w:t xml:space="preserve">Discussion of </w:t>
      </w:r>
      <w:r w:rsidR="080DA36B" w:rsidRPr="08722B81">
        <w:rPr>
          <w:rFonts w:eastAsia="Calibri" w:cs="Calibri"/>
          <w:b/>
          <w:bCs/>
        </w:rPr>
        <w:t>ADOSH’s</w:t>
      </w:r>
      <w:r w:rsidRPr="08722B81">
        <w:rPr>
          <w:rFonts w:eastAsia="Calibri" w:cs="Calibri"/>
          <w:b/>
          <w:bCs/>
        </w:rPr>
        <w:t xml:space="preserve"> Data and FRL:</w:t>
      </w:r>
      <w:r w:rsidR="2DFC89AF" w:rsidRPr="08722B81">
        <w:rPr>
          <w:rFonts w:eastAsia="Calibri" w:cs="Calibri"/>
        </w:rPr>
        <w:t xml:space="preserve"> The FRL for the average current penalty for 250+ workers was +/- 25% of $7,533.58, which was based on a three-year national average and provides a range of $5,650.19 to $9,416.98.  In Arizona, employers with greater than 250 workers were penalized at an average of $</w:t>
      </w:r>
      <w:r w:rsidR="76850EBD" w:rsidRPr="08722B81">
        <w:rPr>
          <w:rFonts w:eastAsia="Calibri" w:cs="Calibri"/>
        </w:rPr>
        <w:t>9,720.80</w:t>
      </w:r>
      <w:r w:rsidR="2DFC89AF" w:rsidRPr="08722B81">
        <w:rPr>
          <w:rFonts w:eastAsia="Calibri" w:cs="Calibri"/>
        </w:rPr>
        <w:t xml:space="preserve"> per serious violation, which was</w:t>
      </w:r>
      <w:r w:rsidR="76850EBD" w:rsidRPr="08722B81">
        <w:rPr>
          <w:rFonts w:eastAsia="Calibri" w:cs="Calibri"/>
        </w:rPr>
        <w:t xml:space="preserve"> slightly</w:t>
      </w:r>
      <w:r w:rsidR="2DFC89AF" w:rsidRPr="08722B81">
        <w:rPr>
          <w:rFonts w:eastAsia="Calibri" w:cs="Calibri"/>
        </w:rPr>
        <w:t xml:space="preserve"> above the FRL range.  </w:t>
      </w:r>
    </w:p>
    <w:p w14:paraId="2E2AC7EF" w14:textId="77777777" w:rsidR="00234346" w:rsidRDefault="00234346" w:rsidP="00234346">
      <w:pPr>
        <w:rPr>
          <w:rFonts w:eastAsia="Calibri" w:cs="Calibri"/>
          <w:b/>
          <w:bCs/>
        </w:rPr>
      </w:pPr>
    </w:p>
    <w:p w14:paraId="3A44D5E5" w14:textId="423628A9" w:rsidR="00234346" w:rsidRPr="007B0D78" w:rsidRDefault="00234346" w:rsidP="00234346">
      <w:pPr>
        <w:rPr>
          <w:rFonts w:eastAsia="Calibri" w:cs="Calibri"/>
        </w:rPr>
      </w:pPr>
      <w:r w:rsidRPr="00F549EB">
        <w:rPr>
          <w:rFonts w:eastAsia="Calibri" w:cs="Calibri"/>
          <w:b/>
          <w:bCs/>
        </w:rPr>
        <w:t>Explanation:</w:t>
      </w:r>
      <w:r>
        <w:rPr>
          <w:rFonts w:eastAsia="Calibri" w:cs="Calibri"/>
          <w:b/>
          <w:bCs/>
        </w:rPr>
        <w:t xml:space="preserve">  </w:t>
      </w:r>
      <w:r w:rsidR="00E34DD4" w:rsidRPr="00244BA7">
        <w:rPr>
          <w:rFonts w:eastAsia="Calibri" w:cs="Calibri"/>
        </w:rPr>
        <w:t>A</w:t>
      </w:r>
      <w:r w:rsidR="00E34DD4">
        <w:rPr>
          <w:rFonts w:eastAsia="Calibri" w:cs="Calibri"/>
        </w:rPr>
        <w:t>D</w:t>
      </w:r>
      <w:r w:rsidR="00E34DD4" w:rsidRPr="00244BA7">
        <w:rPr>
          <w:rFonts w:eastAsia="Calibri" w:cs="Calibri"/>
        </w:rPr>
        <w:t xml:space="preserve">OSH’s average current </w:t>
      </w:r>
      <w:r w:rsidR="00E34DD4">
        <w:rPr>
          <w:rFonts w:eastAsia="Calibri" w:cs="Calibri"/>
        </w:rPr>
        <w:t xml:space="preserve">serious </w:t>
      </w:r>
      <w:r w:rsidR="00E34DD4" w:rsidRPr="00244BA7">
        <w:rPr>
          <w:rFonts w:eastAsia="Calibri" w:cs="Calibri"/>
        </w:rPr>
        <w:t xml:space="preserve">penalty </w:t>
      </w:r>
      <w:r w:rsidR="00E34DD4">
        <w:rPr>
          <w:rFonts w:eastAsia="Calibri" w:cs="Calibri"/>
        </w:rPr>
        <w:t xml:space="preserve">in private sector for businesses with </w:t>
      </w:r>
      <w:r w:rsidR="00303C29">
        <w:rPr>
          <w:rFonts w:eastAsia="Calibri" w:cs="Calibri"/>
        </w:rPr>
        <w:t xml:space="preserve">greater than </w:t>
      </w:r>
      <w:r w:rsidR="00E34DD4">
        <w:rPr>
          <w:rFonts w:eastAsia="Calibri" w:cs="Calibri"/>
        </w:rPr>
        <w:t>250 workers increased from an average of $</w:t>
      </w:r>
      <w:r w:rsidR="00303C29">
        <w:rPr>
          <w:rFonts w:eastAsia="Calibri" w:cs="Calibri"/>
        </w:rPr>
        <w:t>8,169.21</w:t>
      </w:r>
      <w:r w:rsidR="00E34DD4">
        <w:rPr>
          <w:rFonts w:eastAsia="Calibri" w:cs="Calibri"/>
        </w:rPr>
        <w:t xml:space="preserve"> the previous year and was above the national average for FY 2024.  This was not</w:t>
      </w:r>
      <w:r w:rsidR="00E34DD4" w:rsidRPr="00244BA7">
        <w:rPr>
          <w:rFonts w:eastAsia="Calibri" w:cs="Calibri"/>
        </w:rPr>
        <w:t xml:space="preserve"> a cause for concern.  OSHA will continue to monitor this metric </w:t>
      </w:r>
      <w:r w:rsidR="00E34DD4">
        <w:rPr>
          <w:rFonts w:eastAsia="Calibri" w:cs="Calibri"/>
        </w:rPr>
        <w:t>through the SAMM report</w:t>
      </w:r>
      <w:r w:rsidR="00E34DD4" w:rsidRPr="00244BA7">
        <w:rPr>
          <w:rFonts w:eastAsia="Calibri" w:cs="Calibri"/>
        </w:rPr>
        <w:t>.  </w:t>
      </w:r>
    </w:p>
    <w:p w14:paraId="1189C8F3" w14:textId="77777777" w:rsidR="00482F53" w:rsidRDefault="00482F53" w:rsidP="00482F53">
      <w:pPr>
        <w:rPr>
          <w:rFonts w:eastAsia="Calibri" w:cs="Calibri"/>
          <w:b/>
          <w:bCs/>
        </w:rPr>
      </w:pPr>
    </w:p>
    <w:p w14:paraId="6C544150" w14:textId="13DB5D8F" w:rsidR="00A739EA" w:rsidRDefault="00A739EA" w:rsidP="00A739EA">
      <w:pPr>
        <w:rPr>
          <w:rFonts w:eastAsia="Calibri" w:cs="Calibri"/>
          <w:b/>
          <w:bCs/>
        </w:rPr>
      </w:pPr>
      <w:r w:rsidRPr="090008D6">
        <w:rPr>
          <w:rFonts w:eastAsia="Calibri" w:cs="Calibri"/>
          <w:b/>
          <w:bCs/>
        </w:rPr>
        <w:t xml:space="preserve">SAMM </w:t>
      </w:r>
      <w:r>
        <w:rPr>
          <w:rFonts w:eastAsia="Calibri" w:cs="Calibri"/>
          <w:b/>
          <w:bCs/>
        </w:rPr>
        <w:t xml:space="preserve">9b – </w:t>
      </w:r>
      <w:r>
        <w:rPr>
          <w:rFonts w:cs="Calibri"/>
          <w:b/>
          <w:bCs/>
        </w:rPr>
        <w:t>Percent in compliance (health)</w:t>
      </w:r>
    </w:p>
    <w:p w14:paraId="775A8548" w14:textId="77777777" w:rsidR="00A739EA" w:rsidRDefault="00A739EA" w:rsidP="00A739EA">
      <w:pPr>
        <w:rPr>
          <w:rFonts w:eastAsia="Calibri" w:cs="Calibri"/>
          <w:b/>
          <w:bCs/>
        </w:rPr>
      </w:pPr>
    </w:p>
    <w:p w14:paraId="74256E09" w14:textId="7B24FFA3" w:rsidR="00234346" w:rsidRPr="00993E7A" w:rsidRDefault="00234346" w:rsidP="00234346">
      <w:pPr>
        <w:rPr>
          <w:rFonts w:eastAsia="Calibri" w:cs="Calibri"/>
        </w:rPr>
      </w:pPr>
      <w:r w:rsidRPr="08722B81">
        <w:rPr>
          <w:rFonts w:eastAsia="Calibri" w:cs="Calibri"/>
          <w:b/>
          <w:bCs/>
        </w:rPr>
        <w:t xml:space="preserve">Discussion of </w:t>
      </w:r>
      <w:r w:rsidR="322F0EA0" w:rsidRPr="08722B81">
        <w:rPr>
          <w:rFonts w:eastAsia="Calibri" w:cs="Calibri"/>
          <w:b/>
          <w:bCs/>
        </w:rPr>
        <w:t>ADOSH’s</w:t>
      </w:r>
      <w:r w:rsidRPr="08722B81">
        <w:rPr>
          <w:rFonts w:eastAsia="Calibri" w:cs="Calibri"/>
          <w:b/>
          <w:bCs/>
        </w:rPr>
        <w:t xml:space="preserve"> Data and FRL:</w:t>
      </w:r>
      <w:r w:rsidR="010A2236" w:rsidRPr="08722B81">
        <w:rPr>
          <w:rFonts w:eastAsia="Calibri" w:cs="Calibri"/>
        </w:rPr>
        <w:t xml:space="preserve">  The FRL for percent in</w:t>
      </w:r>
      <w:r w:rsidR="28A226F7" w:rsidRPr="08722B81">
        <w:rPr>
          <w:rFonts w:eastAsia="Calibri" w:cs="Calibri"/>
        </w:rPr>
        <w:t xml:space="preserve"> </w:t>
      </w:r>
      <w:r w:rsidR="010A2236" w:rsidRPr="08722B81">
        <w:rPr>
          <w:rFonts w:eastAsia="Calibri" w:cs="Calibri"/>
        </w:rPr>
        <w:t>compliance for health inspections</w:t>
      </w:r>
      <w:r w:rsidR="6D046920" w:rsidRPr="08722B81">
        <w:rPr>
          <w:rFonts w:eastAsia="Calibri" w:cs="Calibri"/>
        </w:rPr>
        <w:t xml:space="preserve"> (SAMM 9b)</w:t>
      </w:r>
      <w:r w:rsidR="010A2236" w:rsidRPr="08722B81">
        <w:rPr>
          <w:rFonts w:eastAsia="Calibri" w:cs="Calibri"/>
        </w:rPr>
        <w:t xml:space="preserve"> is +/- 2</w:t>
      </w:r>
      <w:r w:rsidR="6D046920" w:rsidRPr="08722B81">
        <w:rPr>
          <w:rFonts w:eastAsia="Calibri" w:cs="Calibri"/>
        </w:rPr>
        <w:t>0</w:t>
      </w:r>
      <w:r w:rsidR="010A2236" w:rsidRPr="08722B81">
        <w:rPr>
          <w:rFonts w:eastAsia="Calibri" w:cs="Calibri"/>
        </w:rPr>
        <w:t xml:space="preserve">% of </w:t>
      </w:r>
      <w:r w:rsidR="6D046920" w:rsidRPr="08722B81">
        <w:rPr>
          <w:rFonts w:eastAsia="Calibri" w:cs="Calibri"/>
        </w:rPr>
        <w:t>44.18</w:t>
      </w:r>
      <w:r w:rsidR="010A2236" w:rsidRPr="08722B81">
        <w:rPr>
          <w:rFonts w:eastAsia="Calibri" w:cs="Calibri"/>
        </w:rPr>
        <w:t>%, which was based on a three-year national average and provides a</w:t>
      </w:r>
      <w:r w:rsidR="70DC7C2D" w:rsidRPr="08722B81">
        <w:rPr>
          <w:rFonts w:eastAsia="Calibri" w:cs="Calibri"/>
        </w:rPr>
        <w:t>n acceptable</w:t>
      </w:r>
      <w:r w:rsidR="010A2236" w:rsidRPr="08722B81">
        <w:rPr>
          <w:rFonts w:eastAsia="Calibri" w:cs="Calibri"/>
        </w:rPr>
        <w:t xml:space="preserve"> range of </w:t>
      </w:r>
      <w:r w:rsidR="28A226F7" w:rsidRPr="08722B81">
        <w:rPr>
          <w:rFonts w:eastAsia="Calibri" w:cs="Calibri"/>
        </w:rPr>
        <w:t>35.34</w:t>
      </w:r>
      <w:r w:rsidR="010A2236" w:rsidRPr="08722B81">
        <w:rPr>
          <w:rFonts w:eastAsia="Calibri" w:cs="Calibri"/>
        </w:rPr>
        <w:t xml:space="preserve">% to </w:t>
      </w:r>
      <w:r w:rsidR="28A226F7" w:rsidRPr="08722B81">
        <w:rPr>
          <w:rFonts w:eastAsia="Calibri" w:cs="Calibri"/>
        </w:rPr>
        <w:t>53.01</w:t>
      </w:r>
      <w:r w:rsidR="010A2236" w:rsidRPr="08722B81">
        <w:rPr>
          <w:rFonts w:eastAsia="Calibri" w:cs="Calibri"/>
        </w:rPr>
        <w:t>%.  According to Appendix D, A</w:t>
      </w:r>
      <w:r w:rsidR="28A226F7" w:rsidRPr="08722B81">
        <w:rPr>
          <w:rFonts w:eastAsia="Calibri" w:cs="Calibri"/>
        </w:rPr>
        <w:t>D</w:t>
      </w:r>
      <w:r w:rsidR="010A2236" w:rsidRPr="08722B81">
        <w:rPr>
          <w:rFonts w:eastAsia="Calibri" w:cs="Calibri"/>
        </w:rPr>
        <w:t xml:space="preserve">OSH’s </w:t>
      </w:r>
      <w:r w:rsidR="28A226F7" w:rsidRPr="08722B81">
        <w:rPr>
          <w:rFonts w:eastAsia="Calibri" w:cs="Calibri"/>
        </w:rPr>
        <w:t xml:space="preserve">percent in compliance for health inspections was </w:t>
      </w:r>
      <w:r w:rsidR="32A6A776" w:rsidRPr="08722B81">
        <w:rPr>
          <w:rFonts w:eastAsia="Calibri" w:cs="Calibri"/>
        </w:rPr>
        <w:t>27.86</w:t>
      </w:r>
      <w:r w:rsidR="010A2236" w:rsidRPr="08722B81">
        <w:rPr>
          <w:rFonts w:eastAsia="Calibri" w:cs="Calibri"/>
        </w:rPr>
        <w:t xml:space="preserve">% and </w:t>
      </w:r>
      <w:r w:rsidR="32A6A776" w:rsidRPr="08722B81">
        <w:rPr>
          <w:rFonts w:eastAsia="Calibri" w:cs="Calibri"/>
        </w:rPr>
        <w:t>below</w:t>
      </w:r>
      <w:r w:rsidR="010A2236" w:rsidRPr="08722B81">
        <w:rPr>
          <w:rFonts w:eastAsia="Calibri" w:cs="Calibri"/>
        </w:rPr>
        <w:t xml:space="preserve"> the FRL. </w:t>
      </w:r>
      <w:r w:rsidR="1E5C6609" w:rsidRPr="08722B81">
        <w:rPr>
          <w:rFonts w:eastAsia="Calibri" w:cs="Calibri"/>
        </w:rPr>
        <w:t xml:space="preserve"> </w:t>
      </w:r>
    </w:p>
    <w:p w14:paraId="5AFB371E" w14:textId="77777777" w:rsidR="00234346" w:rsidRDefault="00234346" w:rsidP="00234346">
      <w:pPr>
        <w:rPr>
          <w:rFonts w:eastAsia="Calibri" w:cs="Calibri"/>
          <w:b/>
          <w:bCs/>
        </w:rPr>
      </w:pPr>
    </w:p>
    <w:p w14:paraId="57B431AA" w14:textId="2E64DA93" w:rsidR="005E73F3" w:rsidRDefault="00234346" w:rsidP="00234346">
      <w:pPr>
        <w:rPr>
          <w:rFonts w:eastAsia="Calibri" w:cs="Calibri"/>
        </w:rPr>
      </w:pPr>
      <w:r w:rsidRPr="08722B81">
        <w:rPr>
          <w:rFonts w:eastAsia="Calibri" w:cs="Calibri"/>
          <w:b/>
          <w:bCs/>
        </w:rPr>
        <w:t xml:space="preserve">Explanation:  </w:t>
      </w:r>
      <w:r w:rsidR="2B18A538" w:rsidRPr="08722B81">
        <w:rPr>
          <w:rFonts w:eastAsia="Calibri" w:cs="Calibri"/>
        </w:rPr>
        <w:t>I</w:t>
      </w:r>
      <w:r w:rsidR="00FA1985" w:rsidRPr="08722B81">
        <w:rPr>
          <w:rFonts w:eastAsia="Calibri" w:cs="Calibri"/>
        </w:rPr>
        <w:t xml:space="preserve">n FY 2024, </w:t>
      </w:r>
      <w:r w:rsidR="005E73F3" w:rsidRPr="08722B81">
        <w:rPr>
          <w:rFonts w:eastAsia="Calibri" w:cs="Calibri"/>
        </w:rPr>
        <w:t xml:space="preserve">ADOSH </w:t>
      </w:r>
      <w:r w:rsidR="00795729" w:rsidRPr="08722B81">
        <w:rPr>
          <w:rFonts w:eastAsia="Calibri" w:cs="Calibri"/>
        </w:rPr>
        <w:t>issu</w:t>
      </w:r>
      <w:r w:rsidR="550DD000" w:rsidRPr="08722B81">
        <w:rPr>
          <w:rFonts w:eastAsia="Calibri" w:cs="Calibri"/>
        </w:rPr>
        <w:t>ed</w:t>
      </w:r>
      <w:r w:rsidR="00795729" w:rsidRPr="08722B81">
        <w:rPr>
          <w:rFonts w:eastAsia="Calibri" w:cs="Calibri"/>
        </w:rPr>
        <w:t xml:space="preserve"> citations</w:t>
      </w:r>
      <w:r w:rsidR="00983F43" w:rsidRPr="08722B81">
        <w:rPr>
          <w:rFonts w:eastAsia="Calibri" w:cs="Calibri"/>
        </w:rPr>
        <w:t xml:space="preserve"> </w:t>
      </w:r>
      <w:r w:rsidR="00CD6E2A" w:rsidRPr="08722B81">
        <w:rPr>
          <w:rFonts w:eastAsia="Calibri" w:cs="Calibri"/>
        </w:rPr>
        <w:t>i</w:t>
      </w:r>
      <w:r w:rsidR="005E73F3" w:rsidRPr="08722B81">
        <w:rPr>
          <w:rFonts w:eastAsia="Calibri" w:cs="Calibri"/>
        </w:rPr>
        <w:t xml:space="preserve">n a greater number of </w:t>
      </w:r>
      <w:r w:rsidR="006D73C3" w:rsidRPr="08722B81">
        <w:rPr>
          <w:rFonts w:eastAsia="Calibri" w:cs="Calibri"/>
        </w:rPr>
        <w:t xml:space="preserve">health </w:t>
      </w:r>
      <w:r w:rsidR="005E73F3" w:rsidRPr="08722B81">
        <w:rPr>
          <w:rFonts w:eastAsia="Calibri" w:cs="Calibri"/>
        </w:rPr>
        <w:t>inspections</w:t>
      </w:r>
      <w:r w:rsidR="0866E179" w:rsidRPr="08722B81">
        <w:rPr>
          <w:rFonts w:eastAsia="Calibri" w:cs="Calibri"/>
        </w:rPr>
        <w:t>, lowering the in-compliance rate</w:t>
      </w:r>
      <w:r w:rsidR="00CD6E2A" w:rsidRPr="08722B81">
        <w:rPr>
          <w:rFonts w:eastAsia="Calibri" w:cs="Calibri"/>
        </w:rPr>
        <w:t xml:space="preserve">.  </w:t>
      </w:r>
      <w:r w:rsidR="00860FAC">
        <w:rPr>
          <w:rFonts w:eastAsia="Calibri" w:cs="Calibri"/>
        </w:rPr>
        <w:t>This indicates that Arizona performed better than the national average</w:t>
      </w:r>
      <w:r w:rsidR="00B13A6A">
        <w:rPr>
          <w:rFonts w:eastAsia="Calibri" w:cs="Calibri"/>
        </w:rPr>
        <w:t xml:space="preserve"> in terms of </w:t>
      </w:r>
      <w:r w:rsidR="00F03C9C">
        <w:rPr>
          <w:rFonts w:eastAsia="Calibri" w:cs="Calibri"/>
        </w:rPr>
        <w:t>identifying and issuing</w:t>
      </w:r>
      <w:r w:rsidR="00B13A6A">
        <w:rPr>
          <w:rFonts w:eastAsia="Calibri" w:cs="Calibri"/>
        </w:rPr>
        <w:t xml:space="preserve"> </w:t>
      </w:r>
      <w:r w:rsidR="00F03C9C">
        <w:rPr>
          <w:rFonts w:eastAsia="Calibri" w:cs="Calibri"/>
        </w:rPr>
        <w:t>citations</w:t>
      </w:r>
      <w:r w:rsidR="00B13A6A">
        <w:rPr>
          <w:rFonts w:eastAsia="Calibri" w:cs="Calibri"/>
        </w:rPr>
        <w:t xml:space="preserve"> </w:t>
      </w:r>
      <w:r w:rsidR="008416E9">
        <w:rPr>
          <w:rFonts w:eastAsia="Calibri" w:cs="Calibri"/>
        </w:rPr>
        <w:t>related to</w:t>
      </w:r>
      <w:r w:rsidR="00B13A6A">
        <w:rPr>
          <w:rFonts w:eastAsia="Calibri" w:cs="Calibri"/>
        </w:rPr>
        <w:t xml:space="preserve"> health inspections.</w:t>
      </w:r>
      <w:r w:rsidR="005E73F3" w:rsidRPr="08722B81">
        <w:rPr>
          <w:rFonts w:eastAsia="Calibri" w:cs="Calibri"/>
        </w:rPr>
        <w:t xml:space="preserve"> </w:t>
      </w:r>
    </w:p>
    <w:p w14:paraId="2261C3AA" w14:textId="77777777" w:rsidR="00482F53" w:rsidRDefault="00482F53" w:rsidP="000B58F1"/>
    <w:p w14:paraId="78C520A1" w14:textId="56C1CDC1" w:rsidR="02D01C39" w:rsidRDefault="02D01C39" w:rsidP="000B58F1">
      <w:r w:rsidRPr="090008D6">
        <w:rPr>
          <w:rFonts w:eastAsia="Calibri" w:cs="Calibri"/>
          <w:b/>
          <w:bCs/>
        </w:rPr>
        <w:t xml:space="preserve">SAMM 10 – Percent of </w:t>
      </w:r>
      <w:r w:rsidR="00A739EA">
        <w:rPr>
          <w:rFonts w:eastAsia="Calibri" w:cs="Calibri"/>
          <w:b/>
          <w:bCs/>
        </w:rPr>
        <w:t>w</w:t>
      </w:r>
      <w:r w:rsidRPr="090008D6">
        <w:rPr>
          <w:rFonts w:eastAsia="Calibri" w:cs="Calibri"/>
          <w:b/>
          <w:bCs/>
        </w:rPr>
        <w:t>ork-</w:t>
      </w:r>
      <w:r w:rsidR="00A739EA">
        <w:rPr>
          <w:rFonts w:eastAsia="Calibri" w:cs="Calibri"/>
          <w:b/>
          <w:bCs/>
        </w:rPr>
        <w:t>r</w:t>
      </w:r>
      <w:r w:rsidRPr="090008D6" w:rsidDel="001C4530">
        <w:rPr>
          <w:rFonts w:eastAsia="Calibri" w:cs="Calibri"/>
          <w:b/>
          <w:bCs/>
        </w:rPr>
        <w:t xml:space="preserve">elated </w:t>
      </w:r>
      <w:r w:rsidR="00A739EA">
        <w:rPr>
          <w:rFonts w:eastAsia="Calibri" w:cs="Calibri"/>
          <w:b/>
          <w:bCs/>
        </w:rPr>
        <w:t>f</w:t>
      </w:r>
      <w:r w:rsidRPr="090008D6" w:rsidDel="001C4530">
        <w:rPr>
          <w:rFonts w:eastAsia="Calibri" w:cs="Calibri"/>
          <w:b/>
          <w:bCs/>
        </w:rPr>
        <w:t xml:space="preserve">atalities </w:t>
      </w:r>
      <w:r w:rsidR="00A739EA">
        <w:rPr>
          <w:rFonts w:eastAsia="Calibri" w:cs="Calibri"/>
          <w:b/>
          <w:bCs/>
        </w:rPr>
        <w:t>r</w:t>
      </w:r>
      <w:r w:rsidRPr="090008D6" w:rsidDel="001C4530">
        <w:rPr>
          <w:rFonts w:eastAsia="Calibri" w:cs="Calibri"/>
          <w:b/>
          <w:bCs/>
        </w:rPr>
        <w:t xml:space="preserve">esponded </w:t>
      </w:r>
      <w:r w:rsidRPr="090008D6">
        <w:rPr>
          <w:rFonts w:eastAsia="Calibri" w:cs="Calibri"/>
          <w:b/>
          <w:bCs/>
        </w:rPr>
        <w:t xml:space="preserve">to in </w:t>
      </w:r>
      <w:r w:rsidR="00A739EA">
        <w:rPr>
          <w:rFonts w:eastAsia="Calibri" w:cs="Calibri"/>
          <w:b/>
          <w:bCs/>
        </w:rPr>
        <w:t>o</w:t>
      </w:r>
      <w:r w:rsidR="00A107C9">
        <w:rPr>
          <w:rFonts w:eastAsia="Calibri" w:cs="Calibri"/>
          <w:b/>
          <w:bCs/>
        </w:rPr>
        <w:t>ne</w:t>
      </w:r>
      <w:r w:rsidRPr="090008D6">
        <w:rPr>
          <w:rFonts w:eastAsia="Calibri" w:cs="Calibri"/>
          <w:b/>
          <w:bCs/>
        </w:rPr>
        <w:t xml:space="preserve"> </w:t>
      </w:r>
      <w:r w:rsidR="00A739EA">
        <w:rPr>
          <w:rFonts w:eastAsia="Calibri" w:cs="Calibri"/>
          <w:b/>
          <w:bCs/>
        </w:rPr>
        <w:t>w</w:t>
      </w:r>
      <w:r w:rsidRPr="090008D6">
        <w:rPr>
          <w:rFonts w:eastAsia="Calibri" w:cs="Calibri"/>
          <w:b/>
          <w:bCs/>
        </w:rPr>
        <w:t>ork</w:t>
      </w:r>
      <w:r w:rsidR="00A107C9">
        <w:rPr>
          <w:rFonts w:eastAsia="Calibri" w:cs="Calibri"/>
          <w:b/>
          <w:bCs/>
        </w:rPr>
        <w:t>day</w:t>
      </w:r>
    </w:p>
    <w:p w14:paraId="6D078C57" w14:textId="31E2372D" w:rsidR="02D01C39" w:rsidRDefault="02D01C39" w:rsidP="000B58F1">
      <w:r w:rsidRPr="090008D6">
        <w:rPr>
          <w:rFonts w:eastAsia="Calibri" w:cs="Calibri"/>
        </w:rPr>
        <w:t xml:space="preserve"> </w:t>
      </w:r>
    </w:p>
    <w:p w14:paraId="2F0091D8" w14:textId="7C3052C9" w:rsidR="02D01C39" w:rsidRPr="00964652" w:rsidRDefault="02D01C39" w:rsidP="000B58F1">
      <w:pPr>
        <w:rPr>
          <w:b/>
          <w:bCs/>
        </w:rPr>
      </w:pPr>
      <w:r w:rsidRPr="08722B81">
        <w:rPr>
          <w:rFonts w:eastAsia="Calibri" w:cs="Calibri"/>
          <w:b/>
          <w:bCs/>
        </w:rPr>
        <w:t xml:space="preserve">Discussion of </w:t>
      </w:r>
      <w:r w:rsidR="61EE0F85" w:rsidRPr="08722B81">
        <w:rPr>
          <w:rFonts w:eastAsia="Calibri" w:cs="Calibri"/>
          <w:b/>
          <w:bCs/>
        </w:rPr>
        <w:t>ADOSH’s</w:t>
      </w:r>
      <w:r w:rsidRPr="08722B81">
        <w:rPr>
          <w:rFonts w:eastAsia="Calibri" w:cs="Calibri"/>
          <w:b/>
          <w:bCs/>
        </w:rPr>
        <w:t xml:space="preserve"> Data and FRL:</w:t>
      </w:r>
      <w:r w:rsidRPr="08722B81">
        <w:rPr>
          <w:rFonts w:eastAsia="Calibri" w:cs="Calibri"/>
        </w:rPr>
        <w:t xml:space="preserve">  The FRL is fixed at 100% for all State Plans.</w:t>
      </w:r>
      <w:r w:rsidR="1884F4C0" w:rsidRPr="08722B81">
        <w:rPr>
          <w:rFonts w:eastAsia="Calibri" w:cs="Calibri"/>
        </w:rPr>
        <w:t xml:space="preserve">  According to Appendix D, </w:t>
      </w:r>
      <w:r w:rsidR="70AE914A" w:rsidRPr="08722B81">
        <w:rPr>
          <w:rFonts w:eastAsia="Calibri" w:cs="Calibri"/>
        </w:rPr>
        <w:t xml:space="preserve">in FY 2024, </w:t>
      </w:r>
      <w:r w:rsidR="1884F4C0" w:rsidRPr="08722B81">
        <w:rPr>
          <w:rFonts w:eastAsia="Calibri" w:cs="Calibri"/>
        </w:rPr>
        <w:t xml:space="preserve">ADOSH’s </w:t>
      </w:r>
      <w:r w:rsidR="7D1FE3FD" w:rsidRPr="08722B81">
        <w:rPr>
          <w:rFonts w:eastAsia="Calibri" w:cs="Calibri"/>
        </w:rPr>
        <w:t>responded to 92.3% of work-related fatalities within one working day</w:t>
      </w:r>
      <w:r w:rsidR="351D0327" w:rsidRPr="08722B81">
        <w:rPr>
          <w:rFonts w:eastAsia="Calibri" w:cs="Calibri"/>
        </w:rPr>
        <w:t xml:space="preserve"> (SAMM 10)</w:t>
      </w:r>
      <w:r w:rsidR="7D1FE3FD" w:rsidRPr="08722B81">
        <w:rPr>
          <w:rFonts w:eastAsia="Calibri" w:cs="Calibri"/>
        </w:rPr>
        <w:t xml:space="preserve">. </w:t>
      </w:r>
    </w:p>
    <w:p w14:paraId="2A2FB0D0" w14:textId="017D7CC2" w:rsidR="02D01C39" w:rsidRDefault="02D01C39" w:rsidP="000B58F1"/>
    <w:p w14:paraId="0B2D1416" w14:textId="403F26E6" w:rsidR="02D01C39" w:rsidRPr="006D6EEE" w:rsidRDefault="02D01C39" w:rsidP="000B58F1">
      <w:pPr>
        <w:rPr>
          <w:rFonts w:eastAsia="Calibri" w:cs="Calibri"/>
        </w:rPr>
      </w:pPr>
      <w:r w:rsidRPr="00F549EB">
        <w:rPr>
          <w:rFonts w:eastAsia="Calibri" w:cs="Calibri"/>
          <w:b/>
          <w:bCs/>
        </w:rPr>
        <w:t>Explanation:</w:t>
      </w:r>
      <w:r w:rsidRPr="3E48814D">
        <w:rPr>
          <w:rFonts w:eastAsia="Calibri" w:cs="Calibri"/>
        </w:rPr>
        <w:t xml:space="preserve">  </w:t>
      </w:r>
      <w:r w:rsidR="00701A74">
        <w:rPr>
          <w:rFonts w:eastAsia="Calibri" w:cs="Calibri"/>
        </w:rPr>
        <w:t>During the review period, o</w:t>
      </w:r>
      <w:r w:rsidR="00AA7A7E" w:rsidRPr="090008D6">
        <w:rPr>
          <w:rFonts w:eastAsia="Calibri" w:cs="Calibri"/>
        </w:rPr>
        <w:t>ne fatality was not responded to within one work</w:t>
      </w:r>
      <w:r w:rsidR="006D6EEE">
        <w:rPr>
          <w:rFonts w:eastAsia="Calibri" w:cs="Calibri"/>
        </w:rPr>
        <w:t xml:space="preserve">ing </w:t>
      </w:r>
      <w:r w:rsidR="006D73C3">
        <w:rPr>
          <w:rFonts w:eastAsia="Calibri" w:cs="Calibri"/>
        </w:rPr>
        <w:t>day</w:t>
      </w:r>
      <w:r w:rsidR="00AB72BB">
        <w:rPr>
          <w:rFonts w:eastAsia="Calibri" w:cs="Calibri"/>
        </w:rPr>
        <w:t>.  According to ADOSH,</w:t>
      </w:r>
      <w:r w:rsidR="00B43F3E">
        <w:rPr>
          <w:rFonts w:eastAsia="Calibri" w:cs="Calibri"/>
        </w:rPr>
        <w:t xml:space="preserve"> the fatality occurred at a private residence worksite, and</w:t>
      </w:r>
      <w:r w:rsidR="00AB72BB">
        <w:rPr>
          <w:rFonts w:eastAsia="Calibri" w:cs="Calibri"/>
        </w:rPr>
        <w:t xml:space="preserve"> </w:t>
      </w:r>
      <w:r w:rsidR="00B43F3E">
        <w:rPr>
          <w:rFonts w:eastAsia="Calibri" w:cs="Calibri"/>
        </w:rPr>
        <w:t xml:space="preserve">attempts were made to contact the homeowner to gather information.  </w:t>
      </w:r>
      <w:r w:rsidR="0025014F">
        <w:rPr>
          <w:rFonts w:eastAsia="Calibri" w:cs="Calibri"/>
        </w:rPr>
        <w:t xml:space="preserve">However, ADOSH </w:t>
      </w:r>
      <w:r w:rsidR="00F464C1">
        <w:rPr>
          <w:rFonts w:eastAsia="Calibri" w:cs="Calibri"/>
        </w:rPr>
        <w:t xml:space="preserve">had challenges </w:t>
      </w:r>
      <w:proofErr w:type="gramStart"/>
      <w:r w:rsidR="00F464C1">
        <w:rPr>
          <w:rFonts w:eastAsia="Calibri" w:cs="Calibri"/>
        </w:rPr>
        <w:t>making contact with</w:t>
      </w:r>
      <w:proofErr w:type="gramEnd"/>
      <w:r w:rsidR="00F464C1">
        <w:rPr>
          <w:rFonts w:eastAsia="Calibri" w:cs="Calibri"/>
        </w:rPr>
        <w:t xml:space="preserve"> the employer which delayed initiating the inspection.  When ADOSH </w:t>
      </w:r>
      <w:r w:rsidR="00F953E6">
        <w:rPr>
          <w:rFonts w:eastAsia="Calibri" w:cs="Calibri"/>
        </w:rPr>
        <w:t>was able to successfully communicate with the employer, an inspection was initiated</w:t>
      </w:r>
      <w:r w:rsidR="0048717A">
        <w:rPr>
          <w:rFonts w:eastAsia="Calibri" w:cs="Calibri"/>
        </w:rPr>
        <w:t xml:space="preserve">.  </w:t>
      </w:r>
      <w:r w:rsidR="00AA7A7E">
        <w:rPr>
          <w:rFonts w:eastAsia="Calibri" w:cs="Calibri"/>
        </w:rPr>
        <w:t>Although this was outside the FRL, it does not rise to the level of a</w:t>
      </w:r>
      <w:r w:rsidR="00B830BB">
        <w:rPr>
          <w:rFonts w:eastAsia="Calibri" w:cs="Calibri"/>
        </w:rPr>
        <w:t xml:space="preserve">n observation </w:t>
      </w:r>
      <w:r w:rsidR="00AA7A7E">
        <w:rPr>
          <w:rFonts w:eastAsia="Calibri" w:cs="Calibri"/>
        </w:rPr>
        <w:t xml:space="preserve">and will </w:t>
      </w:r>
      <w:r w:rsidR="00AA7A7E" w:rsidRPr="006D6EEE">
        <w:rPr>
          <w:rFonts w:eastAsia="Calibri" w:cs="Calibri"/>
        </w:rPr>
        <w:t xml:space="preserve">be monitored by OSHA during </w:t>
      </w:r>
      <w:r w:rsidR="0031753C" w:rsidRPr="006D6EEE">
        <w:rPr>
          <w:rFonts w:eastAsia="Calibri" w:cs="Calibri"/>
        </w:rPr>
        <w:t>the next review period</w:t>
      </w:r>
      <w:r w:rsidR="00AA7A7E" w:rsidRPr="006D6EEE">
        <w:rPr>
          <w:rFonts w:eastAsia="Calibri" w:cs="Calibri"/>
        </w:rPr>
        <w:t xml:space="preserve">.  </w:t>
      </w:r>
    </w:p>
    <w:p w14:paraId="4D5BFBE1" w14:textId="77777777" w:rsidR="00C0604A" w:rsidRPr="00993E7A" w:rsidRDefault="00C0604A" w:rsidP="00234346">
      <w:pPr>
        <w:rPr>
          <w:rFonts w:eastAsia="Calibri" w:cs="Calibri"/>
        </w:rPr>
      </w:pPr>
    </w:p>
    <w:p w14:paraId="12209150" w14:textId="58A33FF8" w:rsidR="003A7C08" w:rsidRDefault="003A7C08" w:rsidP="003A7C08">
      <w:pPr>
        <w:rPr>
          <w:rFonts w:eastAsia="Calibri" w:cs="Calibri"/>
          <w:b/>
          <w:bCs/>
        </w:rPr>
      </w:pPr>
      <w:r w:rsidRPr="090008D6">
        <w:rPr>
          <w:rFonts w:eastAsia="Calibri" w:cs="Calibri"/>
          <w:b/>
          <w:bCs/>
        </w:rPr>
        <w:t xml:space="preserve">SAMM </w:t>
      </w:r>
      <w:r>
        <w:rPr>
          <w:rFonts w:eastAsia="Calibri" w:cs="Calibri"/>
          <w:b/>
          <w:bCs/>
        </w:rPr>
        <w:t>12 – Percent penalty retained</w:t>
      </w:r>
    </w:p>
    <w:p w14:paraId="06736BEE" w14:textId="77777777" w:rsidR="003A7C08" w:rsidRDefault="003A7C08" w:rsidP="003A7C08">
      <w:pPr>
        <w:rPr>
          <w:rFonts w:eastAsia="Calibri" w:cs="Calibri"/>
          <w:b/>
          <w:bCs/>
        </w:rPr>
      </w:pPr>
    </w:p>
    <w:p w14:paraId="0595A70C" w14:textId="17C859F9" w:rsidR="00234346" w:rsidRPr="005C50EF" w:rsidRDefault="00234346" w:rsidP="00234346">
      <w:pPr>
        <w:rPr>
          <w:rFonts w:eastAsia="Calibri" w:cs="Calibri"/>
          <w:b/>
          <w:bCs/>
        </w:rPr>
      </w:pPr>
      <w:r w:rsidRPr="08722B81">
        <w:rPr>
          <w:rFonts w:eastAsia="Calibri" w:cs="Calibri"/>
          <w:b/>
          <w:bCs/>
        </w:rPr>
        <w:t xml:space="preserve">Discussion of </w:t>
      </w:r>
      <w:r w:rsidR="07522058" w:rsidRPr="08722B81">
        <w:rPr>
          <w:rFonts w:eastAsia="Calibri" w:cs="Calibri"/>
          <w:b/>
          <w:bCs/>
        </w:rPr>
        <w:t>ADOSH’s</w:t>
      </w:r>
      <w:r w:rsidRPr="08722B81">
        <w:rPr>
          <w:rFonts w:eastAsia="Calibri" w:cs="Calibri"/>
          <w:b/>
          <w:bCs/>
        </w:rPr>
        <w:t xml:space="preserve"> Data and FRL:</w:t>
      </w:r>
      <w:r w:rsidR="4ADC6221" w:rsidRPr="08722B81">
        <w:rPr>
          <w:rFonts w:eastAsia="Calibri" w:cs="Calibri"/>
          <w:b/>
          <w:bCs/>
        </w:rPr>
        <w:t xml:space="preserve">  </w:t>
      </w:r>
      <w:r w:rsidR="5569214C" w:rsidRPr="08722B81">
        <w:rPr>
          <w:rFonts w:eastAsia="Calibri" w:cs="Calibri"/>
        </w:rPr>
        <w:t>The FRL for percent penalty retained is +/- 15% of 70.81%, which was based on a three-year national average and provides a range of 60.19% to 81.44%.</w:t>
      </w:r>
      <w:r w:rsidR="7E3AE1D1" w:rsidRPr="08722B81">
        <w:rPr>
          <w:rFonts w:eastAsia="Calibri" w:cs="Calibri"/>
        </w:rPr>
        <w:t xml:space="preserve">  According to Appendix D, in FY 2024, Arizona’s penalty retention is </w:t>
      </w:r>
      <w:r w:rsidR="0DF7706D" w:rsidRPr="08722B81">
        <w:rPr>
          <w:rFonts w:eastAsia="Calibri" w:cs="Calibri"/>
        </w:rPr>
        <w:t xml:space="preserve">97.41%.  </w:t>
      </w:r>
    </w:p>
    <w:p w14:paraId="593620B8" w14:textId="77777777" w:rsidR="00234346" w:rsidRDefault="00234346" w:rsidP="00234346">
      <w:pPr>
        <w:rPr>
          <w:rFonts w:eastAsia="Calibri" w:cs="Calibri"/>
          <w:b/>
          <w:bCs/>
        </w:rPr>
      </w:pPr>
    </w:p>
    <w:p w14:paraId="0C9216E0" w14:textId="71CC7293" w:rsidR="00234346" w:rsidRPr="00720FD5" w:rsidRDefault="00234346" w:rsidP="00234346">
      <w:pPr>
        <w:rPr>
          <w:rFonts w:eastAsia="Calibri" w:cs="Calibri"/>
        </w:rPr>
      </w:pPr>
      <w:r w:rsidRPr="005C50EF">
        <w:rPr>
          <w:rFonts w:eastAsia="Calibri" w:cs="Calibri"/>
          <w:b/>
          <w:bCs/>
        </w:rPr>
        <w:t xml:space="preserve">Explanation:  </w:t>
      </w:r>
      <w:r w:rsidR="00720FD5">
        <w:rPr>
          <w:rFonts w:eastAsia="Calibri" w:cs="Calibri"/>
        </w:rPr>
        <w:t xml:space="preserve">Although this </w:t>
      </w:r>
      <w:r w:rsidR="004D490B">
        <w:rPr>
          <w:rFonts w:eastAsia="Calibri" w:cs="Calibri"/>
        </w:rPr>
        <w:t xml:space="preserve">SAMM </w:t>
      </w:r>
      <w:r w:rsidR="00720FD5">
        <w:rPr>
          <w:rFonts w:eastAsia="Calibri" w:cs="Calibri"/>
        </w:rPr>
        <w:t xml:space="preserve">data </w:t>
      </w:r>
      <w:r w:rsidR="00FE66D2">
        <w:rPr>
          <w:rFonts w:eastAsia="Calibri" w:cs="Calibri"/>
        </w:rPr>
        <w:t>show</w:t>
      </w:r>
      <w:r w:rsidR="000B773A">
        <w:rPr>
          <w:rFonts w:eastAsia="Calibri" w:cs="Calibri"/>
        </w:rPr>
        <w:t>s</w:t>
      </w:r>
      <w:r w:rsidR="00FE66D2">
        <w:rPr>
          <w:rFonts w:eastAsia="Calibri" w:cs="Calibri"/>
        </w:rPr>
        <w:t xml:space="preserve"> that Arizona retains 97.41% of its penalties</w:t>
      </w:r>
      <w:r w:rsidR="003B33A9">
        <w:rPr>
          <w:rFonts w:eastAsia="Calibri" w:cs="Calibri"/>
        </w:rPr>
        <w:t xml:space="preserve"> in the private sector, </w:t>
      </w:r>
      <w:r w:rsidR="00291394">
        <w:rPr>
          <w:rFonts w:eastAsia="Calibri" w:cs="Calibri"/>
        </w:rPr>
        <w:t xml:space="preserve">it has been a continued discrepancy </w:t>
      </w:r>
      <w:r w:rsidR="005064CE">
        <w:rPr>
          <w:rFonts w:eastAsia="Calibri" w:cs="Calibri"/>
        </w:rPr>
        <w:t>between</w:t>
      </w:r>
      <w:r w:rsidR="00686EC7">
        <w:rPr>
          <w:rFonts w:eastAsia="Calibri" w:cs="Calibri"/>
        </w:rPr>
        <w:t xml:space="preserve"> Arizona’s Salesforce interface system </w:t>
      </w:r>
      <w:r w:rsidR="005064CE">
        <w:rPr>
          <w:rFonts w:eastAsia="Calibri" w:cs="Calibri"/>
        </w:rPr>
        <w:t xml:space="preserve">and OIS.  </w:t>
      </w:r>
      <w:r w:rsidR="00736DD2">
        <w:rPr>
          <w:rFonts w:eastAsia="Calibri" w:cs="Calibri"/>
        </w:rPr>
        <w:t xml:space="preserve">ADOSH management has confirmed that penalties may be reduced through informal settlement procedures and that 97.41% </w:t>
      </w:r>
      <w:r w:rsidR="00283D1B">
        <w:rPr>
          <w:rFonts w:eastAsia="Calibri" w:cs="Calibri"/>
        </w:rPr>
        <w:t>is likely not accurate</w:t>
      </w:r>
      <w:r w:rsidR="00936145">
        <w:rPr>
          <w:rFonts w:eastAsia="Calibri" w:cs="Calibri"/>
        </w:rPr>
        <w:t xml:space="preserve">; </w:t>
      </w:r>
      <w:r w:rsidR="00283D1B">
        <w:rPr>
          <w:rFonts w:eastAsia="Calibri" w:cs="Calibri"/>
        </w:rPr>
        <w:t xml:space="preserve">however, </w:t>
      </w:r>
      <w:r w:rsidR="006551CE">
        <w:rPr>
          <w:rFonts w:eastAsia="Calibri" w:cs="Calibri"/>
        </w:rPr>
        <w:t xml:space="preserve">they did not track this metric outside of </w:t>
      </w:r>
      <w:r w:rsidR="00936145">
        <w:rPr>
          <w:rFonts w:eastAsia="Calibri" w:cs="Calibri"/>
        </w:rPr>
        <w:t>the SAMM report</w:t>
      </w:r>
      <w:r w:rsidR="006551CE">
        <w:rPr>
          <w:rFonts w:eastAsia="Calibri" w:cs="Calibri"/>
        </w:rPr>
        <w:t xml:space="preserve"> in FY</w:t>
      </w:r>
      <w:r w:rsidR="00936145">
        <w:rPr>
          <w:rFonts w:eastAsia="Calibri" w:cs="Calibri"/>
        </w:rPr>
        <w:t xml:space="preserve"> </w:t>
      </w:r>
      <w:r w:rsidR="006551CE">
        <w:rPr>
          <w:rFonts w:eastAsia="Calibri" w:cs="Calibri"/>
        </w:rPr>
        <w:t>2024</w:t>
      </w:r>
      <w:r w:rsidR="00736DD2">
        <w:rPr>
          <w:rFonts w:eastAsia="Calibri" w:cs="Calibri"/>
        </w:rPr>
        <w:t xml:space="preserve">.  </w:t>
      </w:r>
      <w:r w:rsidR="00A04B08">
        <w:rPr>
          <w:rFonts w:eastAsia="Calibri" w:cs="Calibri"/>
        </w:rPr>
        <w:t>The</w:t>
      </w:r>
      <w:r w:rsidR="00B742E5">
        <w:rPr>
          <w:rFonts w:eastAsia="Calibri" w:cs="Calibri"/>
        </w:rPr>
        <w:t>refore, the</w:t>
      </w:r>
      <w:r w:rsidR="00A04B08">
        <w:rPr>
          <w:rFonts w:eastAsia="Calibri" w:cs="Calibri"/>
        </w:rPr>
        <w:t xml:space="preserve"> SAMM report does not accurately reflect penalty retention </w:t>
      </w:r>
      <w:r w:rsidR="00F35F8B">
        <w:rPr>
          <w:rFonts w:eastAsia="Calibri" w:cs="Calibri"/>
        </w:rPr>
        <w:t xml:space="preserve">for </w:t>
      </w:r>
      <w:r w:rsidR="009F1EF9">
        <w:rPr>
          <w:rFonts w:eastAsia="Calibri" w:cs="Calibri"/>
        </w:rPr>
        <w:t>inspections</w:t>
      </w:r>
      <w:r w:rsidR="00F35F8B">
        <w:rPr>
          <w:rFonts w:eastAsia="Calibri" w:cs="Calibri"/>
        </w:rPr>
        <w:t xml:space="preserve"> not contested</w:t>
      </w:r>
      <w:r w:rsidR="00A04B08">
        <w:rPr>
          <w:rFonts w:eastAsia="Calibri" w:cs="Calibri"/>
        </w:rPr>
        <w:t xml:space="preserve">. </w:t>
      </w:r>
      <w:r w:rsidR="00B742E5">
        <w:rPr>
          <w:rFonts w:eastAsia="Calibri" w:cs="Calibri"/>
        </w:rPr>
        <w:t xml:space="preserve"> OSHA </w:t>
      </w:r>
      <w:r w:rsidR="00925AAD">
        <w:rPr>
          <w:rFonts w:eastAsia="Calibri" w:cs="Calibri"/>
        </w:rPr>
        <w:t xml:space="preserve">requested ADOSH to provide </w:t>
      </w:r>
      <w:r w:rsidR="006D73C3">
        <w:rPr>
          <w:rFonts w:eastAsia="Calibri" w:cs="Calibri"/>
        </w:rPr>
        <w:t>penalty retention</w:t>
      </w:r>
      <w:r w:rsidR="00925AAD">
        <w:rPr>
          <w:rFonts w:eastAsia="Calibri" w:cs="Calibri"/>
        </w:rPr>
        <w:t xml:space="preserve"> information to discuss in </w:t>
      </w:r>
      <w:r w:rsidR="00056E71">
        <w:rPr>
          <w:rFonts w:eastAsia="Calibri" w:cs="Calibri"/>
        </w:rPr>
        <w:t xml:space="preserve">future </w:t>
      </w:r>
      <w:r w:rsidR="00925AAD">
        <w:rPr>
          <w:rFonts w:eastAsia="Calibri" w:cs="Calibri"/>
        </w:rPr>
        <w:t xml:space="preserve">quarterly meetings.  </w:t>
      </w:r>
      <w:r w:rsidR="008310B7">
        <w:rPr>
          <w:rFonts w:eastAsia="Calibri" w:cs="Calibri"/>
        </w:rPr>
        <w:t xml:space="preserve">This information will be monitored in the next review period but not a cause for concern at this time since Arizona’s average penalties </w:t>
      </w:r>
      <w:r w:rsidR="00C05A29">
        <w:rPr>
          <w:rFonts w:eastAsia="Calibri" w:cs="Calibri"/>
        </w:rPr>
        <w:t>were</w:t>
      </w:r>
      <w:r w:rsidR="008310B7">
        <w:rPr>
          <w:rFonts w:eastAsia="Calibri" w:cs="Calibri"/>
        </w:rPr>
        <w:t xml:space="preserve"> </w:t>
      </w:r>
      <w:r w:rsidR="00D36F19">
        <w:rPr>
          <w:rFonts w:eastAsia="Calibri" w:cs="Calibri"/>
        </w:rPr>
        <w:t xml:space="preserve">generally </w:t>
      </w:r>
      <w:r w:rsidR="00F6448C">
        <w:rPr>
          <w:rFonts w:eastAsia="Calibri" w:cs="Calibri"/>
        </w:rPr>
        <w:t>higher than</w:t>
      </w:r>
      <w:r w:rsidR="00D4021E">
        <w:rPr>
          <w:rFonts w:eastAsia="Calibri" w:cs="Calibri"/>
        </w:rPr>
        <w:t xml:space="preserve"> </w:t>
      </w:r>
      <w:proofErr w:type="gramStart"/>
      <w:r w:rsidR="00D4021E">
        <w:rPr>
          <w:rFonts w:eastAsia="Calibri" w:cs="Calibri"/>
        </w:rPr>
        <w:t>OSHA’s</w:t>
      </w:r>
      <w:proofErr w:type="gramEnd"/>
      <w:r w:rsidR="00D4021E">
        <w:rPr>
          <w:rFonts w:eastAsia="Calibri" w:cs="Calibri"/>
        </w:rPr>
        <w:t xml:space="preserve">, as identified in SAMM 8. </w:t>
      </w:r>
    </w:p>
    <w:p w14:paraId="38B16CB1" w14:textId="77777777" w:rsidR="00A739EA" w:rsidRDefault="00A739EA" w:rsidP="000B58F1">
      <w:pPr>
        <w:rPr>
          <w:rFonts w:eastAsia="Calibri" w:cs="Calibri"/>
          <w:b/>
          <w:bCs/>
        </w:rPr>
      </w:pPr>
    </w:p>
    <w:p w14:paraId="24F899A9" w14:textId="40050038" w:rsidR="02D01C39" w:rsidRDefault="02D01C39" w:rsidP="000B58F1">
      <w:r w:rsidRPr="090008D6">
        <w:rPr>
          <w:rFonts w:eastAsia="Calibri" w:cs="Calibri"/>
          <w:b/>
          <w:bCs/>
        </w:rPr>
        <w:t xml:space="preserve">SAMM 13 – Percent of </w:t>
      </w:r>
      <w:r w:rsidR="00D36F19">
        <w:rPr>
          <w:rFonts w:eastAsia="Calibri" w:cs="Calibri"/>
          <w:b/>
          <w:bCs/>
        </w:rPr>
        <w:t>i</w:t>
      </w:r>
      <w:r w:rsidRPr="090008D6">
        <w:rPr>
          <w:rFonts w:eastAsia="Calibri" w:cs="Calibri"/>
          <w:b/>
          <w:bCs/>
        </w:rPr>
        <w:t xml:space="preserve">nitial </w:t>
      </w:r>
      <w:r w:rsidR="00D36F19">
        <w:rPr>
          <w:rFonts w:eastAsia="Calibri" w:cs="Calibri"/>
          <w:b/>
          <w:bCs/>
        </w:rPr>
        <w:t>i</w:t>
      </w:r>
      <w:r w:rsidRPr="090008D6">
        <w:rPr>
          <w:rFonts w:eastAsia="Calibri" w:cs="Calibri"/>
          <w:b/>
          <w:bCs/>
        </w:rPr>
        <w:t xml:space="preserve">nspections with </w:t>
      </w:r>
      <w:r w:rsidR="00D36F19">
        <w:rPr>
          <w:rFonts w:eastAsia="Calibri" w:cs="Calibri"/>
          <w:b/>
          <w:bCs/>
        </w:rPr>
        <w:t>w</w:t>
      </w:r>
      <w:r w:rsidR="00A107C9">
        <w:rPr>
          <w:rFonts w:eastAsia="Calibri" w:cs="Calibri"/>
          <w:b/>
          <w:bCs/>
        </w:rPr>
        <w:t>orker</w:t>
      </w:r>
      <w:r w:rsidRPr="090008D6">
        <w:rPr>
          <w:rFonts w:eastAsia="Calibri" w:cs="Calibri"/>
          <w:b/>
          <w:bCs/>
        </w:rPr>
        <w:t xml:space="preserve"> </w:t>
      </w:r>
      <w:r w:rsidR="00D36F19">
        <w:rPr>
          <w:rFonts w:eastAsia="Calibri" w:cs="Calibri"/>
          <w:b/>
          <w:bCs/>
        </w:rPr>
        <w:t>w</w:t>
      </w:r>
      <w:r w:rsidRPr="090008D6" w:rsidDel="001F7AFD">
        <w:rPr>
          <w:rFonts w:eastAsia="Calibri" w:cs="Calibri"/>
          <w:b/>
          <w:bCs/>
        </w:rPr>
        <w:t>alk</w:t>
      </w:r>
      <w:r w:rsidR="001F7AFD">
        <w:rPr>
          <w:rFonts w:eastAsia="Calibri" w:cs="Calibri"/>
          <w:b/>
          <w:bCs/>
        </w:rPr>
        <w:t>-</w:t>
      </w:r>
      <w:r w:rsidRPr="090008D6">
        <w:rPr>
          <w:rFonts w:eastAsia="Calibri" w:cs="Calibri"/>
          <w:b/>
          <w:bCs/>
        </w:rPr>
        <w:t xml:space="preserve">around </w:t>
      </w:r>
      <w:r w:rsidR="00D36F19">
        <w:rPr>
          <w:rFonts w:eastAsia="Calibri" w:cs="Calibri"/>
          <w:b/>
          <w:bCs/>
        </w:rPr>
        <w:t>r</w:t>
      </w:r>
      <w:r w:rsidRPr="090008D6">
        <w:rPr>
          <w:rFonts w:eastAsia="Calibri" w:cs="Calibri"/>
          <w:b/>
          <w:bCs/>
        </w:rPr>
        <w:t xml:space="preserve">epresentation or </w:t>
      </w:r>
      <w:r w:rsidR="00D36F19">
        <w:rPr>
          <w:rFonts w:eastAsia="Calibri" w:cs="Calibri"/>
          <w:b/>
          <w:bCs/>
        </w:rPr>
        <w:t>w</w:t>
      </w:r>
      <w:r w:rsidR="00C60693">
        <w:rPr>
          <w:rFonts w:eastAsia="Calibri" w:cs="Calibri"/>
          <w:b/>
          <w:bCs/>
        </w:rPr>
        <w:t xml:space="preserve">orker </w:t>
      </w:r>
      <w:r w:rsidR="00D36F19">
        <w:rPr>
          <w:rFonts w:eastAsia="Calibri" w:cs="Calibri"/>
          <w:b/>
          <w:bCs/>
        </w:rPr>
        <w:t>i</w:t>
      </w:r>
      <w:r w:rsidRPr="090008D6">
        <w:rPr>
          <w:rFonts w:eastAsia="Calibri" w:cs="Calibri"/>
          <w:b/>
          <w:bCs/>
        </w:rPr>
        <w:t>nterview</w:t>
      </w:r>
    </w:p>
    <w:p w14:paraId="596ABF1C" w14:textId="346EAF69" w:rsidR="02D01C39" w:rsidRDefault="02D01C39" w:rsidP="000B58F1">
      <w:r w:rsidRPr="090008D6">
        <w:rPr>
          <w:rFonts w:eastAsia="Calibri" w:cs="Calibri"/>
        </w:rPr>
        <w:t xml:space="preserve"> </w:t>
      </w:r>
    </w:p>
    <w:p w14:paraId="3D6E649B" w14:textId="3C73E006" w:rsidR="02D01C39" w:rsidRDefault="02D01C39" w:rsidP="000B58F1">
      <w:r w:rsidRPr="08722B81">
        <w:rPr>
          <w:rFonts w:eastAsia="Calibri" w:cs="Calibri"/>
          <w:b/>
          <w:bCs/>
        </w:rPr>
        <w:t>Discussion of</w:t>
      </w:r>
      <w:r w:rsidR="2C1FDDD4" w:rsidRPr="08722B81">
        <w:rPr>
          <w:rFonts w:eastAsia="Calibri" w:cs="Calibri"/>
          <w:b/>
          <w:bCs/>
        </w:rPr>
        <w:t xml:space="preserve"> ADOSH’s</w:t>
      </w:r>
      <w:r w:rsidRPr="08722B81">
        <w:rPr>
          <w:rFonts w:eastAsia="Calibri" w:cs="Calibri"/>
          <w:b/>
          <w:bCs/>
        </w:rPr>
        <w:t xml:space="preserve"> Data and FRL</w:t>
      </w:r>
      <w:r w:rsidRPr="00461D39">
        <w:rPr>
          <w:rFonts w:eastAsia="Calibri" w:cs="Calibri"/>
          <w:b/>
          <w:bCs/>
        </w:rPr>
        <w:t>:</w:t>
      </w:r>
      <w:r w:rsidRPr="08722B81">
        <w:rPr>
          <w:rFonts w:eastAsia="Calibri" w:cs="Calibri"/>
        </w:rPr>
        <w:t xml:space="preserve">  </w:t>
      </w:r>
      <w:r w:rsidR="3D18B451" w:rsidRPr="08722B81">
        <w:rPr>
          <w:rFonts w:eastAsia="Calibri" w:cs="Calibri"/>
        </w:rPr>
        <w:t xml:space="preserve">The FRL is fixed at 100% for all State Plans.  </w:t>
      </w:r>
      <w:r w:rsidR="51291E6C" w:rsidRPr="08722B81">
        <w:rPr>
          <w:rFonts w:eastAsia="Calibri" w:cs="Calibri"/>
        </w:rPr>
        <w:t xml:space="preserve">In FY 2024, </w:t>
      </w:r>
      <w:r w:rsidR="3D18B451" w:rsidRPr="08722B81">
        <w:rPr>
          <w:rFonts w:eastAsia="Calibri" w:cs="Calibri"/>
        </w:rPr>
        <w:t xml:space="preserve">ADOSH’s percent of initial inspections with employee walk-around representation or </w:t>
      </w:r>
      <w:r w:rsidR="00FE2FEF" w:rsidRPr="08722B81">
        <w:rPr>
          <w:rFonts w:eastAsia="Calibri" w:cs="Calibri"/>
        </w:rPr>
        <w:t>worker</w:t>
      </w:r>
      <w:r w:rsidR="3D18B451" w:rsidRPr="08722B81">
        <w:rPr>
          <w:rFonts w:eastAsia="Calibri" w:cs="Calibri"/>
        </w:rPr>
        <w:t xml:space="preserve"> interview</w:t>
      </w:r>
      <w:r w:rsidR="00FE2FEF" w:rsidRPr="08722B81">
        <w:rPr>
          <w:rFonts w:eastAsia="Calibri" w:cs="Calibri"/>
        </w:rPr>
        <w:t>s</w:t>
      </w:r>
      <w:r w:rsidR="3D18B451" w:rsidRPr="08722B81">
        <w:rPr>
          <w:rFonts w:eastAsia="Calibri" w:cs="Calibri"/>
        </w:rPr>
        <w:t xml:space="preserve"> was </w:t>
      </w:r>
      <w:r w:rsidR="51291E6C" w:rsidRPr="08722B81">
        <w:rPr>
          <w:rFonts w:eastAsia="Calibri" w:cs="Calibri"/>
        </w:rPr>
        <w:t>97.89</w:t>
      </w:r>
      <w:r w:rsidR="3D18B451" w:rsidRPr="08722B81">
        <w:rPr>
          <w:rFonts w:eastAsia="Calibri" w:cs="Calibri"/>
        </w:rPr>
        <w:t>%, which was below the FRL. </w:t>
      </w:r>
    </w:p>
    <w:p w14:paraId="7F207FFD" w14:textId="49343B71" w:rsidR="02D01C39" w:rsidRDefault="02D01C39" w:rsidP="000B58F1">
      <w:r w:rsidRPr="090008D6">
        <w:rPr>
          <w:rFonts w:eastAsia="Calibri" w:cs="Calibri"/>
        </w:rPr>
        <w:t xml:space="preserve"> </w:t>
      </w:r>
    </w:p>
    <w:p w14:paraId="1FF4B923" w14:textId="4B11474A" w:rsidR="00425070" w:rsidRDefault="02D01C39" w:rsidP="000B58F1">
      <w:pPr>
        <w:rPr>
          <w:rFonts w:eastAsia="Calibri" w:cs="Calibri"/>
          <w:color w:val="7030A0"/>
        </w:rPr>
      </w:pPr>
      <w:r w:rsidRPr="08722B81">
        <w:rPr>
          <w:rFonts w:eastAsia="Calibri" w:cs="Calibri"/>
          <w:b/>
          <w:bCs/>
        </w:rPr>
        <w:t>Explanation</w:t>
      </w:r>
      <w:r w:rsidRPr="08722B81">
        <w:rPr>
          <w:rFonts w:eastAsia="Calibri" w:cs="Calibri"/>
        </w:rPr>
        <w:t xml:space="preserve">:  </w:t>
      </w:r>
      <w:r w:rsidR="00147895" w:rsidRPr="08722B81">
        <w:rPr>
          <w:rFonts w:eastAsia="Calibri" w:cs="Calibri"/>
        </w:rPr>
        <w:t xml:space="preserve">According to </w:t>
      </w:r>
      <w:r w:rsidR="00FE2FEF" w:rsidRPr="08722B81">
        <w:rPr>
          <w:rFonts w:eastAsia="Calibri" w:cs="Calibri"/>
        </w:rPr>
        <w:t>the SAMM report, 13 inspections did not have employee</w:t>
      </w:r>
      <w:r w:rsidR="004E4C4E" w:rsidRPr="08722B81">
        <w:rPr>
          <w:rFonts w:eastAsia="Calibri" w:cs="Calibri"/>
        </w:rPr>
        <w:t xml:space="preserve"> </w:t>
      </w:r>
      <w:r w:rsidR="00D852A2" w:rsidRPr="08722B81">
        <w:rPr>
          <w:rFonts w:eastAsia="Calibri" w:cs="Calibri"/>
        </w:rPr>
        <w:t>involvement</w:t>
      </w:r>
      <w:r w:rsidR="004E4C4E" w:rsidRPr="08722B81">
        <w:rPr>
          <w:rFonts w:eastAsia="Calibri" w:cs="Calibri"/>
        </w:rPr>
        <w:t xml:space="preserve"> in the walk-around or interviews</w:t>
      </w:r>
      <w:r w:rsidR="003C328D" w:rsidRPr="08722B81">
        <w:rPr>
          <w:rFonts w:eastAsia="Calibri" w:cs="Calibri"/>
        </w:rPr>
        <w:t xml:space="preserve">, a </w:t>
      </w:r>
      <w:r w:rsidR="00567BB2" w:rsidRPr="08722B81">
        <w:rPr>
          <w:rFonts w:eastAsia="Calibri" w:cs="Calibri"/>
        </w:rPr>
        <w:t>slight decrease from 99.44% in FY 2023</w:t>
      </w:r>
      <w:r w:rsidR="00A12787" w:rsidRPr="08722B81">
        <w:rPr>
          <w:rFonts w:eastAsia="Calibri" w:cs="Calibri"/>
        </w:rPr>
        <w:t>.  This was monitored during quarterly meetings</w:t>
      </w:r>
      <w:r w:rsidR="00567BB2" w:rsidRPr="08722B81">
        <w:rPr>
          <w:rFonts w:eastAsia="Calibri" w:cs="Calibri"/>
        </w:rPr>
        <w:t xml:space="preserve"> with OSHA.  </w:t>
      </w:r>
      <w:r w:rsidR="00147895" w:rsidRPr="08722B81">
        <w:rPr>
          <w:rFonts w:eastAsia="Calibri" w:cs="Calibri"/>
        </w:rPr>
        <w:t xml:space="preserve">ADOSH </w:t>
      </w:r>
      <w:r w:rsidR="007D02F7">
        <w:rPr>
          <w:rFonts w:eastAsia="Calibri" w:cs="Calibri"/>
        </w:rPr>
        <w:t xml:space="preserve">believed this to be </w:t>
      </w:r>
      <w:r w:rsidR="00EF05B0">
        <w:rPr>
          <w:rFonts w:eastAsia="Calibri" w:cs="Calibri"/>
        </w:rPr>
        <w:t>in part a data entry error</w:t>
      </w:r>
      <w:r w:rsidR="008051F5">
        <w:rPr>
          <w:rFonts w:eastAsia="Calibri" w:cs="Calibri"/>
        </w:rPr>
        <w:t xml:space="preserve"> </w:t>
      </w:r>
      <w:r w:rsidR="004D27C8">
        <w:rPr>
          <w:rFonts w:eastAsia="Calibri" w:cs="Calibri"/>
        </w:rPr>
        <w:t>an</w:t>
      </w:r>
      <w:r w:rsidR="008372CC">
        <w:rPr>
          <w:rFonts w:eastAsia="Calibri" w:cs="Calibri"/>
        </w:rPr>
        <w:t xml:space="preserve">d </w:t>
      </w:r>
      <w:r w:rsidR="007425DA" w:rsidRPr="08722B81">
        <w:rPr>
          <w:rFonts w:eastAsia="Calibri" w:cs="Calibri"/>
        </w:rPr>
        <w:t xml:space="preserve">Salesforce </w:t>
      </w:r>
      <w:r w:rsidR="00951446">
        <w:rPr>
          <w:rFonts w:eastAsia="Calibri" w:cs="Calibri"/>
        </w:rPr>
        <w:t xml:space="preserve">to OIS </w:t>
      </w:r>
      <w:r w:rsidR="007425DA" w:rsidRPr="08722B81">
        <w:rPr>
          <w:rFonts w:eastAsia="Calibri" w:cs="Calibri"/>
        </w:rPr>
        <w:t>communication</w:t>
      </w:r>
      <w:r w:rsidR="00567BB2" w:rsidRPr="08722B81">
        <w:rPr>
          <w:rFonts w:eastAsia="Calibri" w:cs="Calibri"/>
        </w:rPr>
        <w:t xml:space="preserve"> </w:t>
      </w:r>
      <w:r w:rsidR="00DD1C06" w:rsidRPr="08722B81">
        <w:rPr>
          <w:rFonts w:eastAsia="Calibri" w:cs="Calibri"/>
        </w:rPr>
        <w:t>issue</w:t>
      </w:r>
      <w:r w:rsidR="00147895" w:rsidRPr="08722B81">
        <w:rPr>
          <w:rFonts w:eastAsia="Calibri" w:cs="Calibri"/>
        </w:rPr>
        <w:t>.  OSHA will continue to monitor worker involvement during quarterly meetings</w:t>
      </w:r>
      <w:r w:rsidR="00567BB2" w:rsidRPr="08722B81">
        <w:rPr>
          <w:rFonts w:eastAsia="Calibri" w:cs="Calibri"/>
        </w:rPr>
        <w:t xml:space="preserve"> but at this current time does not rise to the level of an observation. </w:t>
      </w:r>
    </w:p>
    <w:p w14:paraId="1EC53EF9" w14:textId="59BD259D" w:rsidR="02D01C39" w:rsidRDefault="02D01C39" w:rsidP="000B58F1">
      <w:r w:rsidRPr="090008D6">
        <w:rPr>
          <w:rFonts w:eastAsia="Calibri" w:cs="Calibri"/>
          <w:b/>
          <w:bCs/>
        </w:rPr>
        <w:t xml:space="preserve">SAMM 17 – Percent of </w:t>
      </w:r>
      <w:r w:rsidR="00D36F19">
        <w:rPr>
          <w:rFonts w:eastAsia="Calibri" w:cs="Calibri"/>
          <w:b/>
          <w:bCs/>
        </w:rPr>
        <w:t>e</w:t>
      </w:r>
      <w:r w:rsidRPr="090008D6">
        <w:rPr>
          <w:rFonts w:eastAsia="Calibri" w:cs="Calibri"/>
          <w:b/>
          <w:bCs/>
        </w:rPr>
        <w:t xml:space="preserve">nforcement </w:t>
      </w:r>
      <w:r w:rsidR="00D36F19">
        <w:rPr>
          <w:rFonts w:eastAsia="Calibri" w:cs="Calibri"/>
          <w:b/>
          <w:bCs/>
        </w:rPr>
        <w:t>p</w:t>
      </w:r>
      <w:r w:rsidRPr="090008D6">
        <w:rPr>
          <w:rFonts w:eastAsia="Calibri" w:cs="Calibri"/>
          <w:b/>
          <w:bCs/>
        </w:rPr>
        <w:t>resence</w:t>
      </w:r>
    </w:p>
    <w:p w14:paraId="09EB2B68" w14:textId="54029621" w:rsidR="02D01C39" w:rsidRDefault="02D01C39" w:rsidP="000B58F1">
      <w:r w:rsidRPr="090008D6">
        <w:rPr>
          <w:rFonts w:eastAsia="Calibri" w:cs="Calibri"/>
        </w:rPr>
        <w:t xml:space="preserve"> </w:t>
      </w:r>
    </w:p>
    <w:p w14:paraId="2B18463F" w14:textId="004395F4" w:rsidR="00DF2FE1" w:rsidRDefault="4DA3AE72" w:rsidP="000B58F1">
      <w:pPr>
        <w:rPr>
          <w:rFonts w:eastAsia="Calibri" w:cs="Calibri"/>
        </w:rPr>
      </w:pPr>
      <w:r w:rsidRPr="08722B81">
        <w:rPr>
          <w:rFonts w:eastAsia="Calibri" w:cs="Calibri"/>
          <w:b/>
          <w:bCs/>
        </w:rPr>
        <w:t xml:space="preserve">Discussion of </w:t>
      </w:r>
      <w:r w:rsidR="14D219F0" w:rsidRPr="08722B81">
        <w:rPr>
          <w:rFonts w:eastAsia="Calibri" w:cs="Calibri"/>
          <w:b/>
          <w:bCs/>
        </w:rPr>
        <w:t>ADOSH’s</w:t>
      </w:r>
      <w:r w:rsidRPr="08722B81">
        <w:rPr>
          <w:rFonts w:eastAsia="Calibri" w:cs="Calibri"/>
          <w:b/>
          <w:bCs/>
        </w:rPr>
        <w:t xml:space="preserve"> Data and FRL</w:t>
      </w:r>
      <w:r w:rsidRPr="08722B81">
        <w:rPr>
          <w:rFonts w:eastAsia="Calibri" w:cs="Calibri"/>
        </w:rPr>
        <w:t xml:space="preserve">:  </w:t>
      </w:r>
      <w:r w:rsidR="340A841F" w:rsidRPr="08722B81">
        <w:rPr>
          <w:rFonts w:eastAsia="Calibri" w:cs="Calibri"/>
        </w:rPr>
        <w:t>The FRL for percent of enforcement presence is +/- 25% of 1.00%, which was based on a three-year national average</w:t>
      </w:r>
      <w:r w:rsidR="0670DC35" w:rsidRPr="08722B81">
        <w:rPr>
          <w:rFonts w:eastAsia="Calibri" w:cs="Calibri"/>
        </w:rPr>
        <w:t xml:space="preserve">.  The range of acceptable data not requiring further review is a range from </w:t>
      </w:r>
      <w:r w:rsidR="340A841F" w:rsidRPr="08722B81">
        <w:rPr>
          <w:rFonts w:eastAsia="Calibri" w:cs="Calibri"/>
        </w:rPr>
        <w:t xml:space="preserve">0.75% to 1.25%.  According to Appendix D, ADOSH’s enforcement presence was </w:t>
      </w:r>
      <w:r w:rsidR="07F33E09" w:rsidRPr="08722B81">
        <w:rPr>
          <w:rFonts w:eastAsia="Calibri" w:cs="Calibri"/>
        </w:rPr>
        <w:t>0.47</w:t>
      </w:r>
      <w:r w:rsidR="340A841F" w:rsidRPr="08722B81">
        <w:rPr>
          <w:rFonts w:eastAsia="Calibri" w:cs="Calibri"/>
        </w:rPr>
        <w:t xml:space="preserve">% and </w:t>
      </w:r>
      <w:r w:rsidR="07F33E09" w:rsidRPr="08722B81">
        <w:rPr>
          <w:rFonts w:eastAsia="Calibri" w:cs="Calibri"/>
        </w:rPr>
        <w:t>below</w:t>
      </w:r>
      <w:r w:rsidR="340A841F" w:rsidRPr="08722B81">
        <w:rPr>
          <w:rFonts w:eastAsia="Calibri" w:cs="Calibri"/>
        </w:rPr>
        <w:t xml:space="preserve"> the FRL. </w:t>
      </w:r>
    </w:p>
    <w:p w14:paraId="163FFE7E" w14:textId="39BBA040" w:rsidR="02D01C39" w:rsidRDefault="02D01C39" w:rsidP="000B58F1"/>
    <w:p w14:paraId="3AF49C58" w14:textId="0C548C1E" w:rsidR="00111D6D" w:rsidRDefault="4DA3AE72" w:rsidP="00133058">
      <w:pPr>
        <w:widowControl/>
        <w:autoSpaceDE/>
        <w:autoSpaceDN/>
        <w:adjustRightInd/>
        <w:rPr>
          <w:rFonts w:cs="Calibri"/>
        </w:rPr>
      </w:pPr>
      <w:r w:rsidRPr="08722B81">
        <w:rPr>
          <w:rFonts w:eastAsia="Calibri" w:cs="Calibri"/>
          <w:b/>
          <w:bCs/>
        </w:rPr>
        <w:t>Explanation</w:t>
      </w:r>
      <w:r w:rsidRPr="08722B81">
        <w:rPr>
          <w:rFonts w:eastAsia="Calibri" w:cs="Calibri"/>
        </w:rPr>
        <w:t xml:space="preserve">:  The percent of enforcement presence describes the number of safety and health inspections conducted compared to the number of employer establishments in the state. </w:t>
      </w:r>
      <w:r w:rsidR="10570DB2" w:rsidRPr="08722B81">
        <w:rPr>
          <w:rFonts w:eastAsia="Calibri" w:cs="Calibri"/>
        </w:rPr>
        <w:t xml:space="preserve"> </w:t>
      </w:r>
      <w:r w:rsidR="6F0E3E64" w:rsidRPr="08722B81">
        <w:rPr>
          <w:rFonts w:eastAsia="Calibri" w:cs="Calibri"/>
        </w:rPr>
        <w:t>In FY 202</w:t>
      </w:r>
      <w:r w:rsidR="7C0B51FB" w:rsidRPr="08722B81">
        <w:rPr>
          <w:rFonts w:eastAsia="Calibri" w:cs="Calibri"/>
        </w:rPr>
        <w:t>4</w:t>
      </w:r>
      <w:r w:rsidR="331146FF" w:rsidRPr="08722B81">
        <w:rPr>
          <w:rFonts w:eastAsia="Calibri" w:cs="Calibri"/>
        </w:rPr>
        <w:t xml:space="preserve">, </w:t>
      </w:r>
      <w:r w:rsidRPr="08722B81">
        <w:rPr>
          <w:rFonts w:eastAsia="Calibri" w:cs="Calibri"/>
        </w:rPr>
        <w:t xml:space="preserve">Arizona’s enforcement presence </w:t>
      </w:r>
      <w:r w:rsidR="7EF0DD1E" w:rsidRPr="08722B81">
        <w:rPr>
          <w:rFonts w:eastAsia="Calibri" w:cs="Calibri"/>
        </w:rPr>
        <w:t>increased from 0.44% in FY 2023</w:t>
      </w:r>
      <w:r w:rsidR="02F3383F" w:rsidRPr="08722B81">
        <w:rPr>
          <w:rFonts w:eastAsia="Calibri" w:cs="Calibri"/>
        </w:rPr>
        <w:t xml:space="preserve"> which was attributed to a higher number of overall inspections conducted this review period.  However,</w:t>
      </w:r>
      <w:r w:rsidR="45C387E9" w:rsidRPr="08722B81">
        <w:rPr>
          <w:rFonts w:cs="Calibri"/>
        </w:rPr>
        <w:t xml:space="preserve"> ADOSH </w:t>
      </w:r>
      <w:r w:rsidR="02F3383F" w:rsidRPr="08722B81">
        <w:rPr>
          <w:rFonts w:cs="Calibri"/>
        </w:rPr>
        <w:t xml:space="preserve">continued to </w:t>
      </w:r>
      <w:r w:rsidR="30E7BAB6" w:rsidRPr="08722B81">
        <w:rPr>
          <w:rFonts w:cs="Calibri"/>
        </w:rPr>
        <w:t xml:space="preserve">reach </w:t>
      </w:r>
      <w:r w:rsidR="02F3383F" w:rsidRPr="08722B81">
        <w:rPr>
          <w:rFonts w:cs="Calibri"/>
        </w:rPr>
        <w:t>fewer</w:t>
      </w:r>
      <w:r w:rsidR="30E7BAB6" w:rsidRPr="08722B81">
        <w:rPr>
          <w:rFonts w:cs="Calibri"/>
        </w:rPr>
        <w:t xml:space="preserve"> employers with enforcement activity than the national average. </w:t>
      </w:r>
      <w:r w:rsidR="02F3383F" w:rsidRPr="08722B81">
        <w:rPr>
          <w:rFonts w:cs="Calibri"/>
        </w:rPr>
        <w:t xml:space="preserve">OSHA will continue to monitor the number of inspections during the next review period.   </w:t>
      </w:r>
    </w:p>
    <w:p w14:paraId="4DD4CBB7" w14:textId="7AC24004" w:rsidR="00507716" w:rsidRPr="001C1E47" w:rsidRDefault="00507716" w:rsidP="00133058">
      <w:pPr>
        <w:widowControl/>
        <w:autoSpaceDE/>
        <w:autoSpaceDN/>
        <w:adjustRightInd/>
        <w:rPr>
          <w:rFonts w:cs="Calibri"/>
        </w:rPr>
        <w:sectPr w:rsidR="00507716" w:rsidRPr="001C1E47" w:rsidSect="00783189">
          <w:footerReference w:type="default" r:id="rId13"/>
          <w:headerReference w:type="first" r:id="rId14"/>
          <w:footerReference w:type="first" r:id="rId15"/>
          <w:pgSz w:w="12240" w:h="15840"/>
          <w:pgMar w:top="1440" w:right="1260" w:bottom="1260" w:left="1440" w:header="720" w:footer="526" w:gutter="0"/>
          <w:pgNumType w:start="1"/>
          <w:cols w:space="720"/>
          <w:titlePg/>
          <w:docGrid w:linePitch="360"/>
        </w:sectPr>
      </w:pPr>
    </w:p>
    <w:p w14:paraId="516D3ECD" w14:textId="77777777" w:rsidR="00B6741C" w:rsidRPr="0002572C" w:rsidRDefault="18538A78" w:rsidP="0045624F">
      <w:pPr>
        <w:pStyle w:val="Heading3"/>
      </w:pPr>
      <w:bookmarkStart w:id="25" w:name="_Toc118905017"/>
      <w:bookmarkStart w:id="26" w:name="_Toc190424181"/>
      <w:r>
        <w:t>Appendix A – New and Continued Findings and Recommendations</w:t>
      </w:r>
      <w:bookmarkEnd w:id="25"/>
      <w:bookmarkEnd w:id="26"/>
    </w:p>
    <w:p w14:paraId="670F195C" w14:textId="1058444C" w:rsidR="00B6741C" w:rsidRDefault="00B6741C" w:rsidP="00B6741C">
      <w:r w:rsidRPr="00A0706F">
        <w:rPr>
          <w:color w:val="000000" w:themeColor="text1"/>
        </w:rPr>
        <w:t>FY 202</w:t>
      </w:r>
      <w:r w:rsidR="00312F6C">
        <w:rPr>
          <w:color w:val="000000" w:themeColor="text1"/>
        </w:rPr>
        <w:t>4</w:t>
      </w:r>
      <w:r w:rsidRPr="00A0706F">
        <w:rPr>
          <w:color w:val="000000" w:themeColor="text1"/>
        </w:rPr>
        <w:t xml:space="preserve"> </w:t>
      </w:r>
      <w:r w:rsidR="006D2E91">
        <w:rPr>
          <w:color w:val="000000" w:themeColor="text1"/>
        </w:rPr>
        <w:t xml:space="preserve">Arizona Division of Occupational Safety and Health </w:t>
      </w:r>
      <w:r w:rsidRPr="00A0706F">
        <w:rPr>
          <w:color w:val="000000" w:themeColor="text1"/>
        </w:rPr>
        <w:t>Follow-up FAME Report</w:t>
      </w:r>
    </w:p>
    <w:p w14:paraId="212A24A3"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Ind w:w="-5" w:type="dxa"/>
        <w:tblLook w:val="01E0" w:firstRow="1" w:lastRow="1" w:firstColumn="1" w:lastColumn="1" w:noHBand="0" w:noVBand="0"/>
      </w:tblPr>
      <w:tblGrid>
        <w:gridCol w:w="1525"/>
        <w:gridCol w:w="4680"/>
        <w:gridCol w:w="5040"/>
        <w:gridCol w:w="1625"/>
      </w:tblGrid>
      <w:tr w:rsidR="090008D6" w:rsidRPr="00873174" w14:paraId="07D9DC8B" w14:textId="77777777" w:rsidTr="004B2201">
        <w:trPr>
          <w:cantSplit/>
          <w:trHeight w:val="345"/>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B7F83D7" w14:textId="714B282B" w:rsidR="090008D6" w:rsidRPr="00873174" w:rsidRDefault="090008D6" w:rsidP="003E3437">
            <w:pPr>
              <w:rPr>
                <w:rFonts w:asciiTheme="minorHAnsi" w:hAnsiTheme="minorHAnsi" w:cstheme="minorHAnsi"/>
                <w:sz w:val="22"/>
                <w:szCs w:val="22"/>
              </w:rPr>
            </w:pPr>
            <w:r w:rsidRPr="00873174">
              <w:rPr>
                <w:rFonts w:asciiTheme="minorHAnsi" w:eastAsia="Calibri" w:hAnsiTheme="minorHAnsi" w:cstheme="minorHAnsi"/>
                <w:b/>
                <w:bCs/>
                <w:sz w:val="22"/>
                <w:szCs w:val="22"/>
              </w:rPr>
              <w:t xml:space="preserve">FY </w:t>
            </w:r>
            <w:r w:rsidR="3F9153C1" w:rsidRPr="00873174">
              <w:rPr>
                <w:rFonts w:asciiTheme="minorHAnsi" w:eastAsia="Calibri" w:hAnsiTheme="minorHAnsi" w:cstheme="minorHAnsi"/>
                <w:b/>
                <w:bCs/>
                <w:sz w:val="22"/>
                <w:szCs w:val="22"/>
              </w:rPr>
              <w:t>20</w:t>
            </w:r>
            <w:r w:rsidR="3B622017" w:rsidRPr="00873174">
              <w:rPr>
                <w:rFonts w:asciiTheme="minorHAnsi" w:eastAsia="Calibri" w:hAnsiTheme="minorHAnsi" w:cstheme="minorHAnsi"/>
                <w:b/>
                <w:bCs/>
                <w:sz w:val="22"/>
                <w:szCs w:val="22"/>
              </w:rPr>
              <w:t>2</w:t>
            </w:r>
            <w:r w:rsidR="00CA72BF" w:rsidRPr="00873174">
              <w:rPr>
                <w:rFonts w:asciiTheme="minorHAnsi" w:eastAsia="Calibri" w:hAnsiTheme="minorHAnsi" w:cstheme="minorHAnsi"/>
                <w:b/>
                <w:bCs/>
                <w:sz w:val="22"/>
                <w:szCs w:val="22"/>
              </w:rPr>
              <w:t>4</w:t>
            </w:r>
            <w:r w:rsidRPr="00873174">
              <w:rPr>
                <w:rFonts w:asciiTheme="minorHAnsi" w:eastAsia="Calibri" w:hAnsiTheme="minorHAnsi" w:cstheme="minorHAnsi"/>
                <w:b/>
                <w:bCs/>
                <w:sz w:val="22"/>
                <w:szCs w:val="22"/>
              </w:rPr>
              <w:t>-#</w:t>
            </w:r>
            <w:r w:rsidR="0000001C" w:rsidRPr="00873174">
              <w:rPr>
                <w:rFonts w:asciiTheme="minorHAnsi" w:eastAsia="Calibri" w:hAnsiTheme="minorHAnsi" w:cstheme="minorHAnsi"/>
                <w:b/>
                <w:bCs/>
                <w:sz w:val="22"/>
                <w:szCs w:val="22"/>
              </w:rPr>
              <w:t>#</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8C113F" w14:textId="3056689A" w:rsidR="090008D6" w:rsidRPr="00873174" w:rsidRDefault="090008D6" w:rsidP="003E3437">
            <w:pPr>
              <w:rPr>
                <w:rFonts w:asciiTheme="minorHAnsi" w:hAnsiTheme="minorHAnsi" w:cstheme="minorHAnsi"/>
                <w:sz w:val="22"/>
                <w:szCs w:val="22"/>
              </w:rPr>
            </w:pPr>
            <w:r w:rsidRPr="00873174">
              <w:rPr>
                <w:rFonts w:asciiTheme="minorHAnsi" w:eastAsia="Calibri" w:hAnsiTheme="minorHAnsi" w:cstheme="minorHAnsi"/>
                <w:b/>
                <w:bCs/>
                <w:sz w:val="22"/>
                <w:szCs w:val="22"/>
              </w:rPr>
              <w:t>Finding</w:t>
            </w: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29E39D" w14:textId="660C9F97" w:rsidR="090008D6" w:rsidRPr="00873174" w:rsidRDefault="090008D6" w:rsidP="003E3437">
            <w:pPr>
              <w:rPr>
                <w:rFonts w:asciiTheme="minorHAnsi" w:hAnsiTheme="minorHAnsi" w:cstheme="minorHAnsi"/>
                <w:sz w:val="22"/>
                <w:szCs w:val="22"/>
              </w:rPr>
            </w:pPr>
            <w:r w:rsidRPr="00873174">
              <w:rPr>
                <w:rFonts w:asciiTheme="minorHAnsi" w:eastAsia="Calibri" w:hAnsiTheme="minorHAnsi" w:cstheme="minorHAnsi"/>
                <w:b/>
                <w:bCs/>
                <w:sz w:val="22"/>
                <w:szCs w:val="22"/>
              </w:rPr>
              <w:t>Recommendation</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BD1DC7" w14:textId="6B2AEDC5" w:rsidR="090008D6" w:rsidRPr="00873174" w:rsidRDefault="40C13279" w:rsidP="003E3437">
            <w:pPr>
              <w:rPr>
                <w:rFonts w:asciiTheme="minorHAnsi" w:hAnsiTheme="minorHAnsi" w:cstheme="minorHAnsi"/>
                <w:sz w:val="22"/>
                <w:szCs w:val="22"/>
              </w:rPr>
            </w:pPr>
            <w:r w:rsidRPr="00873174">
              <w:rPr>
                <w:rFonts w:asciiTheme="minorHAnsi" w:eastAsia="Calibri" w:hAnsiTheme="minorHAnsi" w:cstheme="minorHAnsi"/>
                <w:b/>
                <w:bCs/>
                <w:sz w:val="22"/>
                <w:szCs w:val="22"/>
              </w:rPr>
              <w:t xml:space="preserve">FY </w:t>
            </w:r>
            <w:r w:rsidR="793EB2C2" w:rsidRPr="00873174">
              <w:rPr>
                <w:rFonts w:asciiTheme="minorHAnsi" w:eastAsia="Calibri" w:hAnsiTheme="minorHAnsi" w:cstheme="minorHAnsi"/>
                <w:b/>
                <w:bCs/>
                <w:sz w:val="22"/>
                <w:szCs w:val="22"/>
              </w:rPr>
              <w:t>20</w:t>
            </w:r>
            <w:r w:rsidR="049AC867" w:rsidRPr="00873174">
              <w:rPr>
                <w:rFonts w:asciiTheme="minorHAnsi" w:eastAsia="Calibri" w:hAnsiTheme="minorHAnsi" w:cstheme="minorHAnsi"/>
                <w:b/>
                <w:bCs/>
                <w:sz w:val="22"/>
                <w:szCs w:val="22"/>
              </w:rPr>
              <w:t>2</w:t>
            </w:r>
            <w:r w:rsidR="00CA72BF" w:rsidRPr="00873174">
              <w:rPr>
                <w:rFonts w:asciiTheme="minorHAnsi" w:eastAsia="Calibri" w:hAnsiTheme="minorHAnsi" w:cstheme="minorHAnsi"/>
                <w:b/>
                <w:bCs/>
                <w:sz w:val="22"/>
                <w:szCs w:val="22"/>
              </w:rPr>
              <w:t>3</w:t>
            </w:r>
            <w:r w:rsidRPr="00873174">
              <w:rPr>
                <w:rFonts w:asciiTheme="minorHAnsi" w:eastAsia="Calibri" w:hAnsiTheme="minorHAnsi" w:cstheme="minorHAnsi"/>
                <w:b/>
                <w:bCs/>
                <w:sz w:val="22"/>
                <w:szCs w:val="22"/>
              </w:rPr>
              <w:t xml:space="preserve">-# or </w:t>
            </w:r>
          </w:p>
          <w:p w14:paraId="03D7B341" w14:textId="64DEDF60" w:rsidR="090008D6" w:rsidRPr="00873174" w:rsidRDefault="40C13279" w:rsidP="003E3437">
            <w:pPr>
              <w:rPr>
                <w:rFonts w:asciiTheme="minorHAnsi" w:hAnsiTheme="minorHAnsi" w:cstheme="minorHAnsi"/>
                <w:sz w:val="22"/>
                <w:szCs w:val="22"/>
              </w:rPr>
            </w:pPr>
            <w:r w:rsidRPr="00873174">
              <w:rPr>
                <w:rFonts w:asciiTheme="minorHAnsi" w:eastAsia="Calibri" w:hAnsiTheme="minorHAnsi" w:cstheme="minorHAnsi"/>
                <w:b/>
                <w:bCs/>
                <w:sz w:val="22"/>
                <w:szCs w:val="22"/>
              </w:rPr>
              <w:t xml:space="preserve">FY </w:t>
            </w:r>
            <w:r w:rsidR="793EB2C2" w:rsidRPr="00873174">
              <w:rPr>
                <w:rFonts w:asciiTheme="minorHAnsi" w:eastAsia="Calibri" w:hAnsiTheme="minorHAnsi" w:cstheme="minorHAnsi"/>
                <w:b/>
                <w:bCs/>
                <w:sz w:val="22"/>
                <w:szCs w:val="22"/>
              </w:rPr>
              <w:t>20</w:t>
            </w:r>
            <w:r w:rsidR="049AC867" w:rsidRPr="00873174">
              <w:rPr>
                <w:rFonts w:asciiTheme="minorHAnsi" w:eastAsia="Calibri" w:hAnsiTheme="minorHAnsi" w:cstheme="minorHAnsi"/>
                <w:b/>
                <w:bCs/>
                <w:sz w:val="22"/>
                <w:szCs w:val="22"/>
              </w:rPr>
              <w:t>2</w:t>
            </w:r>
            <w:r w:rsidR="00CA72BF" w:rsidRPr="00873174">
              <w:rPr>
                <w:rFonts w:asciiTheme="minorHAnsi" w:eastAsia="Calibri" w:hAnsiTheme="minorHAnsi" w:cstheme="minorHAnsi"/>
                <w:b/>
                <w:bCs/>
                <w:sz w:val="22"/>
                <w:szCs w:val="22"/>
              </w:rPr>
              <w:t>3</w:t>
            </w:r>
            <w:r w:rsidRPr="00873174">
              <w:rPr>
                <w:rFonts w:asciiTheme="minorHAnsi" w:eastAsia="Calibri" w:hAnsiTheme="minorHAnsi" w:cstheme="minorHAnsi"/>
                <w:b/>
                <w:bCs/>
                <w:sz w:val="22"/>
                <w:szCs w:val="22"/>
              </w:rPr>
              <w:t>-OB-#</w:t>
            </w:r>
          </w:p>
        </w:tc>
      </w:tr>
      <w:tr w:rsidR="090008D6" w:rsidRPr="00873174" w14:paraId="2B014D4B" w14:textId="77777777" w:rsidTr="004B2201">
        <w:trPr>
          <w:cantSplit/>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41246E" w14:textId="5A500E19" w:rsidR="090008D6" w:rsidRPr="00873174" w:rsidRDefault="00A31972">
            <w:pPr>
              <w:rPr>
                <w:rFonts w:asciiTheme="minorHAnsi" w:hAnsiTheme="minorHAnsi" w:cstheme="minorHAnsi"/>
                <w:sz w:val="22"/>
                <w:szCs w:val="22"/>
              </w:rPr>
            </w:pPr>
            <w:r w:rsidRPr="00873174">
              <w:rPr>
                <w:rFonts w:cs="Calibri"/>
                <w:iCs/>
                <w:sz w:val="22"/>
                <w:szCs w:val="22"/>
              </w:rPr>
              <w:t>FY 2024-01</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060CD7" w14:textId="17854F05" w:rsidR="00A31972" w:rsidRPr="00873174" w:rsidRDefault="00A31972" w:rsidP="00A31972">
            <w:pPr>
              <w:widowControl/>
              <w:autoSpaceDE/>
              <w:autoSpaceDN/>
              <w:adjustRightInd/>
              <w:rPr>
                <w:rFonts w:cs="Calibri"/>
                <w:iCs/>
                <w:sz w:val="22"/>
                <w:szCs w:val="22"/>
                <w:highlight w:val="cyan"/>
              </w:rPr>
            </w:pPr>
            <w:r w:rsidRPr="00873174">
              <w:rPr>
                <w:rFonts w:cs="Calibri"/>
                <w:iCs/>
                <w:sz w:val="22"/>
                <w:szCs w:val="22"/>
              </w:rPr>
              <w:t xml:space="preserve">ADOSH’s average number of </w:t>
            </w:r>
            <w:proofErr w:type="gramStart"/>
            <w:r w:rsidRPr="00873174">
              <w:rPr>
                <w:rFonts w:cs="Calibri"/>
                <w:iCs/>
                <w:sz w:val="22"/>
                <w:szCs w:val="22"/>
              </w:rPr>
              <w:t>work days</w:t>
            </w:r>
            <w:proofErr w:type="gramEnd"/>
            <w:r w:rsidRPr="00873174">
              <w:rPr>
                <w:rFonts w:cs="Calibri"/>
                <w:iCs/>
                <w:sz w:val="22"/>
                <w:szCs w:val="22"/>
              </w:rPr>
              <w:t xml:space="preserve"> to initiate a complaint inspection was </w:t>
            </w:r>
            <w:r w:rsidR="005335FF" w:rsidRPr="00873174">
              <w:rPr>
                <w:rFonts w:cs="Calibri"/>
                <w:iCs/>
                <w:sz w:val="22"/>
                <w:szCs w:val="22"/>
              </w:rPr>
              <w:t>43.12</w:t>
            </w:r>
            <w:r w:rsidRPr="00873174">
              <w:rPr>
                <w:rFonts w:cs="Calibri"/>
                <w:iCs/>
                <w:sz w:val="22"/>
                <w:szCs w:val="22"/>
              </w:rPr>
              <w:t xml:space="preserve"> (SAMM 1a), which was above the negotiated goal of 7. </w:t>
            </w:r>
          </w:p>
          <w:p w14:paraId="2AAA87A3" w14:textId="4731FC3D" w:rsidR="090008D6" w:rsidRPr="00873174" w:rsidRDefault="090008D6">
            <w:pPr>
              <w:rPr>
                <w:rFonts w:asciiTheme="minorHAnsi" w:hAnsiTheme="minorHAnsi" w:cstheme="minorHAnsi"/>
                <w:sz w:val="22"/>
                <w:szCs w:val="22"/>
              </w:rPr>
            </w:pP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914B4FC" w14:textId="389CB6B1" w:rsidR="009C18D3" w:rsidRPr="00873174" w:rsidRDefault="001366BB">
            <w:pPr>
              <w:rPr>
                <w:rFonts w:asciiTheme="minorHAnsi" w:hAnsiTheme="minorHAnsi" w:cstheme="minorHAnsi"/>
                <w:sz w:val="22"/>
                <w:szCs w:val="22"/>
              </w:rPr>
            </w:pPr>
            <w:r w:rsidRPr="00873174">
              <w:rPr>
                <w:rFonts w:asciiTheme="minorHAnsi" w:hAnsiTheme="minorHAnsi" w:cstheme="minorHAnsi"/>
                <w:sz w:val="22"/>
                <w:szCs w:val="22"/>
              </w:rPr>
              <w:t xml:space="preserve">ADOSH should ensure complaint inspections are processed within the negotiated goal of seven </w:t>
            </w:r>
            <w:proofErr w:type="gramStart"/>
            <w:r w:rsidRPr="00873174">
              <w:rPr>
                <w:rFonts w:asciiTheme="minorHAnsi" w:hAnsiTheme="minorHAnsi" w:cstheme="minorHAnsi"/>
                <w:sz w:val="22"/>
                <w:szCs w:val="22"/>
              </w:rPr>
              <w:t>work days</w:t>
            </w:r>
            <w:proofErr w:type="gramEnd"/>
            <w:r w:rsidRPr="00873174">
              <w:rPr>
                <w:rFonts w:asciiTheme="minorHAnsi" w:hAnsiTheme="minorHAnsi" w:cstheme="minorHAnsi"/>
                <w:sz w:val="22"/>
                <w:szCs w:val="22"/>
              </w:rPr>
              <w:t xml:space="preserve">. </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E7CF0C" w14:textId="73B5C4BE" w:rsidR="005C3C86" w:rsidRPr="00873174" w:rsidRDefault="00A31972">
            <w:pPr>
              <w:rPr>
                <w:rFonts w:asciiTheme="minorHAnsi" w:hAnsiTheme="minorHAnsi" w:cstheme="minorHAnsi"/>
                <w:sz w:val="22"/>
                <w:szCs w:val="22"/>
              </w:rPr>
            </w:pPr>
            <w:r w:rsidRPr="00873174">
              <w:rPr>
                <w:rFonts w:asciiTheme="minorHAnsi" w:hAnsiTheme="minorHAnsi" w:cstheme="minorHAnsi"/>
                <w:sz w:val="22"/>
                <w:szCs w:val="22"/>
              </w:rPr>
              <w:t>FY 2023-03</w:t>
            </w:r>
          </w:p>
        </w:tc>
      </w:tr>
      <w:tr w:rsidR="090008D6" w:rsidRPr="00873174" w14:paraId="449933D0" w14:textId="77777777" w:rsidTr="004B2201">
        <w:trPr>
          <w:cantSplit/>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CF4720" w14:textId="02B06725" w:rsidR="090008D6" w:rsidRPr="00873174" w:rsidRDefault="00A44946">
            <w:pPr>
              <w:rPr>
                <w:rFonts w:asciiTheme="minorHAnsi" w:hAnsiTheme="minorHAnsi" w:cstheme="minorHAnsi"/>
                <w:sz w:val="22"/>
                <w:szCs w:val="22"/>
              </w:rPr>
            </w:pPr>
            <w:r w:rsidRPr="00873174">
              <w:rPr>
                <w:rFonts w:asciiTheme="minorHAnsi" w:hAnsiTheme="minorHAnsi" w:cstheme="minorHAnsi"/>
                <w:sz w:val="22"/>
                <w:szCs w:val="22"/>
              </w:rPr>
              <w:t>FY 2024-02</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F58E184" w14:textId="0DDEBF76" w:rsidR="00A44946" w:rsidRPr="00873174" w:rsidRDefault="00A44946" w:rsidP="00A44946">
            <w:pPr>
              <w:widowControl/>
              <w:autoSpaceDE/>
              <w:autoSpaceDN/>
              <w:adjustRightInd/>
              <w:rPr>
                <w:rFonts w:cs="Calibri"/>
                <w:iCs/>
                <w:sz w:val="22"/>
                <w:szCs w:val="22"/>
                <w:highlight w:val="cyan"/>
              </w:rPr>
            </w:pPr>
            <w:r w:rsidRPr="00873174">
              <w:rPr>
                <w:rFonts w:cs="Calibri"/>
                <w:iCs/>
                <w:sz w:val="22"/>
                <w:szCs w:val="22"/>
              </w:rPr>
              <w:t xml:space="preserve">ADOSH’s response time to initiate compliant investigations was 111.20 days (SAMM 2a), which was above the negotiated goal of 3 working days. </w:t>
            </w:r>
          </w:p>
          <w:p w14:paraId="06F62585" w14:textId="1F1E488D" w:rsidR="090008D6" w:rsidRPr="00873174" w:rsidRDefault="090008D6">
            <w:pPr>
              <w:rPr>
                <w:rFonts w:asciiTheme="minorHAnsi" w:hAnsiTheme="minorHAnsi" w:cstheme="minorHAnsi"/>
                <w:sz w:val="22"/>
                <w:szCs w:val="22"/>
              </w:rPr>
            </w:pP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89FABE" w14:textId="2E8886A3" w:rsidR="090008D6" w:rsidRPr="00873174" w:rsidRDefault="0013037B">
            <w:pPr>
              <w:rPr>
                <w:rFonts w:asciiTheme="minorHAnsi" w:hAnsiTheme="minorHAnsi" w:cstheme="minorHAnsi"/>
                <w:sz w:val="22"/>
                <w:szCs w:val="22"/>
              </w:rPr>
            </w:pPr>
            <w:r w:rsidRPr="00873174">
              <w:rPr>
                <w:rFonts w:asciiTheme="minorHAnsi" w:hAnsiTheme="minorHAnsi" w:cstheme="minorHAnsi"/>
                <w:sz w:val="22"/>
                <w:szCs w:val="22"/>
              </w:rPr>
              <w:t xml:space="preserve">ADOSH should ensure complaint investigations are initiated within the negotiated goal of three working days. </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57DE962" w14:textId="7F5820A9" w:rsidR="005C3C86" w:rsidRPr="00873174" w:rsidRDefault="00A44946" w:rsidP="0999E32A">
            <w:pPr>
              <w:rPr>
                <w:rFonts w:asciiTheme="minorHAnsi" w:eastAsia="Calibri" w:hAnsiTheme="minorHAnsi" w:cstheme="minorHAnsi"/>
                <w:sz w:val="22"/>
                <w:szCs w:val="22"/>
              </w:rPr>
            </w:pPr>
            <w:r w:rsidRPr="00873174">
              <w:rPr>
                <w:rFonts w:asciiTheme="minorHAnsi" w:eastAsia="Calibri" w:hAnsiTheme="minorHAnsi" w:cstheme="minorHAnsi"/>
                <w:sz w:val="22"/>
                <w:szCs w:val="22"/>
              </w:rPr>
              <w:t>FY 2023-04</w:t>
            </w:r>
          </w:p>
        </w:tc>
      </w:tr>
      <w:tr w:rsidR="090008D6" w:rsidRPr="00873174" w14:paraId="4158585D" w14:textId="77777777" w:rsidTr="004B2201">
        <w:trPr>
          <w:cantSplit/>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9EC5DAC" w14:textId="1293AB8D" w:rsidR="090008D6" w:rsidRPr="00873174" w:rsidRDefault="00FC7804">
            <w:pPr>
              <w:rPr>
                <w:rFonts w:asciiTheme="minorHAnsi" w:hAnsiTheme="minorHAnsi" w:cstheme="minorHAnsi"/>
                <w:sz w:val="22"/>
                <w:szCs w:val="22"/>
              </w:rPr>
            </w:pPr>
            <w:r w:rsidRPr="00873174">
              <w:rPr>
                <w:rFonts w:asciiTheme="minorHAnsi" w:hAnsiTheme="minorHAnsi" w:cstheme="minorHAnsi"/>
                <w:sz w:val="22"/>
                <w:szCs w:val="22"/>
              </w:rPr>
              <w:t>FY 2024-03</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C27570" w14:textId="1F64F997" w:rsidR="00FC7804" w:rsidRPr="00873174" w:rsidRDefault="00FC7804" w:rsidP="00FC7804">
            <w:pPr>
              <w:widowControl/>
              <w:autoSpaceDE/>
              <w:autoSpaceDN/>
              <w:adjustRightInd/>
              <w:rPr>
                <w:rFonts w:cs="Calibri"/>
                <w:iCs/>
                <w:sz w:val="22"/>
                <w:szCs w:val="22"/>
              </w:rPr>
            </w:pPr>
            <w:r w:rsidRPr="00873174">
              <w:rPr>
                <w:rFonts w:cs="Calibri"/>
                <w:iCs/>
                <w:sz w:val="22"/>
                <w:szCs w:val="22"/>
              </w:rPr>
              <w:t>A total of 616 (52.42%) inspections of the goal of 1,175 were conducted (SAMM 7).</w:t>
            </w:r>
          </w:p>
          <w:p w14:paraId="3F513D91" w14:textId="0151A735" w:rsidR="090008D6" w:rsidRPr="00873174" w:rsidRDefault="090008D6">
            <w:pPr>
              <w:rPr>
                <w:rFonts w:asciiTheme="minorHAnsi" w:hAnsiTheme="minorHAnsi" w:cstheme="minorHAnsi"/>
                <w:sz w:val="22"/>
                <w:szCs w:val="22"/>
              </w:rPr>
            </w:pP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AA01335" w14:textId="4E842460" w:rsidR="009C18D3" w:rsidRPr="00873174" w:rsidRDefault="0013037B">
            <w:pPr>
              <w:rPr>
                <w:rFonts w:asciiTheme="minorHAnsi" w:hAnsiTheme="minorHAnsi" w:cstheme="minorHAnsi"/>
                <w:sz w:val="22"/>
                <w:szCs w:val="22"/>
              </w:rPr>
            </w:pPr>
            <w:r w:rsidRPr="00873174">
              <w:rPr>
                <w:rFonts w:asciiTheme="minorHAnsi" w:hAnsiTheme="minorHAnsi" w:cstheme="minorHAnsi"/>
                <w:sz w:val="22"/>
                <w:szCs w:val="22"/>
              </w:rPr>
              <w:t>ADOSH should determine the cause and ensure action is taken to meet inspection goals and provide a stronger enforcement presence to ensure worker safety.</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BE0301E" w14:textId="5EF9AEB3" w:rsidR="00FC7804" w:rsidRPr="00873174" w:rsidRDefault="00FC7804">
            <w:pPr>
              <w:rPr>
                <w:rFonts w:asciiTheme="minorHAnsi" w:hAnsiTheme="minorHAnsi" w:cstheme="minorHAnsi"/>
                <w:sz w:val="22"/>
                <w:szCs w:val="22"/>
              </w:rPr>
            </w:pPr>
            <w:r w:rsidRPr="00873174">
              <w:rPr>
                <w:rFonts w:asciiTheme="minorHAnsi" w:hAnsiTheme="minorHAnsi" w:cstheme="minorHAnsi"/>
                <w:sz w:val="22"/>
                <w:szCs w:val="22"/>
              </w:rPr>
              <w:t>FY 2023-05</w:t>
            </w:r>
          </w:p>
        </w:tc>
      </w:tr>
      <w:tr w:rsidR="7EB95616" w:rsidRPr="00873174" w14:paraId="1E8944C3" w14:textId="77777777" w:rsidTr="004B2201">
        <w:trPr>
          <w:cantSplit/>
          <w:trHeight w:val="300"/>
          <w:tblHeader/>
        </w:trPr>
        <w:tc>
          <w:tcPr>
            <w:tcW w:w="15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FB56D2" w14:textId="32448BC9" w:rsidR="72C7CEE4" w:rsidRPr="00873174" w:rsidRDefault="002D3AE3" w:rsidP="7EB95616">
            <w:pPr>
              <w:rPr>
                <w:rFonts w:asciiTheme="minorHAnsi" w:eastAsia="Calibri" w:hAnsiTheme="minorHAnsi" w:cstheme="minorHAnsi"/>
                <w:sz w:val="22"/>
                <w:szCs w:val="22"/>
              </w:rPr>
            </w:pPr>
            <w:r w:rsidRPr="00873174">
              <w:rPr>
                <w:rFonts w:asciiTheme="minorHAnsi" w:eastAsia="Calibri" w:hAnsiTheme="minorHAnsi" w:cstheme="minorHAnsi"/>
                <w:sz w:val="22"/>
                <w:szCs w:val="22"/>
              </w:rPr>
              <w:t>FY 2024-04</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10765AB" w14:textId="0438696F" w:rsidR="002D3AE3" w:rsidRPr="00873174" w:rsidRDefault="000E2127" w:rsidP="002D3AE3">
            <w:pPr>
              <w:widowControl/>
              <w:tabs>
                <w:tab w:val="center" w:pos="270"/>
                <w:tab w:val="left" w:pos="360"/>
              </w:tabs>
              <w:autoSpaceDE/>
              <w:autoSpaceDN/>
              <w:adjustRightInd/>
              <w:rPr>
                <w:rFonts w:cs="Calibri"/>
                <w:iCs/>
                <w:sz w:val="22"/>
                <w:szCs w:val="22"/>
              </w:rPr>
            </w:pPr>
            <w:r>
              <w:rPr>
                <w:rFonts w:cs="Calibri"/>
                <w:iCs/>
                <w:sz w:val="22"/>
                <w:szCs w:val="22"/>
              </w:rPr>
              <w:t>In FY 2023, a</w:t>
            </w:r>
            <w:r w:rsidR="002D3AE3" w:rsidRPr="00873174">
              <w:rPr>
                <w:rFonts w:cs="Calibri"/>
                <w:iCs/>
                <w:sz w:val="22"/>
                <w:szCs w:val="22"/>
              </w:rPr>
              <w:t>batement documentation was missing in 6 of 39 (15.38%) case files.</w:t>
            </w:r>
          </w:p>
          <w:p w14:paraId="2D0D0C6E" w14:textId="7D3A318E" w:rsidR="7EB95616" w:rsidRPr="00873174" w:rsidRDefault="7EB95616" w:rsidP="7EB95616">
            <w:pPr>
              <w:rPr>
                <w:rFonts w:asciiTheme="minorHAnsi" w:eastAsia="Calibri" w:hAnsiTheme="minorHAnsi" w:cstheme="minorHAnsi"/>
                <w:sz w:val="22"/>
                <w:szCs w:val="22"/>
              </w:rPr>
            </w:pPr>
          </w:p>
        </w:tc>
        <w:tc>
          <w:tcPr>
            <w:tcW w:w="5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D2C5A91" w14:textId="17C35D12" w:rsidR="7EB95616" w:rsidRPr="00873174" w:rsidRDefault="0013037B" w:rsidP="7EB95616">
            <w:pPr>
              <w:rPr>
                <w:rFonts w:asciiTheme="minorHAnsi" w:eastAsia="Calibri" w:hAnsiTheme="minorHAnsi" w:cstheme="minorHAnsi"/>
                <w:sz w:val="22"/>
                <w:szCs w:val="22"/>
              </w:rPr>
            </w:pPr>
            <w:r w:rsidRPr="00873174">
              <w:rPr>
                <w:rFonts w:asciiTheme="minorHAnsi" w:eastAsia="Calibri" w:hAnsiTheme="minorHAnsi" w:cstheme="minorHAnsi"/>
                <w:sz w:val="22"/>
                <w:szCs w:val="22"/>
              </w:rPr>
              <w:t xml:space="preserve">ADOSH should ensure all abatement documentation is maintained in the file. </w:t>
            </w:r>
            <w:r w:rsidR="001A2C01">
              <w:rPr>
                <w:rFonts w:asciiTheme="minorHAnsi" w:eastAsia="Calibri" w:hAnsiTheme="minorHAnsi" w:cstheme="minorHAnsi"/>
                <w:sz w:val="22"/>
                <w:szCs w:val="22"/>
              </w:rPr>
              <w:t>Corrective action complete, awaiting verification.</w:t>
            </w:r>
          </w:p>
        </w:tc>
        <w:tc>
          <w:tcPr>
            <w:tcW w:w="16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C85CC3" w14:textId="72271AA7" w:rsidR="72C7CEE4" w:rsidRPr="00873174" w:rsidRDefault="002D3AE3" w:rsidP="0999E32A">
            <w:pPr>
              <w:rPr>
                <w:rFonts w:asciiTheme="minorHAnsi" w:eastAsia="Calibri" w:hAnsiTheme="minorHAnsi" w:cstheme="minorHAnsi"/>
                <w:sz w:val="22"/>
                <w:szCs w:val="22"/>
              </w:rPr>
            </w:pPr>
            <w:r w:rsidRPr="00873174">
              <w:rPr>
                <w:rFonts w:asciiTheme="minorHAnsi" w:eastAsia="Calibri" w:hAnsiTheme="minorHAnsi" w:cstheme="minorHAnsi"/>
                <w:sz w:val="22"/>
                <w:szCs w:val="22"/>
              </w:rPr>
              <w:t>FY 2023-07</w:t>
            </w:r>
          </w:p>
        </w:tc>
      </w:tr>
    </w:tbl>
    <w:p w14:paraId="3C1E0E19" w14:textId="59429E7F" w:rsidR="000A134A" w:rsidRPr="001C1E47" w:rsidRDefault="000A134A" w:rsidP="007A71AC">
      <w:pPr>
        <w:widowControl/>
        <w:autoSpaceDE/>
        <w:autoSpaceDN/>
        <w:adjustRightInd/>
        <w:rPr>
          <w:rFonts w:cs="Calibri"/>
        </w:rPr>
      </w:pPr>
    </w:p>
    <w:p w14:paraId="039B49D1" w14:textId="77777777" w:rsidR="00D86879" w:rsidRPr="001C1E47" w:rsidRDefault="00D86879" w:rsidP="007A71AC">
      <w:pPr>
        <w:widowControl/>
        <w:autoSpaceDE/>
        <w:autoSpaceDN/>
        <w:adjustRightInd/>
        <w:rPr>
          <w:rFonts w:cs="Calibri"/>
          <w:i/>
        </w:rPr>
      </w:pPr>
    </w:p>
    <w:p w14:paraId="5E283150" w14:textId="4FCC6EB2" w:rsidR="00B6741C" w:rsidRPr="0002572C" w:rsidRDefault="00701C1A" w:rsidP="00C53BC8">
      <w:pPr>
        <w:widowControl/>
        <w:autoSpaceDE/>
        <w:autoSpaceDN/>
        <w:adjustRightInd/>
      </w:pPr>
      <w:r>
        <w:br w:type="column"/>
      </w:r>
    </w:p>
    <w:p w14:paraId="72DA695E" w14:textId="5EAB6FC3" w:rsidR="00B6741C" w:rsidRPr="0002572C" w:rsidRDefault="00B6741C" w:rsidP="0045624F">
      <w:pPr>
        <w:pStyle w:val="Heading3"/>
      </w:pPr>
      <w:bookmarkStart w:id="27" w:name="_Toc118905018"/>
      <w:bookmarkStart w:id="28" w:name="_Toc190424182"/>
      <w:r w:rsidRPr="0002572C">
        <w:t>Appendix B – Observations Subject to Continued Monitoring</w:t>
      </w:r>
      <w:bookmarkEnd w:id="27"/>
      <w:bookmarkEnd w:id="28"/>
    </w:p>
    <w:p w14:paraId="2352A70A" w14:textId="1A7C5FDE" w:rsidR="00E759AB" w:rsidRDefault="00B6741C" w:rsidP="001742A8">
      <w:r>
        <w:t>FY 20</w:t>
      </w:r>
      <w:r w:rsidR="00282EA8">
        <w:t>2</w:t>
      </w:r>
      <w:r w:rsidR="00CA72BF">
        <w:t>4</w:t>
      </w:r>
      <w:r w:rsidR="00282EA8">
        <w:t xml:space="preserve"> </w:t>
      </w:r>
      <w:r w:rsidR="006D2E91">
        <w:t xml:space="preserve">Arizona Division of Occupational Safety and Health </w:t>
      </w:r>
      <w:r>
        <w:t>Follow-up FAME Report</w:t>
      </w:r>
    </w:p>
    <w:p w14:paraId="47C990B9" w14:textId="77777777" w:rsidR="001742A8" w:rsidRDefault="001742A8" w:rsidP="001742A8"/>
    <w:tbl>
      <w:tblPr>
        <w:tblStyle w:val="TableGridLight"/>
        <w:tblpPr w:leftFromText="180" w:rightFromText="180" w:vertAnchor="text" w:tblpY="1"/>
        <w:tblW w:w="0" w:type="auto"/>
        <w:tblLook w:val="04A0" w:firstRow="1" w:lastRow="0" w:firstColumn="1" w:lastColumn="0" w:noHBand="0" w:noVBand="1"/>
      </w:tblPr>
      <w:tblGrid>
        <w:gridCol w:w="2155"/>
        <w:gridCol w:w="2700"/>
        <w:gridCol w:w="2915"/>
        <w:gridCol w:w="3655"/>
        <w:gridCol w:w="1525"/>
      </w:tblGrid>
      <w:tr w:rsidR="001742A8" w:rsidRPr="00873174" w14:paraId="2A1F4DBA" w14:textId="77777777" w:rsidTr="009C67CA">
        <w:tc>
          <w:tcPr>
            <w:tcW w:w="2155" w:type="dxa"/>
          </w:tcPr>
          <w:p w14:paraId="7C8354E3" w14:textId="77777777" w:rsidR="001742A8" w:rsidRPr="00873174" w:rsidRDefault="001742A8" w:rsidP="001742A8">
            <w:pPr>
              <w:widowControl/>
              <w:autoSpaceDE/>
              <w:autoSpaceDN/>
              <w:adjustRightInd/>
              <w:rPr>
                <w:rFonts w:cs="Calibri"/>
                <w:b/>
                <w:sz w:val="22"/>
                <w:szCs w:val="22"/>
              </w:rPr>
            </w:pPr>
            <w:r w:rsidRPr="00873174">
              <w:rPr>
                <w:rFonts w:cs="Calibri"/>
                <w:b/>
                <w:sz w:val="22"/>
                <w:szCs w:val="22"/>
              </w:rPr>
              <w:t>Observation #</w:t>
            </w:r>
          </w:p>
          <w:p w14:paraId="12BDB53B" w14:textId="126948FF" w:rsidR="001742A8" w:rsidRPr="00873174" w:rsidRDefault="001742A8" w:rsidP="001742A8">
            <w:pPr>
              <w:rPr>
                <w:sz w:val="22"/>
                <w:szCs w:val="22"/>
              </w:rPr>
            </w:pPr>
            <w:r w:rsidRPr="00873174">
              <w:rPr>
                <w:rFonts w:cs="Calibri"/>
                <w:b/>
                <w:sz w:val="22"/>
                <w:szCs w:val="22"/>
              </w:rPr>
              <w:t xml:space="preserve">FY </w:t>
            </w:r>
            <w:r w:rsidRPr="00873174">
              <w:rPr>
                <w:rFonts w:cs="Calibri"/>
                <w:b/>
                <w:bCs/>
                <w:sz w:val="22"/>
                <w:szCs w:val="22"/>
              </w:rPr>
              <w:t>202</w:t>
            </w:r>
            <w:r w:rsidR="00CA72BF" w:rsidRPr="00873174">
              <w:rPr>
                <w:rFonts w:cs="Calibri"/>
                <w:b/>
                <w:bCs/>
                <w:sz w:val="22"/>
                <w:szCs w:val="22"/>
              </w:rPr>
              <w:t>4</w:t>
            </w:r>
            <w:r w:rsidRPr="00873174">
              <w:rPr>
                <w:rFonts w:cs="Calibri"/>
                <w:b/>
                <w:sz w:val="22"/>
                <w:szCs w:val="22"/>
              </w:rPr>
              <w:t>-OB-#</w:t>
            </w:r>
          </w:p>
        </w:tc>
        <w:tc>
          <w:tcPr>
            <w:tcW w:w="2700" w:type="dxa"/>
          </w:tcPr>
          <w:p w14:paraId="7481E44E" w14:textId="77777777" w:rsidR="009C67CA" w:rsidRDefault="001742A8" w:rsidP="009C67CA">
            <w:pPr>
              <w:widowControl/>
              <w:autoSpaceDE/>
              <w:autoSpaceDN/>
              <w:adjustRightInd/>
              <w:rPr>
                <w:rFonts w:cs="Calibri"/>
                <w:b/>
                <w:sz w:val="22"/>
                <w:szCs w:val="22"/>
              </w:rPr>
            </w:pPr>
            <w:r w:rsidRPr="00873174">
              <w:rPr>
                <w:rFonts w:cs="Calibri"/>
                <w:b/>
                <w:sz w:val="22"/>
                <w:szCs w:val="22"/>
              </w:rPr>
              <w:t>Observation</w:t>
            </w:r>
            <w:r w:rsidR="00E02EBE">
              <w:rPr>
                <w:rFonts w:cs="Calibri"/>
                <w:b/>
                <w:sz w:val="22"/>
                <w:szCs w:val="22"/>
              </w:rPr>
              <w:t xml:space="preserve"> #</w:t>
            </w:r>
            <w:r w:rsidR="009C67CA">
              <w:rPr>
                <w:rFonts w:cs="Calibri"/>
                <w:b/>
                <w:sz w:val="22"/>
                <w:szCs w:val="22"/>
              </w:rPr>
              <w:t xml:space="preserve"> </w:t>
            </w:r>
          </w:p>
          <w:p w14:paraId="12DE65B0" w14:textId="19BFF760" w:rsidR="001742A8" w:rsidRPr="00873174" w:rsidRDefault="001742A8" w:rsidP="009C67CA">
            <w:pPr>
              <w:widowControl/>
              <w:autoSpaceDE/>
              <w:autoSpaceDN/>
              <w:adjustRightInd/>
              <w:rPr>
                <w:sz w:val="22"/>
                <w:szCs w:val="22"/>
              </w:rPr>
            </w:pPr>
            <w:r w:rsidRPr="00873174">
              <w:rPr>
                <w:rFonts w:cs="Calibri"/>
                <w:b/>
                <w:sz w:val="22"/>
                <w:szCs w:val="22"/>
              </w:rPr>
              <w:t xml:space="preserve">FY </w:t>
            </w:r>
            <w:r w:rsidRPr="00873174">
              <w:rPr>
                <w:rFonts w:cs="Calibri"/>
                <w:b/>
                <w:bCs/>
                <w:sz w:val="22"/>
                <w:szCs w:val="22"/>
              </w:rPr>
              <w:t>202</w:t>
            </w:r>
            <w:r w:rsidR="00CA72BF" w:rsidRPr="00873174">
              <w:rPr>
                <w:rFonts w:cs="Calibri"/>
                <w:b/>
                <w:bCs/>
                <w:sz w:val="22"/>
                <w:szCs w:val="22"/>
              </w:rPr>
              <w:t>3</w:t>
            </w:r>
            <w:r w:rsidRPr="00873174">
              <w:rPr>
                <w:rFonts w:cs="Calibri"/>
                <w:b/>
                <w:sz w:val="22"/>
                <w:szCs w:val="22"/>
              </w:rPr>
              <w:t xml:space="preserve">-OB-# </w:t>
            </w:r>
            <w:r w:rsidRPr="00873174">
              <w:rPr>
                <w:rFonts w:cs="Calibri"/>
                <w:b/>
                <w:i/>
                <w:sz w:val="22"/>
                <w:szCs w:val="22"/>
              </w:rPr>
              <w:t>or</w:t>
            </w:r>
            <w:r w:rsidRPr="00873174">
              <w:rPr>
                <w:rFonts w:cs="Calibri"/>
                <w:b/>
                <w:sz w:val="22"/>
                <w:szCs w:val="22"/>
              </w:rPr>
              <w:t xml:space="preserve"> FY </w:t>
            </w:r>
            <w:r w:rsidRPr="00873174">
              <w:rPr>
                <w:rFonts w:cs="Calibri"/>
                <w:b/>
                <w:bCs/>
                <w:sz w:val="22"/>
                <w:szCs w:val="22"/>
              </w:rPr>
              <w:t>202</w:t>
            </w:r>
            <w:r w:rsidR="00CA72BF" w:rsidRPr="00873174">
              <w:rPr>
                <w:rFonts w:cs="Calibri"/>
                <w:b/>
                <w:bCs/>
                <w:sz w:val="22"/>
                <w:szCs w:val="22"/>
              </w:rPr>
              <w:t>3</w:t>
            </w:r>
            <w:r w:rsidRPr="00873174">
              <w:rPr>
                <w:rFonts w:cs="Calibri"/>
                <w:b/>
                <w:sz w:val="22"/>
                <w:szCs w:val="22"/>
              </w:rPr>
              <w:t>-#</w:t>
            </w:r>
          </w:p>
        </w:tc>
        <w:tc>
          <w:tcPr>
            <w:tcW w:w="2915" w:type="dxa"/>
          </w:tcPr>
          <w:p w14:paraId="78EFCED3" w14:textId="3F56193B" w:rsidR="001742A8" w:rsidRPr="00873174" w:rsidRDefault="001742A8" w:rsidP="001742A8">
            <w:pPr>
              <w:rPr>
                <w:sz w:val="22"/>
                <w:szCs w:val="22"/>
              </w:rPr>
            </w:pPr>
            <w:r w:rsidRPr="00873174">
              <w:rPr>
                <w:rFonts w:cs="Calibri"/>
                <w:b/>
                <w:sz w:val="22"/>
                <w:szCs w:val="22"/>
              </w:rPr>
              <w:t>Observation</w:t>
            </w:r>
          </w:p>
        </w:tc>
        <w:tc>
          <w:tcPr>
            <w:tcW w:w="3655" w:type="dxa"/>
          </w:tcPr>
          <w:p w14:paraId="22DE7635" w14:textId="6512B1AA" w:rsidR="001742A8" w:rsidRPr="00873174" w:rsidRDefault="001742A8" w:rsidP="001742A8">
            <w:pPr>
              <w:rPr>
                <w:sz w:val="22"/>
                <w:szCs w:val="22"/>
              </w:rPr>
            </w:pPr>
            <w:r w:rsidRPr="00873174">
              <w:rPr>
                <w:rFonts w:cs="Calibri"/>
                <w:b/>
                <w:sz w:val="22"/>
                <w:szCs w:val="22"/>
              </w:rPr>
              <w:t>Federal Monitoring Plan</w:t>
            </w:r>
          </w:p>
        </w:tc>
        <w:tc>
          <w:tcPr>
            <w:tcW w:w="1525" w:type="dxa"/>
          </w:tcPr>
          <w:p w14:paraId="4B6984FA" w14:textId="648A27E7" w:rsidR="001742A8" w:rsidRPr="00873174" w:rsidRDefault="001742A8" w:rsidP="001742A8">
            <w:pPr>
              <w:rPr>
                <w:sz w:val="22"/>
                <w:szCs w:val="22"/>
              </w:rPr>
            </w:pPr>
            <w:r w:rsidRPr="00873174">
              <w:rPr>
                <w:rFonts w:cs="Calibri"/>
                <w:b/>
                <w:sz w:val="22"/>
                <w:szCs w:val="22"/>
              </w:rPr>
              <w:t>Current Status</w:t>
            </w:r>
          </w:p>
        </w:tc>
      </w:tr>
      <w:tr w:rsidR="00006BD6" w:rsidRPr="00873174" w14:paraId="00500F2F" w14:textId="77777777" w:rsidTr="009C67CA">
        <w:tc>
          <w:tcPr>
            <w:tcW w:w="2155" w:type="dxa"/>
          </w:tcPr>
          <w:p w14:paraId="362ED8FC" w14:textId="08548B5E" w:rsidR="00006BD6" w:rsidRPr="00873174" w:rsidRDefault="00006BD6" w:rsidP="00006BD6">
            <w:pPr>
              <w:widowControl/>
              <w:autoSpaceDE/>
              <w:autoSpaceDN/>
              <w:adjustRightInd/>
              <w:rPr>
                <w:rFonts w:cs="Calibri"/>
                <w:bCs/>
                <w:sz w:val="22"/>
                <w:szCs w:val="22"/>
              </w:rPr>
            </w:pPr>
            <w:r w:rsidRPr="00873174">
              <w:rPr>
                <w:rFonts w:cs="Calibri"/>
                <w:bCs/>
                <w:sz w:val="22"/>
                <w:szCs w:val="22"/>
              </w:rPr>
              <w:t>FY 2024-OB-01</w:t>
            </w:r>
          </w:p>
        </w:tc>
        <w:tc>
          <w:tcPr>
            <w:tcW w:w="2700" w:type="dxa"/>
          </w:tcPr>
          <w:p w14:paraId="3E4711DD" w14:textId="2E734807" w:rsidR="00006BD6" w:rsidRPr="00873174" w:rsidRDefault="00006BD6" w:rsidP="00006BD6">
            <w:pPr>
              <w:widowControl/>
              <w:autoSpaceDE/>
              <w:autoSpaceDN/>
              <w:adjustRightInd/>
              <w:rPr>
                <w:rFonts w:cs="Calibri"/>
                <w:iCs/>
                <w:color w:val="000000" w:themeColor="text1"/>
                <w:sz w:val="22"/>
                <w:szCs w:val="22"/>
              </w:rPr>
            </w:pPr>
            <w:r w:rsidRPr="00873174">
              <w:rPr>
                <w:rFonts w:cs="Calibri"/>
                <w:iCs/>
                <w:color w:val="000000" w:themeColor="text1"/>
                <w:sz w:val="22"/>
                <w:szCs w:val="22"/>
              </w:rPr>
              <w:t>FY 2023-OB-01</w:t>
            </w:r>
          </w:p>
        </w:tc>
        <w:tc>
          <w:tcPr>
            <w:tcW w:w="2915" w:type="dxa"/>
          </w:tcPr>
          <w:p w14:paraId="47852EB7" w14:textId="389FFEC5" w:rsidR="00006BD6" w:rsidRPr="00873174" w:rsidRDefault="00DC3549" w:rsidP="00006BD6">
            <w:pPr>
              <w:rPr>
                <w:sz w:val="22"/>
                <w:szCs w:val="22"/>
              </w:rPr>
            </w:pPr>
            <w:r w:rsidRPr="00DC3549">
              <w:rPr>
                <w:rFonts w:cs="Calibri"/>
                <w:iCs/>
                <w:sz w:val="22"/>
                <w:szCs w:val="22"/>
              </w:rPr>
              <w:t>ADOSH’s serious, willful, repeated, and unclassified (SWRU) violations per inspection rate was 1.15 (SAMM 5a) and below the FRL range of 1.39 to 2.08.</w:t>
            </w:r>
          </w:p>
        </w:tc>
        <w:tc>
          <w:tcPr>
            <w:tcW w:w="3655" w:type="dxa"/>
          </w:tcPr>
          <w:p w14:paraId="5B5DFDBE" w14:textId="48236360" w:rsidR="00006BD6" w:rsidRPr="00873174" w:rsidRDefault="00006BD6" w:rsidP="00006BD6">
            <w:pPr>
              <w:rPr>
                <w:sz w:val="22"/>
                <w:szCs w:val="22"/>
              </w:rPr>
            </w:pPr>
            <w:r w:rsidRPr="00873174">
              <w:rPr>
                <w:sz w:val="22"/>
                <w:szCs w:val="22"/>
              </w:rPr>
              <w:t>OSHA will monitor the SWRU violations per inspection rate to ensure they are within the FRL.</w:t>
            </w:r>
          </w:p>
        </w:tc>
        <w:tc>
          <w:tcPr>
            <w:tcW w:w="1525" w:type="dxa"/>
          </w:tcPr>
          <w:p w14:paraId="3FDC4501" w14:textId="10A8251B" w:rsidR="00006BD6" w:rsidRPr="00873174" w:rsidRDefault="00006BD6" w:rsidP="00006BD6">
            <w:pPr>
              <w:rPr>
                <w:rFonts w:cs="Calibri"/>
                <w:iCs/>
                <w:color w:val="000000" w:themeColor="text1"/>
                <w:sz w:val="22"/>
                <w:szCs w:val="22"/>
              </w:rPr>
            </w:pPr>
            <w:r w:rsidRPr="00873174">
              <w:rPr>
                <w:rFonts w:cs="Calibri"/>
                <w:iCs/>
                <w:color w:val="000000" w:themeColor="text1"/>
                <w:sz w:val="22"/>
                <w:szCs w:val="22"/>
              </w:rPr>
              <w:t>Continued</w:t>
            </w:r>
          </w:p>
        </w:tc>
      </w:tr>
      <w:tr w:rsidR="00006BD6" w:rsidRPr="00873174" w14:paraId="219E5657" w14:textId="77777777" w:rsidTr="009C67CA">
        <w:tc>
          <w:tcPr>
            <w:tcW w:w="2155" w:type="dxa"/>
          </w:tcPr>
          <w:p w14:paraId="5E547355" w14:textId="1D6A913B" w:rsidR="00006BD6" w:rsidRPr="00873174" w:rsidRDefault="00006BD6" w:rsidP="00006BD6">
            <w:pPr>
              <w:widowControl/>
              <w:autoSpaceDE/>
              <w:autoSpaceDN/>
              <w:adjustRightInd/>
              <w:rPr>
                <w:rFonts w:cs="Calibri"/>
                <w:bCs/>
                <w:sz w:val="22"/>
                <w:szCs w:val="22"/>
              </w:rPr>
            </w:pPr>
            <w:r w:rsidRPr="00873174">
              <w:rPr>
                <w:rFonts w:cs="Calibri"/>
                <w:bCs/>
                <w:sz w:val="22"/>
                <w:szCs w:val="22"/>
              </w:rPr>
              <w:t>FY 2024-OB-02</w:t>
            </w:r>
          </w:p>
        </w:tc>
        <w:tc>
          <w:tcPr>
            <w:tcW w:w="2700" w:type="dxa"/>
          </w:tcPr>
          <w:p w14:paraId="68D97F5C" w14:textId="3F8A3AE7" w:rsidR="00006BD6" w:rsidRPr="00873174" w:rsidRDefault="00006BD6" w:rsidP="00006BD6">
            <w:pPr>
              <w:widowControl/>
              <w:autoSpaceDE/>
              <w:autoSpaceDN/>
              <w:adjustRightInd/>
              <w:rPr>
                <w:rFonts w:cs="Calibri"/>
                <w:iCs/>
                <w:color w:val="000000" w:themeColor="text1"/>
                <w:sz w:val="22"/>
                <w:szCs w:val="22"/>
              </w:rPr>
            </w:pPr>
            <w:r w:rsidRPr="00873174">
              <w:rPr>
                <w:rFonts w:cs="Calibri"/>
                <w:iCs/>
                <w:color w:val="000000" w:themeColor="text1"/>
                <w:sz w:val="22"/>
                <w:szCs w:val="22"/>
              </w:rPr>
              <w:t>Not Applicable</w:t>
            </w:r>
          </w:p>
        </w:tc>
        <w:tc>
          <w:tcPr>
            <w:tcW w:w="2915" w:type="dxa"/>
          </w:tcPr>
          <w:p w14:paraId="7AF7D372" w14:textId="18D2C28C" w:rsidR="00006BD6" w:rsidRPr="00873174" w:rsidRDefault="00006BD6" w:rsidP="00006BD6">
            <w:pPr>
              <w:rPr>
                <w:rFonts w:eastAsia="Calibri" w:cs="Calibri"/>
                <w:sz w:val="22"/>
                <w:szCs w:val="22"/>
              </w:rPr>
            </w:pPr>
            <w:r w:rsidRPr="00873174">
              <w:rPr>
                <w:rFonts w:eastAsia="Calibri" w:cs="Calibri"/>
                <w:sz w:val="22"/>
                <w:szCs w:val="22"/>
              </w:rPr>
              <w:t xml:space="preserve">ADOSH’s average lapse time for safety inspections </w:t>
            </w:r>
            <w:r w:rsidR="00317029">
              <w:rPr>
                <w:rFonts w:eastAsia="Calibri" w:cs="Calibri"/>
                <w:sz w:val="22"/>
                <w:szCs w:val="22"/>
              </w:rPr>
              <w:t xml:space="preserve">(SAMM 11a) </w:t>
            </w:r>
            <w:r w:rsidRPr="00873174">
              <w:rPr>
                <w:rFonts w:eastAsia="Calibri" w:cs="Calibri"/>
                <w:sz w:val="22"/>
                <w:szCs w:val="22"/>
              </w:rPr>
              <w:t xml:space="preserve">was 97.92 days, which was above the FRL.  </w:t>
            </w:r>
          </w:p>
        </w:tc>
        <w:tc>
          <w:tcPr>
            <w:tcW w:w="3655" w:type="dxa"/>
          </w:tcPr>
          <w:p w14:paraId="1077B341" w14:textId="64E92221" w:rsidR="00006BD6" w:rsidRPr="00873174" w:rsidRDefault="00006BD6" w:rsidP="00006BD6">
            <w:pPr>
              <w:rPr>
                <w:sz w:val="22"/>
                <w:szCs w:val="22"/>
              </w:rPr>
            </w:pPr>
            <w:r w:rsidRPr="00873174">
              <w:rPr>
                <w:rFonts w:eastAsia="Calibri" w:cs="Calibri"/>
                <w:sz w:val="22"/>
                <w:szCs w:val="22"/>
              </w:rPr>
              <w:t xml:space="preserve">OSHA will monitor ADOSH’s lapse time for safety inspections and ensure they are within the FRL.  </w:t>
            </w:r>
          </w:p>
        </w:tc>
        <w:tc>
          <w:tcPr>
            <w:tcW w:w="1525" w:type="dxa"/>
          </w:tcPr>
          <w:p w14:paraId="5B247B62" w14:textId="212ACFCB" w:rsidR="00006BD6" w:rsidRPr="00873174" w:rsidRDefault="00C70EFE" w:rsidP="00006BD6">
            <w:pPr>
              <w:rPr>
                <w:rFonts w:cs="Calibri"/>
                <w:iCs/>
                <w:color w:val="000000" w:themeColor="text1"/>
                <w:sz w:val="22"/>
                <w:szCs w:val="22"/>
              </w:rPr>
            </w:pPr>
            <w:r w:rsidRPr="00873174">
              <w:rPr>
                <w:rFonts w:cs="Calibri"/>
                <w:iCs/>
                <w:color w:val="000000" w:themeColor="text1"/>
                <w:sz w:val="22"/>
                <w:szCs w:val="22"/>
              </w:rPr>
              <w:t>New</w:t>
            </w:r>
          </w:p>
        </w:tc>
      </w:tr>
      <w:tr w:rsidR="00006BD6" w:rsidRPr="00873174" w14:paraId="6BF428EF" w14:textId="77777777" w:rsidTr="009C67CA">
        <w:tc>
          <w:tcPr>
            <w:tcW w:w="2155" w:type="dxa"/>
          </w:tcPr>
          <w:p w14:paraId="031D4B5F" w14:textId="7CE2031A" w:rsidR="00006BD6" w:rsidRPr="00873174" w:rsidRDefault="00006BD6" w:rsidP="00006BD6">
            <w:pPr>
              <w:widowControl/>
              <w:autoSpaceDE/>
              <w:autoSpaceDN/>
              <w:adjustRightInd/>
              <w:rPr>
                <w:rFonts w:cs="Calibri"/>
                <w:bCs/>
                <w:sz w:val="22"/>
                <w:szCs w:val="22"/>
              </w:rPr>
            </w:pPr>
            <w:r w:rsidRPr="00873174">
              <w:rPr>
                <w:rFonts w:cs="Calibri"/>
                <w:bCs/>
                <w:sz w:val="22"/>
                <w:szCs w:val="22"/>
              </w:rPr>
              <w:t>FY 2024-OB-03</w:t>
            </w:r>
          </w:p>
        </w:tc>
        <w:tc>
          <w:tcPr>
            <w:tcW w:w="2700" w:type="dxa"/>
          </w:tcPr>
          <w:p w14:paraId="15E11C2F" w14:textId="0EC7281C" w:rsidR="00006BD6" w:rsidRPr="00873174" w:rsidRDefault="00C70EFE" w:rsidP="00006BD6">
            <w:pPr>
              <w:widowControl/>
              <w:autoSpaceDE/>
              <w:autoSpaceDN/>
              <w:adjustRightInd/>
              <w:rPr>
                <w:rFonts w:cs="Calibri"/>
                <w:bCs/>
                <w:sz w:val="22"/>
                <w:szCs w:val="22"/>
              </w:rPr>
            </w:pPr>
            <w:r w:rsidRPr="00873174">
              <w:rPr>
                <w:rFonts w:cs="Calibri"/>
                <w:bCs/>
                <w:sz w:val="22"/>
                <w:szCs w:val="22"/>
              </w:rPr>
              <w:t>Not Applicable</w:t>
            </w:r>
          </w:p>
        </w:tc>
        <w:tc>
          <w:tcPr>
            <w:tcW w:w="2915" w:type="dxa"/>
          </w:tcPr>
          <w:p w14:paraId="7802F20B" w14:textId="05E275DD" w:rsidR="00006BD6" w:rsidRPr="00873174" w:rsidRDefault="00C70EFE" w:rsidP="00C70EFE">
            <w:pPr>
              <w:rPr>
                <w:rFonts w:eastAsia="Calibri" w:cs="Calibri"/>
                <w:sz w:val="22"/>
                <w:szCs w:val="22"/>
              </w:rPr>
            </w:pPr>
            <w:r w:rsidRPr="00873174">
              <w:rPr>
                <w:rFonts w:eastAsia="Calibri" w:cs="Calibri"/>
                <w:sz w:val="22"/>
                <w:szCs w:val="22"/>
              </w:rPr>
              <w:t xml:space="preserve">ADOSH’s average lapse time for health inspections </w:t>
            </w:r>
            <w:r w:rsidR="00317029">
              <w:rPr>
                <w:rFonts w:eastAsia="Calibri" w:cs="Calibri"/>
                <w:sz w:val="22"/>
                <w:szCs w:val="22"/>
              </w:rPr>
              <w:t xml:space="preserve">(SAMM 11b) </w:t>
            </w:r>
            <w:r w:rsidRPr="00873174">
              <w:rPr>
                <w:rFonts w:eastAsia="Calibri" w:cs="Calibri"/>
                <w:sz w:val="22"/>
                <w:szCs w:val="22"/>
              </w:rPr>
              <w:t xml:space="preserve">was 93.30 days, which was above the FRL.  </w:t>
            </w:r>
          </w:p>
        </w:tc>
        <w:tc>
          <w:tcPr>
            <w:tcW w:w="3655" w:type="dxa"/>
          </w:tcPr>
          <w:p w14:paraId="240C7EF8" w14:textId="26A4AF53" w:rsidR="00006BD6" w:rsidRPr="00873174" w:rsidRDefault="00C70EFE" w:rsidP="00006BD6">
            <w:pPr>
              <w:rPr>
                <w:rFonts w:cs="Calibri"/>
                <w:bCs/>
                <w:sz w:val="22"/>
                <w:szCs w:val="22"/>
              </w:rPr>
            </w:pPr>
            <w:r w:rsidRPr="00873174">
              <w:rPr>
                <w:rFonts w:eastAsia="Calibri" w:cs="Calibri"/>
                <w:sz w:val="22"/>
                <w:szCs w:val="22"/>
              </w:rPr>
              <w:t xml:space="preserve">OSHA will monitor ADOSH’s lapse time for health inspections and ensure they are within the FRL.  </w:t>
            </w:r>
          </w:p>
        </w:tc>
        <w:tc>
          <w:tcPr>
            <w:tcW w:w="1525" w:type="dxa"/>
          </w:tcPr>
          <w:p w14:paraId="0E6FA406" w14:textId="19A7112F" w:rsidR="00006BD6" w:rsidRPr="00873174" w:rsidRDefault="00C70EFE" w:rsidP="00006BD6">
            <w:pPr>
              <w:rPr>
                <w:rFonts w:cs="Calibri"/>
                <w:bCs/>
                <w:sz w:val="22"/>
                <w:szCs w:val="22"/>
              </w:rPr>
            </w:pPr>
            <w:r w:rsidRPr="00873174">
              <w:rPr>
                <w:rFonts w:cs="Calibri"/>
                <w:bCs/>
                <w:sz w:val="22"/>
                <w:szCs w:val="22"/>
              </w:rPr>
              <w:t>New</w:t>
            </w:r>
          </w:p>
        </w:tc>
      </w:tr>
      <w:tr w:rsidR="00006BD6" w:rsidRPr="00873174" w14:paraId="6F9D5238" w14:textId="77777777" w:rsidTr="009C67CA">
        <w:tc>
          <w:tcPr>
            <w:tcW w:w="2155" w:type="dxa"/>
          </w:tcPr>
          <w:p w14:paraId="6AFE7A13" w14:textId="05853177" w:rsidR="00006BD6" w:rsidRPr="00873174" w:rsidRDefault="00C70EFE" w:rsidP="00006BD6">
            <w:pPr>
              <w:widowControl/>
              <w:autoSpaceDE/>
              <w:autoSpaceDN/>
              <w:adjustRightInd/>
              <w:rPr>
                <w:rFonts w:cs="Calibri"/>
                <w:iCs/>
                <w:color w:val="000000" w:themeColor="text1"/>
                <w:sz w:val="22"/>
                <w:szCs w:val="22"/>
              </w:rPr>
            </w:pPr>
            <w:r w:rsidRPr="00873174">
              <w:rPr>
                <w:rFonts w:cs="Calibri"/>
                <w:iCs/>
                <w:color w:val="000000" w:themeColor="text1"/>
                <w:sz w:val="22"/>
                <w:szCs w:val="22"/>
              </w:rPr>
              <w:t xml:space="preserve">Not Applicable </w:t>
            </w:r>
          </w:p>
        </w:tc>
        <w:tc>
          <w:tcPr>
            <w:tcW w:w="2700" w:type="dxa"/>
          </w:tcPr>
          <w:p w14:paraId="3F9E11C7" w14:textId="2DA0B4AF" w:rsidR="00006BD6" w:rsidRPr="00873174" w:rsidRDefault="00006BD6" w:rsidP="00006BD6">
            <w:pPr>
              <w:widowControl/>
              <w:autoSpaceDE/>
              <w:autoSpaceDN/>
              <w:adjustRightInd/>
              <w:rPr>
                <w:rFonts w:cs="Calibri"/>
                <w:iCs/>
                <w:color w:val="000000" w:themeColor="text1"/>
                <w:sz w:val="22"/>
                <w:szCs w:val="22"/>
              </w:rPr>
            </w:pPr>
            <w:r w:rsidRPr="00873174">
              <w:rPr>
                <w:rFonts w:cs="Calibri"/>
                <w:iCs/>
                <w:color w:val="000000" w:themeColor="text1"/>
                <w:sz w:val="22"/>
                <w:szCs w:val="22"/>
              </w:rPr>
              <w:t>FY 2023-OB-02</w:t>
            </w:r>
          </w:p>
        </w:tc>
        <w:tc>
          <w:tcPr>
            <w:tcW w:w="2915" w:type="dxa"/>
          </w:tcPr>
          <w:p w14:paraId="2E1CE845" w14:textId="3C44B9E8" w:rsidR="00006BD6" w:rsidRPr="00873174" w:rsidRDefault="00006BD6" w:rsidP="004C7747">
            <w:pPr>
              <w:rPr>
                <w:rFonts w:cs="Calibri"/>
                <w:bCs/>
                <w:sz w:val="22"/>
                <w:szCs w:val="22"/>
              </w:rPr>
            </w:pPr>
            <w:r w:rsidRPr="00873174">
              <w:rPr>
                <w:rFonts w:cs="Calibri"/>
                <w:iCs/>
                <w:color w:val="000000" w:themeColor="text1"/>
                <w:sz w:val="22"/>
                <w:szCs w:val="22"/>
              </w:rPr>
              <w:t>ADOSH’s other-than- serious violations per inspection</w:t>
            </w:r>
            <w:r w:rsidR="004C7747">
              <w:rPr>
                <w:rFonts w:cs="Calibri"/>
                <w:iCs/>
                <w:color w:val="000000" w:themeColor="text1"/>
                <w:sz w:val="22"/>
                <w:szCs w:val="22"/>
              </w:rPr>
              <w:t xml:space="preserve"> </w:t>
            </w:r>
            <w:r w:rsidRPr="00873174">
              <w:rPr>
                <w:rFonts w:cs="Calibri"/>
                <w:iCs/>
                <w:color w:val="000000" w:themeColor="text1"/>
                <w:sz w:val="22"/>
                <w:szCs w:val="22"/>
              </w:rPr>
              <w:t>was 2.41 (SAMM 5b)</w:t>
            </w:r>
            <w:r w:rsidR="004C7747">
              <w:rPr>
                <w:rFonts w:cs="Calibri"/>
                <w:iCs/>
                <w:color w:val="000000" w:themeColor="text1"/>
                <w:sz w:val="22"/>
                <w:szCs w:val="22"/>
              </w:rPr>
              <w:t xml:space="preserve"> </w:t>
            </w:r>
            <w:r w:rsidRPr="00873174">
              <w:rPr>
                <w:rFonts w:cs="Calibri"/>
                <w:iCs/>
                <w:color w:val="000000" w:themeColor="text1"/>
                <w:sz w:val="22"/>
                <w:szCs w:val="22"/>
              </w:rPr>
              <w:t>and above the FRL range of 0.71 to 1.07.</w:t>
            </w:r>
          </w:p>
        </w:tc>
        <w:tc>
          <w:tcPr>
            <w:tcW w:w="3655" w:type="dxa"/>
          </w:tcPr>
          <w:p w14:paraId="260764E7" w14:textId="4B1C2E9D" w:rsidR="00006BD6" w:rsidRPr="00873174" w:rsidRDefault="00006BD6" w:rsidP="00006BD6">
            <w:pPr>
              <w:rPr>
                <w:rFonts w:cs="Calibri"/>
                <w:iCs/>
                <w:color w:val="000000" w:themeColor="text1"/>
                <w:sz w:val="22"/>
                <w:szCs w:val="22"/>
              </w:rPr>
            </w:pPr>
            <w:r w:rsidRPr="00873174">
              <w:rPr>
                <w:rFonts w:cs="Calibri"/>
                <w:iCs/>
                <w:color w:val="000000" w:themeColor="text1"/>
                <w:sz w:val="22"/>
                <w:szCs w:val="22"/>
              </w:rPr>
              <w:t xml:space="preserve">OSHA will work with ADOSH to </w:t>
            </w:r>
            <w:proofErr w:type="gramStart"/>
            <w:r w:rsidRPr="00873174">
              <w:rPr>
                <w:rFonts w:cs="Calibri"/>
                <w:iCs/>
                <w:color w:val="000000" w:themeColor="text1"/>
                <w:sz w:val="22"/>
                <w:szCs w:val="22"/>
              </w:rPr>
              <w:t>look into</w:t>
            </w:r>
            <w:proofErr w:type="gramEnd"/>
            <w:r w:rsidRPr="00873174">
              <w:rPr>
                <w:rFonts w:cs="Calibri"/>
                <w:iCs/>
                <w:color w:val="000000" w:themeColor="text1"/>
                <w:sz w:val="22"/>
                <w:szCs w:val="22"/>
              </w:rPr>
              <w:t xml:space="preserve"> the upward trend of other-than-serious violations per inspection and ensure they are within the FRL. </w:t>
            </w:r>
          </w:p>
        </w:tc>
        <w:tc>
          <w:tcPr>
            <w:tcW w:w="1525" w:type="dxa"/>
          </w:tcPr>
          <w:p w14:paraId="04B6B07D" w14:textId="4FE783DA" w:rsidR="00006BD6" w:rsidRPr="00873174" w:rsidRDefault="00006BD6" w:rsidP="00006BD6">
            <w:pPr>
              <w:rPr>
                <w:rFonts w:cs="Calibri"/>
                <w:iCs/>
                <w:color w:val="000000" w:themeColor="text1"/>
                <w:sz w:val="22"/>
                <w:szCs w:val="22"/>
              </w:rPr>
            </w:pPr>
            <w:r w:rsidRPr="00873174">
              <w:rPr>
                <w:rFonts w:cs="Calibri"/>
                <w:iCs/>
                <w:color w:val="000000" w:themeColor="text1"/>
                <w:sz w:val="22"/>
                <w:szCs w:val="22"/>
              </w:rPr>
              <w:t>Closed</w:t>
            </w:r>
          </w:p>
        </w:tc>
      </w:tr>
      <w:tr w:rsidR="00006BD6" w:rsidRPr="00873174" w14:paraId="45B33FE4" w14:textId="77777777" w:rsidTr="009C67CA">
        <w:tc>
          <w:tcPr>
            <w:tcW w:w="2155" w:type="dxa"/>
          </w:tcPr>
          <w:p w14:paraId="0C18904F" w14:textId="6642B334" w:rsidR="00006BD6" w:rsidRPr="00873174" w:rsidRDefault="00C70EFE" w:rsidP="00006BD6">
            <w:pPr>
              <w:widowControl/>
              <w:autoSpaceDE/>
              <w:autoSpaceDN/>
              <w:adjustRightInd/>
              <w:rPr>
                <w:rFonts w:cs="Calibri"/>
                <w:iCs/>
                <w:color w:val="000000" w:themeColor="text1"/>
                <w:sz w:val="22"/>
                <w:szCs w:val="22"/>
              </w:rPr>
            </w:pPr>
            <w:r w:rsidRPr="00873174">
              <w:rPr>
                <w:rFonts w:cs="Calibri"/>
                <w:iCs/>
                <w:color w:val="000000" w:themeColor="text1"/>
                <w:sz w:val="22"/>
                <w:szCs w:val="22"/>
              </w:rPr>
              <w:t xml:space="preserve">Not Applicable </w:t>
            </w:r>
          </w:p>
        </w:tc>
        <w:tc>
          <w:tcPr>
            <w:tcW w:w="2700" w:type="dxa"/>
          </w:tcPr>
          <w:p w14:paraId="2564E5A4" w14:textId="6BA17F62" w:rsidR="00006BD6" w:rsidRPr="00873174" w:rsidRDefault="00006BD6" w:rsidP="00006BD6">
            <w:pPr>
              <w:widowControl/>
              <w:autoSpaceDE/>
              <w:autoSpaceDN/>
              <w:adjustRightInd/>
              <w:rPr>
                <w:rFonts w:cs="Calibri"/>
                <w:iCs/>
                <w:color w:val="000000" w:themeColor="text1"/>
                <w:sz w:val="22"/>
                <w:szCs w:val="22"/>
              </w:rPr>
            </w:pPr>
            <w:r w:rsidRPr="00873174">
              <w:rPr>
                <w:rFonts w:cs="Calibri"/>
                <w:iCs/>
                <w:color w:val="000000" w:themeColor="text1"/>
                <w:sz w:val="22"/>
                <w:szCs w:val="22"/>
              </w:rPr>
              <w:t>FY 2023-OB-03</w:t>
            </w:r>
          </w:p>
        </w:tc>
        <w:tc>
          <w:tcPr>
            <w:tcW w:w="2915" w:type="dxa"/>
          </w:tcPr>
          <w:p w14:paraId="2ACA8E3C" w14:textId="5176263A" w:rsidR="00006BD6" w:rsidRPr="00873174" w:rsidRDefault="00006BD6" w:rsidP="00006BD6">
            <w:pPr>
              <w:rPr>
                <w:rFonts w:cs="Calibri"/>
                <w:iCs/>
                <w:color w:val="000000" w:themeColor="text1"/>
                <w:sz w:val="22"/>
                <w:szCs w:val="22"/>
              </w:rPr>
            </w:pPr>
            <w:r w:rsidRPr="00873174">
              <w:rPr>
                <w:sz w:val="22"/>
                <w:szCs w:val="22"/>
              </w:rPr>
              <w:t>In two of 16 (13%) state and local government agency consultation files, there was no documentation of the List of Hazards being sent to the union representatives.</w:t>
            </w:r>
          </w:p>
        </w:tc>
        <w:tc>
          <w:tcPr>
            <w:tcW w:w="3655" w:type="dxa"/>
          </w:tcPr>
          <w:p w14:paraId="37BF5C7A" w14:textId="333E4A5A" w:rsidR="00006BD6" w:rsidRPr="00873174" w:rsidRDefault="00006BD6" w:rsidP="00006BD6">
            <w:pPr>
              <w:rPr>
                <w:rFonts w:cs="Calibri"/>
                <w:iCs/>
                <w:color w:val="000000" w:themeColor="text1"/>
                <w:sz w:val="22"/>
                <w:szCs w:val="22"/>
              </w:rPr>
            </w:pPr>
            <w:r w:rsidRPr="00873174">
              <w:rPr>
                <w:rFonts w:cs="Calibri"/>
                <w:iCs/>
                <w:color w:val="000000" w:themeColor="text1"/>
                <w:sz w:val="22"/>
                <w:szCs w:val="22"/>
              </w:rPr>
              <w:t xml:space="preserve">OSHA will monitor and discuss ADOSH’s progress to ensure the list of hazards is transmitted to union representatives and documented in the case file. </w:t>
            </w:r>
          </w:p>
        </w:tc>
        <w:tc>
          <w:tcPr>
            <w:tcW w:w="1525" w:type="dxa"/>
          </w:tcPr>
          <w:p w14:paraId="434B9581" w14:textId="0714108C" w:rsidR="00006BD6" w:rsidRPr="00873174" w:rsidRDefault="00F4114B" w:rsidP="00006BD6">
            <w:pPr>
              <w:rPr>
                <w:rFonts w:cs="Calibri"/>
                <w:iCs/>
                <w:color w:val="000000" w:themeColor="text1"/>
                <w:sz w:val="22"/>
                <w:szCs w:val="22"/>
              </w:rPr>
            </w:pPr>
            <w:r>
              <w:rPr>
                <w:rFonts w:cs="Calibri"/>
                <w:iCs/>
                <w:color w:val="000000" w:themeColor="text1"/>
                <w:sz w:val="22"/>
                <w:szCs w:val="22"/>
              </w:rPr>
              <w:t>Closed</w:t>
            </w:r>
            <w:r w:rsidR="00006BD6" w:rsidRPr="00873174">
              <w:rPr>
                <w:rFonts w:cs="Calibri"/>
                <w:iCs/>
                <w:color w:val="000000" w:themeColor="text1"/>
                <w:sz w:val="22"/>
                <w:szCs w:val="22"/>
              </w:rPr>
              <w:t xml:space="preserve"> </w:t>
            </w:r>
          </w:p>
        </w:tc>
      </w:tr>
    </w:tbl>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even" r:id="rId16"/>
          <w:headerReference w:type="default" r:id="rId17"/>
          <w:headerReference w:type="first" r:id="rId18"/>
          <w:footerReference w:type="first" r:id="rId19"/>
          <w:type w:val="continuous"/>
          <w:pgSz w:w="15840" w:h="12240" w:orient="landscape"/>
          <w:pgMar w:top="1440" w:right="1440" w:bottom="1440" w:left="1440" w:header="720" w:footer="720" w:gutter="0"/>
          <w:cols w:space="720"/>
          <w:titlePg/>
          <w:docGrid w:linePitch="360"/>
        </w:sectPr>
      </w:pPr>
    </w:p>
    <w:p w14:paraId="01176981" w14:textId="29F9CAF5" w:rsidR="00747710" w:rsidRDefault="00747710" w:rsidP="0045624F">
      <w:pPr>
        <w:pStyle w:val="Heading3"/>
        <w:ind w:left="-270"/>
      </w:pPr>
      <w:bookmarkStart w:id="29" w:name="_Toc118905019"/>
      <w:bookmarkStart w:id="30" w:name="_Toc190424183"/>
      <w:r w:rsidRPr="00747710">
        <w:t>Appendix C - Status of FY 20</w:t>
      </w:r>
      <w:r w:rsidR="00F773B4">
        <w:t>2</w:t>
      </w:r>
      <w:r w:rsidR="00253A93">
        <w:t>3</w:t>
      </w:r>
      <w:r w:rsidRPr="00747710">
        <w:t xml:space="preserve"> Findings and Recommendations</w:t>
      </w:r>
      <w:bookmarkEnd w:id="29"/>
      <w:bookmarkEnd w:id="30"/>
    </w:p>
    <w:p w14:paraId="584773BD" w14:textId="61732300" w:rsidR="00C70EFE" w:rsidRPr="005960B2" w:rsidRDefault="00747710" w:rsidP="0045624F">
      <w:pPr>
        <w:ind w:left="-270"/>
      </w:pPr>
      <w:r w:rsidRPr="00747710">
        <w:t>FY 202</w:t>
      </w:r>
      <w:r w:rsidR="00B82263">
        <w:t>4</w:t>
      </w:r>
      <w:r w:rsidRPr="00747710">
        <w:t xml:space="preserve"> </w:t>
      </w:r>
      <w:r w:rsidR="00F773B4" w:rsidRPr="00F773B4">
        <w:rPr>
          <w:color w:val="000000" w:themeColor="text1"/>
        </w:rPr>
        <w:t>A</w:t>
      </w:r>
      <w:r w:rsidR="006D2E91">
        <w:rPr>
          <w:color w:val="000000" w:themeColor="text1"/>
        </w:rPr>
        <w:t xml:space="preserve">rizona Division of Occupational Safety and Health </w:t>
      </w:r>
      <w:r w:rsidR="00B82263">
        <w:rPr>
          <w:color w:val="000000" w:themeColor="text1"/>
        </w:rPr>
        <w:t xml:space="preserve">Follow-up </w:t>
      </w:r>
      <w:r w:rsidRPr="00747710">
        <w:t>FAME Report</w:t>
      </w:r>
    </w:p>
    <w:tbl>
      <w:tblPr>
        <w:tblStyle w:val="TableGridLight"/>
        <w:tblpPr w:leftFromText="180" w:rightFromText="180" w:vertAnchor="page" w:horzAnchor="page" w:tblpX="1202" w:tblpY="2409"/>
        <w:tblW w:w="13821" w:type="dxa"/>
        <w:tblLayout w:type="fixed"/>
        <w:tblLook w:val="00A0" w:firstRow="1" w:lastRow="0" w:firstColumn="1" w:lastColumn="0" w:noHBand="0" w:noVBand="0"/>
      </w:tblPr>
      <w:tblGrid>
        <w:gridCol w:w="1435"/>
        <w:gridCol w:w="2098"/>
        <w:gridCol w:w="2250"/>
        <w:gridCol w:w="4742"/>
        <w:gridCol w:w="1530"/>
        <w:gridCol w:w="1766"/>
      </w:tblGrid>
      <w:tr w:rsidR="005367D5" w:rsidRPr="00873174" w14:paraId="04152CB8" w14:textId="77777777" w:rsidTr="6D0A92F4">
        <w:trPr>
          <w:cantSplit/>
          <w:trHeight w:val="412"/>
          <w:tblHeader/>
        </w:trPr>
        <w:tc>
          <w:tcPr>
            <w:tcW w:w="1435" w:type="dxa"/>
          </w:tcPr>
          <w:p w14:paraId="0FAB4AA2" w14:textId="7F7932BC"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 xml:space="preserve">FY </w:t>
            </w:r>
            <w:r w:rsidR="42F6A8EA" w:rsidRPr="00873174">
              <w:rPr>
                <w:rFonts w:asciiTheme="minorHAnsi" w:hAnsiTheme="minorHAnsi" w:cstheme="minorHAnsi"/>
                <w:b/>
                <w:bCs/>
                <w:sz w:val="22"/>
                <w:szCs w:val="22"/>
              </w:rPr>
              <w:t>20</w:t>
            </w:r>
            <w:r w:rsidR="535A3244" w:rsidRPr="00873174">
              <w:rPr>
                <w:rFonts w:asciiTheme="minorHAnsi" w:hAnsiTheme="minorHAnsi" w:cstheme="minorHAnsi"/>
                <w:b/>
                <w:bCs/>
                <w:sz w:val="22"/>
                <w:szCs w:val="22"/>
              </w:rPr>
              <w:t>2</w:t>
            </w:r>
            <w:r w:rsidR="005E59F7" w:rsidRPr="00873174">
              <w:rPr>
                <w:rFonts w:asciiTheme="minorHAnsi" w:hAnsiTheme="minorHAnsi" w:cstheme="minorHAnsi"/>
                <w:b/>
                <w:bCs/>
                <w:sz w:val="22"/>
                <w:szCs w:val="22"/>
              </w:rPr>
              <w:t>3</w:t>
            </w:r>
            <w:r w:rsidRPr="00873174">
              <w:rPr>
                <w:rFonts w:asciiTheme="minorHAnsi" w:hAnsiTheme="minorHAnsi" w:cstheme="minorHAnsi"/>
                <w:b/>
                <w:sz w:val="22"/>
                <w:szCs w:val="22"/>
              </w:rPr>
              <w:t>-#</w:t>
            </w:r>
          </w:p>
        </w:tc>
        <w:tc>
          <w:tcPr>
            <w:tcW w:w="2098" w:type="dxa"/>
          </w:tcPr>
          <w:p w14:paraId="395AE41F" w14:textId="77777777"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Finding</w:t>
            </w:r>
          </w:p>
        </w:tc>
        <w:tc>
          <w:tcPr>
            <w:tcW w:w="2250" w:type="dxa"/>
          </w:tcPr>
          <w:p w14:paraId="6EEE46BC" w14:textId="77777777"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Recommendation</w:t>
            </w:r>
          </w:p>
        </w:tc>
        <w:tc>
          <w:tcPr>
            <w:tcW w:w="4742" w:type="dxa"/>
          </w:tcPr>
          <w:p w14:paraId="461C9375" w14:textId="77777777"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State Plan Corrective Action</w:t>
            </w:r>
          </w:p>
        </w:tc>
        <w:tc>
          <w:tcPr>
            <w:tcW w:w="1530" w:type="dxa"/>
          </w:tcPr>
          <w:p w14:paraId="5151BE67" w14:textId="77777777"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Completion Date</w:t>
            </w:r>
          </w:p>
        </w:tc>
        <w:tc>
          <w:tcPr>
            <w:tcW w:w="1766" w:type="dxa"/>
          </w:tcPr>
          <w:p w14:paraId="48025986" w14:textId="77777777"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 xml:space="preserve">Current Status </w:t>
            </w:r>
          </w:p>
          <w:p w14:paraId="1D3136EF" w14:textId="77777777" w:rsidR="005367D5" w:rsidRPr="00873174" w:rsidRDefault="005367D5" w:rsidP="00D93CB3">
            <w:pPr>
              <w:rPr>
                <w:rFonts w:asciiTheme="minorHAnsi" w:hAnsiTheme="minorHAnsi" w:cstheme="minorHAnsi"/>
                <w:b/>
                <w:sz w:val="22"/>
                <w:szCs w:val="22"/>
              </w:rPr>
            </w:pPr>
            <w:r w:rsidRPr="00873174">
              <w:rPr>
                <w:rFonts w:asciiTheme="minorHAnsi" w:hAnsiTheme="minorHAnsi" w:cstheme="minorHAnsi"/>
                <w:b/>
                <w:sz w:val="22"/>
                <w:szCs w:val="22"/>
              </w:rPr>
              <w:t>and Date</w:t>
            </w:r>
          </w:p>
        </w:tc>
      </w:tr>
      <w:tr w:rsidR="005E59F7" w:rsidRPr="00873174" w14:paraId="7244A508" w14:textId="77777777" w:rsidTr="6D0A92F4">
        <w:trPr>
          <w:cantSplit/>
          <w:trHeight w:val="412"/>
        </w:trPr>
        <w:tc>
          <w:tcPr>
            <w:tcW w:w="1435" w:type="dxa"/>
          </w:tcPr>
          <w:p w14:paraId="3B6143AB" w14:textId="2F4DEBFD" w:rsidR="005E59F7" w:rsidRPr="00873174" w:rsidRDefault="005E59F7" w:rsidP="005E59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2023-01 </w:t>
            </w:r>
          </w:p>
        </w:tc>
        <w:tc>
          <w:tcPr>
            <w:tcW w:w="2098" w:type="dxa"/>
          </w:tcPr>
          <w:p w14:paraId="1D6DD323" w14:textId="4188A731" w:rsidR="005E59F7" w:rsidRPr="00873174" w:rsidRDefault="005E59F7" w:rsidP="005E59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Enforcement activities were not captured in OIS.</w:t>
            </w:r>
          </w:p>
        </w:tc>
        <w:tc>
          <w:tcPr>
            <w:tcW w:w="2250" w:type="dxa"/>
          </w:tcPr>
          <w:p w14:paraId="19499B4B" w14:textId="71CBBE0F" w:rsidR="005E59F7" w:rsidRPr="00873174" w:rsidRDefault="005E59F7" w:rsidP="005E59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 should identify the problem and develop a corrective action plan to ensure all enforcement activities are accurately captured in OIS.</w:t>
            </w:r>
          </w:p>
        </w:tc>
        <w:tc>
          <w:tcPr>
            <w:tcW w:w="4742" w:type="dxa"/>
          </w:tcPr>
          <w:p w14:paraId="3DFBD002" w14:textId="34389A78" w:rsidR="00A718B4" w:rsidRPr="00873174" w:rsidRDefault="00A718B4" w:rsidP="00A718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identified errors in uploading Salesforce into OIS and eliminated the opportunity for errors through training and technical support.</w:t>
            </w:r>
          </w:p>
          <w:p w14:paraId="0067B1B3" w14:textId="77777777" w:rsidR="00A718B4" w:rsidRPr="00873174" w:rsidRDefault="00A718B4" w:rsidP="00A718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updated its internal evaluation system in March 2024 to verify that the uploads into OIS are occurring. The OIS integration process was enhanced to perform a full sync of UPA records. This resulted in all OIS enforcement records to have the proper status, including closed cases. Daily, finalized records are uploaded to OIS. In addition, ADOSH has implemented a monthly process to perform a full OIS sync to ensure that</w:t>
            </w:r>
          </w:p>
          <w:p w14:paraId="37D73ADA" w14:textId="47AB8FF8" w:rsidR="005E59F7" w:rsidRPr="00873174" w:rsidRDefault="00A718B4" w:rsidP="00035E6D">
            <w:pPr>
              <w:ind w:right="183"/>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any missed changes to the UPA </w:t>
            </w:r>
            <w:r w:rsidR="0048717A" w:rsidRPr="00873174">
              <w:rPr>
                <w:rFonts w:asciiTheme="minorHAnsi" w:eastAsia="PMingLiU" w:hAnsiTheme="minorHAnsi" w:cstheme="minorHAnsi"/>
                <w:sz w:val="22"/>
                <w:szCs w:val="22"/>
              </w:rPr>
              <w:t xml:space="preserve">or </w:t>
            </w:r>
            <w:r w:rsidR="0048717A" w:rsidRPr="00873174">
              <w:rPr>
                <w:rFonts w:asciiTheme="minorHAnsi" w:eastAsia="Tahoma" w:hAnsiTheme="minorHAnsi" w:cstheme="minorHAnsi"/>
                <w:sz w:val="22"/>
                <w:szCs w:val="22"/>
              </w:rPr>
              <w:t>inspection</w:t>
            </w:r>
            <w:r w:rsidR="00A42D5A" w:rsidRPr="00873174">
              <w:rPr>
                <w:rFonts w:asciiTheme="minorHAnsi" w:eastAsia="Tahoma" w:hAnsiTheme="minorHAnsi" w:cstheme="minorHAnsi"/>
                <w:sz w:val="22"/>
                <w:szCs w:val="22"/>
              </w:rPr>
              <w:t xml:space="preserve"> records are</w:t>
            </w:r>
            <w:r w:rsidR="00A42D5A" w:rsidRPr="00873174">
              <w:rPr>
                <w:rFonts w:asciiTheme="minorHAnsi" w:eastAsia="Tahoma" w:hAnsiTheme="minorHAnsi" w:cstheme="minorHAnsi"/>
                <w:spacing w:val="-14"/>
                <w:sz w:val="22"/>
                <w:szCs w:val="22"/>
              </w:rPr>
              <w:t xml:space="preserve"> </w:t>
            </w:r>
            <w:r w:rsidR="00A42D5A" w:rsidRPr="00873174">
              <w:rPr>
                <w:rFonts w:asciiTheme="minorHAnsi" w:eastAsia="Tahoma" w:hAnsiTheme="minorHAnsi" w:cstheme="minorHAnsi"/>
                <w:sz w:val="22"/>
                <w:szCs w:val="22"/>
              </w:rPr>
              <w:t>uploaded</w:t>
            </w:r>
            <w:r w:rsidR="00A42D5A" w:rsidRPr="00873174">
              <w:rPr>
                <w:rFonts w:asciiTheme="minorHAnsi" w:eastAsia="Tahoma" w:hAnsiTheme="minorHAnsi" w:cstheme="minorHAnsi"/>
                <w:spacing w:val="-14"/>
                <w:sz w:val="22"/>
                <w:szCs w:val="22"/>
              </w:rPr>
              <w:t xml:space="preserve"> </w:t>
            </w:r>
            <w:r w:rsidR="00A42D5A" w:rsidRPr="00873174">
              <w:rPr>
                <w:rFonts w:asciiTheme="minorHAnsi" w:eastAsia="Tahoma" w:hAnsiTheme="minorHAnsi" w:cstheme="minorHAnsi"/>
                <w:sz w:val="22"/>
                <w:szCs w:val="22"/>
              </w:rPr>
              <w:t>to</w:t>
            </w:r>
            <w:r w:rsidR="00A42D5A" w:rsidRPr="00873174">
              <w:rPr>
                <w:rFonts w:asciiTheme="minorHAnsi" w:eastAsia="Tahoma" w:hAnsiTheme="minorHAnsi" w:cstheme="minorHAnsi"/>
                <w:spacing w:val="-13"/>
                <w:sz w:val="22"/>
                <w:szCs w:val="22"/>
              </w:rPr>
              <w:t xml:space="preserve"> </w:t>
            </w:r>
            <w:r w:rsidR="00A42D5A" w:rsidRPr="00873174">
              <w:rPr>
                <w:rFonts w:asciiTheme="minorHAnsi" w:eastAsia="Tahoma" w:hAnsiTheme="minorHAnsi" w:cstheme="minorHAnsi"/>
                <w:sz w:val="22"/>
                <w:szCs w:val="22"/>
              </w:rPr>
              <w:t xml:space="preserve">OIS. </w:t>
            </w:r>
            <w:r w:rsidR="00A42D5A" w:rsidRPr="00873174">
              <w:rPr>
                <w:rFonts w:asciiTheme="minorHAnsi" w:eastAsia="Tahoma" w:hAnsiTheme="minorHAnsi" w:cstheme="minorHAnsi"/>
                <w:color w:val="212121"/>
                <w:sz w:val="22"/>
                <w:szCs w:val="22"/>
              </w:rPr>
              <w:t>OIS</w:t>
            </w:r>
            <w:r w:rsidR="00A42D5A" w:rsidRPr="00873174">
              <w:rPr>
                <w:rFonts w:asciiTheme="minorHAnsi" w:eastAsia="Tahoma" w:hAnsiTheme="minorHAnsi" w:cstheme="minorHAnsi"/>
                <w:color w:val="212121"/>
                <w:spacing w:val="-15"/>
                <w:sz w:val="22"/>
                <w:szCs w:val="22"/>
              </w:rPr>
              <w:t xml:space="preserve"> </w:t>
            </w:r>
            <w:r w:rsidR="00A42D5A" w:rsidRPr="00873174">
              <w:rPr>
                <w:rFonts w:asciiTheme="minorHAnsi" w:eastAsia="Tahoma" w:hAnsiTheme="minorHAnsi" w:cstheme="minorHAnsi"/>
                <w:color w:val="212121"/>
                <w:sz w:val="22"/>
                <w:szCs w:val="22"/>
              </w:rPr>
              <w:t>integration</w:t>
            </w:r>
            <w:r w:rsidR="00A42D5A" w:rsidRPr="00873174">
              <w:rPr>
                <w:rFonts w:asciiTheme="minorHAnsi" w:eastAsia="Tahoma" w:hAnsiTheme="minorHAnsi" w:cstheme="minorHAnsi"/>
                <w:color w:val="212121"/>
                <w:spacing w:val="-15"/>
                <w:sz w:val="22"/>
                <w:szCs w:val="22"/>
              </w:rPr>
              <w:t xml:space="preserve"> </w:t>
            </w:r>
            <w:r w:rsidR="00A42D5A" w:rsidRPr="00873174">
              <w:rPr>
                <w:rFonts w:asciiTheme="minorHAnsi" w:eastAsia="Tahoma" w:hAnsiTheme="minorHAnsi" w:cstheme="minorHAnsi"/>
                <w:color w:val="212121"/>
                <w:sz w:val="22"/>
                <w:szCs w:val="22"/>
              </w:rPr>
              <w:t>error reports are sent to ADOSH resources three</w:t>
            </w:r>
            <w:r w:rsidR="00A42D5A" w:rsidRPr="00873174">
              <w:rPr>
                <w:rFonts w:asciiTheme="minorHAnsi" w:eastAsia="Tahoma" w:hAnsiTheme="minorHAnsi" w:cstheme="minorHAnsi"/>
                <w:color w:val="212121"/>
                <w:spacing w:val="-18"/>
                <w:sz w:val="22"/>
                <w:szCs w:val="22"/>
              </w:rPr>
              <w:t xml:space="preserve"> </w:t>
            </w:r>
            <w:r w:rsidR="00A42D5A" w:rsidRPr="00873174">
              <w:rPr>
                <w:rFonts w:asciiTheme="minorHAnsi" w:eastAsia="Tahoma" w:hAnsiTheme="minorHAnsi" w:cstheme="minorHAnsi"/>
                <w:color w:val="212121"/>
                <w:sz w:val="22"/>
                <w:szCs w:val="22"/>
              </w:rPr>
              <w:t>times/week</w:t>
            </w:r>
            <w:r w:rsidR="00A42D5A" w:rsidRPr="00873174">
              <w:rPr>
                <w:rFonts w:asciiTheme="minorHAnsi" w:eastAsia="Tahoma" w:hAnsiTheme="minorHAnsi" w:cstheme="minorHAnsi"/>
                <w:color w:val="212121"/>
                <w:spacing w:val="-17"/>
                <w:sz w:val="22"/>
                <w:szCs w:val="22"/>
              </w:rPr>
              <w:t xml:space="preserve"> </w:t>
            </w:r>
            <w:r w:rsidR="00A42D5A" w:rsidRPr="00873174">
              <w:rPr>
                <w:rFonts w:asciiTheme="minorHAnsi" w:eastAsia="Tahoma" w:hAnsiTheme="minorHAnsi" w:cstheme="minorHAnsi"/>
                <w:color w:val="212121"/>
                <w:sz w:val="22"/>
                <w:szCs w:val="22"/>
              </w:rPr>
              <w:t>for correction</w:t>
            </w:r>
            <w:r w:rsidR="00A42D5A" w:rsidRPr="00873174">
              <w:rPr>
                <w:rFonts w:asciiTheme="minorHAnsi" w:eastAsia="Tahoma" w:hAnsiTheme="minorHAnsi" w:cstheme="minorHAnsi"/>
                <w:color w:val="212121"/>
                <w:spacing w:val="-18"/>
                <w:sz w:val="22"/>
                <w:szCs w:val="22"/>
              </w:rPr>
              <w:t xml:space="preserve"> </w:t>
            </w:r>
            <w:r w:rsidR="00A42D5A" w:rsidRPr="00873174">
              <w:rPr>
                <w:rFonts w:asciiTheme="minorHAnsi" w:eastAsia="Tahoma" w:hAnsiTheme="minorHAnsi" w:cstheme="minorHAnsi"/>
                <w:color w:val="212121"/>
                <w:sz w:val="22"/>
                <w:szCs w:val="22"/>
              </w:rPr>
              <w:t xml:space="preserve">and </w:t>
            </w:r>
            <w:r w:rsidR="00A42D5A" w:rsidRPr="00873174">
              <w:rPr>
                <w:rFonts w:asciiTheme="minorHAnsi" w:eastAsia="Tahoma" w:hAnsiTheme="minorHAnsi" w:cstheme="minorHAnsi"/>
                <w:color w:val="212121"/>
                <w:spacing w:val="-2"/>
                <w:sz w:val="22"/>
                <w:szCs w:val="22"/>
              </w:rPr>
              <w:t>upload.</w:t>
            </w:r>
          </w:p>
        </w:tc>
        <w:tc>
          <w:tcPr>
            <w:tcW w:w="1530" w:type="dxa"/>
          </w:tcPr>
          <w:p w14:paraId="56F99649" w14:textId="4B9081E9" w:rsidR="005E59F7" w:rsidRPr="00873174" w:rsidRDefault="00014A1C" w:rsidP="005E59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6/19/2024</w:t>
            </w:r>
          </w:p>
        </w:tc>
        <w:tc>
          <w:tcPr>
            <w:tcW w:w="1766" w:type="dxa"/>
          </w:tcPr>
          <w:p w14:paraId="6F14D20D" w14:textId="72EC1AA4" w:rsidR="005E59F7" w:rsidRPr="00873174" w:rsidRDefault="00C70EFE" w:rsidP="005E59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Completed</w:t>
            </w:r>
          </w:p>
          <w:p w14:paraId="151E65DC" w14:textId="49DBFCD7" w:rsidR="00C70EFE" w:rsidRPr="00873174" w:rsidRDefault="00C70EFE" w:rsidP="005E59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01/22/2025</w:t>
            </w:r>
          </w:p>
          <w:p w14:paraId="4007473C" w14:textId="0E849F99" w:rsidR="005E59F7" w:rsidRPr="00873174" w:rsidRDefault="005E59F7" w:rsidP="005E59F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r>
      <w:tr w:rsidR="00C4541F" w:rsidRPr="00873174" w14:paraId="4703F521" w14:textId="77777777" w:rsidTr="6D0A92F4">
        <w:trPr>
          <w:cantSplit/>
          <w:trHeight w:val="385"/>
        </w:trPr>
        <w:tc>
          <w:tcPr>
            <w:tcW w:w="1435" w:type="dxa"/>
          </w:tcPr>
          <w:p w14:paraId="4E7C14BF" w14:textId="1B7B9D65" w:rsidR="00C4541F" w:rsidRPr="00873174" w:rsidRDefault="00C4541F" w:rsidP="00C454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FY 2023-02</w:t>
            </w:r>
          </w:p>
        </w:tc>
        <w:tc>
          <w:tcPr>
            <w:tcW w:w="2098" w:type="dxa"/>
          </w:tcPr>
          <w:p w14:paraId="0934D282" w14:textId="7F58F4DA" w:rsidR="00C4541F" w:rsidRPr="00873174" w:rsidRDefault="00C4541F" w:rsidP="00C454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The internal evaluation system was not effectively utilized to manage the program.</w:t>
            </w:r>
          </w:p>
        </w:tc>
        <w:tc>
          <w:tcPr>
            <w:tcW w:w="2250" w:type="dxa"/>
          </w:tcPr>
          <w:p w14:paraId="4A7C8703" w14:textId="605C5388" w:rsidR="00C4541F" w:rsidRPr="00873174" w:rsidRDefault="00C4541F" w:rsidP="00C454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 xml:space="preserve">ADOSH should fully implement an internal evaluation system </w:t>
            </w:r>
            <w:proofErr w:type="gramStart"/>
            <w:r w:rsidRPr="00873174">
              <w:rPr>
                <w:rFonts w:asciiTheme="minorHAnsi" w:hAnsiTheme="minorHAnsi" w:cstheme="minorHAnsi"/>
                <w:sz w:val="22"/>
                <w:szCs w:val="22"/>
              </w:rPr>
              <w:t>in order to</w:t>
            </w:r>
            <w:proofErr w:type="gramEnd"/>
            <w:r w:rsidRPr="00873174">
              <w:rPr>
                <w:rFonts w:asciiTheme="minorHAnsi" w:hAnsiTheme="minorHAnsi" w:cstheme="minorHAnsi"/>
                <w:sz w:val="22"/>
                <w:szCs w:val="22"/>
              </w:rPr>
              <w:t xml:space="preserve"> manage their program and ensure they are at least as effective as OSHA.</w:t>
            </w:r>
          </w:p>
        </w:tc>
        <w:tc>
          <w:tcPr>
            <w:tcW w:w="4742" w:type="dxa"/>
          </w:tcPr>
          <w:p w14:paraId="26546A5D" w14:textId="39699797" w:rsidR="00430618" w:rsidRPr="00035E6D" w:rsidRDefault="00C4541F" w:rsidP="005C27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873174">
              <w:rPr>
                <w:rFonts w:asciiTheme="minorHAnsi" w:hAnsiTheme="minorHAnsi" w:cstheme="minorHAnsi"/>
                <w:sz w:val="22"/>
                <w:szCs w:val="22"/>
              </w:rPr>
              <w:t>Internal audit systems will be updated/created and divide areas of the inspection process into sections, outline sections to define what is being evaluated and how they are evaluated. Meeting with MIS and Salesforce team to develop various audit items and reports for items. In addition, Leader Standard Work is an element in the Arizona Management System that outlines responsibilities for supervisors and managers to perform in their respective duties, ranging from daily, weekly, monthly, and annual responsibilities for the role they are in. Elements of the audit</w:t>
            </w:r>
            <w:r w:rsidR="005C273E" w:rsidRPr="00873174">
              <w:rPr>
                <w:rFonts w:asciiTheme="minorHAnsi" w:hAnsiTheme="minorHAnsi" w:cstheme="minorHAnsi"/>
                <w:sz w:val="22"/>
                <w:szCs w:val="22"/>
              </w:rPr>
              <w:t xml:space="preserve"> system are </w:t>
            </w:r>
            <w:r w:rsidR="009364CC" w:rsidRPr="00873174">
              <w:rPr>
                <w:rFonts w:asciiTheme="minorHAnsi" w:hAnsiTheme="minorHAnsi" w:cstheme="minorHAnsi"/>
                <w:sz w:val="22"/>
                <w:szCs w:val="22"/>
              </w:rPr>
              <w:t xml:space="preserve">currently </w:t>
            </w:r>
            <w:r w:rsidR="005C273E" w:rsidRPr="00873174">
              <w:rPr>
                <w:rFonts w:asciiTheme="minorHAnsi" w:hAnsiTheme="minorHAnsi" w:cstheme="minorHAnsi"/>
                <w:sz w:val="22"/>
                <w:szCs w:val="22"/>
              </w:rPr>
              <w:t>being developed with some being implemented. An anticipated</w:t>
            </w:r>
            <w:r w:rsidR="005F41F4">
              <w:rPr>
                <w:rFonts w:asciiTheme="minorHAnsi" w:hAnsiTheme="minorHAnsi" w:cstheme="minorHAnsi"/>
                <w:sz w:val="22"/>
                <w:szCs w:val="22"/>
              </w:rPr>
              <w:t xml:space="preserve"> </w:t>
            </w:r>
            <w:r w:rsidR="005C273E" w:rsidRPr="00873174">
              <w:rPr>
                <w:rFonts w:asciiTheme="minorHAnsi" w:hAnsiTheme="minorHAnsi" w:cstheme="minorHAnsi"/>
                <w:sz w:val="22"/>
                <w:szCs w:val="22"/>
              </w:rPr>
              <w:t>completion date is 10/1/2024.</w:t>
            </w:r>
          </w:p>
        </w:tc>
        <w:tc>
          <w:tcPr>
            <w:tcW w:w="1530" w:type="dxa"/>
          </w:tcPr>
          <w:p w14:paraId="0F813752" w14:textId="2F230A6A" w:rsidR="009364CC" w:rsidRPr="00873174" w:rsidRDefault="00951FCE" w:rsidP="00C454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 </w:t>
            </w:r>
            <w:r w:rsidR="005F41F4">
              <w:rPr>
                <w:rFonts w:asciiTheme="minorHAnsi" w:eastAsia="PMingLiU" w:hAnsiTheme="minorHAnsi" w:cstheme="minorHAnsi"/>
                <w:sz w:val="22"/>
                <w:szCs w:val="22"/>
              </w:rPr>
              <w:t>10/01/2024</w:t>
            </w:r>
          </w:p>
        </w:tc>
        <w:tc>
          <w:tcPr>
            <w:tcW w:w="1766" w:type="dxa"/>
          </w:tcPr>
          <w:p w14:paraId="7A6A6E5D" w14:textId="09F5A383" w:rsidR="00C4541F" w:rsidRPr="00873174" w:rsidRDefault="00951FCE" w:rsidP="00C4541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Completed </w:t>
            </w:r>
          </w:p>
          <w:p w14:paraId="6B340DD8" w14:textId="5EDD8918" w:rsidR="00951FCE" w:rsidRPr="00873174" w:rsidRDefault="005F41F4" w:rsidP="00C4541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Pr>
                <w:rFonts w:asciiTheme="minorHAnsi" w:eastAsia="PMingLiU" w:hAnsiTheme="minorHAnsi" w:cstheme="minorHAnsi"/>
                <w:sz w:val="22"/>
                <w:szCs w:val="22"/>
              </w:rPr>
              <w:t>10/01/2024</w:t>
            </w:r>
          </w:p>
        </w:tc>
      </w:tr>
      <w:tr w:rsidR="009463B5" w:rsidRPr="00873174" w14:paraId="3FC304A6" w14:textId="77777777" w:rsidTr="6D0A92F4">
        <w:trPr>
          <w:cantSplit/>
          <w:trHeight w:val="385"/>
        </w:trPr>
        <w:tc>
          <w:tcPr>
            <w:tcW w:w="1435" w:type="dxa"/>
          </w:tcPr>
          <w:p w14:paraId="2D7BC92D" w14:textId="3CDD5153" w:rsidR="009463B5" w:rsidRPr="00873174" w:rsidRDefault="009463B5" w:rsidP="009463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2023-03</w:t>
            </w:r>
          </w:p>
        </w:tc>
        <w:tc>
          <w:tcPr>
            <w:tcW w:w="2098" w:type="dxa"/>
          </w:tcPr>
          <w:p w14:paraId="00E182D1" w14:textId="764F5DB1" w:rsidR="009463B5" w:rsidRPr="00873174" w:rsidRDefault="009463B5" w:rsidP="009463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ADOSH’s average number of workdays to initiate a complaint inspection was 10.10 (SAMM 1a), which was above the negotiated goal of 7.</w:t>
            </w:r>
          </w:p>
        </w:tc>
        <w:tc>
          <w:tcPr>
            <w:tcW w:w="2250" w:type="dxa"/>
          </w:tcPr>
          <w:p w14:paraId="666439A1" w14:textId="071DE1E5" w:rsidR="009463B5" w:rsidRPr="00873174" w:rsidRDefault="009463B5" w:rsidP="009463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 should ensure complaint inspections are processed within the negotiated goal of seven workdays.</w:t>
            </w:r>
          </w:p>
        </w:tc>
        <w:tc>
          <w:tcPr>
            <w:tcW w:w="4742" w:type="dxa"/>
          </w:tcPr>
          <w:p w14:paraId="46C0F9DE" w14:textId="77777777" w:rsidR="006D42F0" w:rsidRPr="00873174" w:rsidRDefault="006D42F0" w:rsidP="006D42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filled four compliance supervisor positions. This will assist with intake screening and assigning complaints for inspections. A new position is being added to the Intake Team, increasing the personnel to five.</w:t>
            </w:r>
          </w:p>
          <w:p w14:paraId="743EA3D2" w14:textId="77777777" w:rsidR="006D42F0" w:rsidRPr="00873174" w:rsidRDefault="006D42F0" w:rsidP="006D42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This will increase the number of employees working on complaints and the backlog to significantly drop the number of </w:t>
            </w:r>
            <w:proofErr w:type="gramStart"/>
            <w:r w:rsidRPr="00873174">
              <w:rPr>
                <w:rFonts w:asciiTheme="minorHAnsi" w:eastAsia="PMingLiU" w:hAnsiTheme="minorHAnsi" w:cstheme="minorHAnsi"/>
                <w:sz w:val="22"/>
                <w:szCs w:val="22"/>
              </w:rPr>
              <w:t>work days</w:t>
            </w:r>
            <w:proofErr w:type="gramEnd"/>
            <w:r w:rsidRPr="00873174">
              <w:rPr>
                <w:rFonts w:asciiTheme="minorHAnsi" w:eastAsia="PMingLiU" w:hAnsiTheme="minorHAnsi" w:cstheme="minorHAnsi"/>
                <w:sz w:val="22"/>
                <w:szCs w:val="22"/>
              </w:rPr>
              <w:t xml:space="preserve"> to initiate an inspection. Overtime has been authorized to help reduce the backlog of complaints. An anticipated</w:t>
            </w:r>
          </w:p>
          <w:p w14:paraId="2E03CE0D" w14:textId="44BD3F9A" w:rsidR="009463B5" w:rsidRPr="00873174" w:rsidRDefault="006D42F0" w:rsidP="009463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completion date is 11/1/2024.</w:t>
            </w:r>
          </w:p>
        </w:tc>
        <w:tc>
          <w:tcPr>
            <w:tcW w:w="1530" w:type="dxa"/>
          </w:tcPr>
          <w:p w14:paraId="630491A0" w14:textId="12E42A86" w:rsidR="009463B5" w:rsidRPr="00873174" w:rsidRDefault="009463B5" w:rsidP="009463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Not </w:t>
            </w:r>
            <w:r w:rsidR="0045706A" w:rsidRPr="00873174">
              <w:rPr>
                <w:rFonts w:asciiTheme="minorHAnsi" w:eastAsia="PMingLiU" w:hAnsiTheme="minorHAnsi" w:cstheme="minorHAnsi"/>
                <w:sz w:val="22"/>
                <w:szCs w:val="22"/>
              </w:rPr>
              <w:t xml:space="preserve">Completed </w:t>
            </w:r>
          </w:p>
        </w:tc>
        <w:tc>
          <w:tcPr>
            <w:tcW w:w="1766" w:type="dxa"/>
          </w:tcPr>
          <w:p w14:paraId="36E1F22B" w14:textId="4F796BD5" w:rsidR="009463B5" w:rsidRPr="00873174" w:rsidRDefault="009463B5" w:rsidP="009463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Open</w:t>
            </w:r>
          </w:p>
          <w:p w14:paraId="41539D36" w14:textId="757DA1DD" w:rsidR="009463B5" w:rsidRPr="00873174" w:rsidRDefault="0098786C" w:rsidP="009463B5">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8/13/2024</w:t>
            </w:r>
          </w:p>
        </w:tc>
      </w:tr>
      <w:tr w:rsidR="00BA2A27" w:rsidRPr="00873174" w14:paraId="5B4186BE" w14:textId="77777777" w:rsidTr="6D0A92F4">
        <w:trPr>
          <w:cantSplit/>
          <w:trHeight w:val="385"/>
        </w:trPr>
        <w:tc>
          <w:tcPr>
            <w:tcW w:w="1435" w:type="dxa"/>
          </w:tcPr>
          <w:p w14:paraId="4F463F60" w14:textId="6D36E3B8" w:rsidR="00BA2A27" w:rsidRPr="00873174" w:rsidRDefault="00BA2A27" w:rsidP="00BA2A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w:t>
            </w:r>
            <w:r w:rsidR="007F32AE" w:rsidRPr="00873174">
              <w:rPr>
                <w:rFonts w:asciiTheme="minorHAnsi" w:eastAsia="PMingLiU" w:hAnsiTheme="minorHAnsi" w:cstheme="minorHAnsi"/>
                <w:sz w:val="22"/>
                <w:szCs w:val="22"/>
              </w:rPr>
              <w:t>3</w:t>
            </w:r>
            <w:r w:rsidRPr="00873174">
              <w:rPr>
                <w:rFonts w:asciiTheme="minorHAnsi" w:eastAsia="PMingLiU" w:hAnsiTheme="minorHAnsi" w:cstheme="minorHAnsi"/>
                <w:sz w:val="22"/>
                <w:szCs w:val="22"/>
              </w:rPr>
              <w:t>-04</w:t>
            </w:r>
          </w:p>
        </w:tc>
        <w:tc>
          <w:tcPr>
            <w:tcW w:w="2098" w:type="dxa"/>
          </w:tcPr>
          <w:p w14:paraId="54FA28A1" w14:textId="1E0BE1A4" w:rsidR="00BA2A27" w:rsidRPr="00873174" w:rsidRDefault="00BA2A27" w:rsidP="00BA2A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ADOSH’s response time to initiate complaint investigations was</w:t>
            </w:r>
            <w:r w:rsidR="009D19C4" w:rsidRPr="00873174">
              <w:rPr>
                <w:rFonts w:asciiTheme="minorHAnsi" w:hAnsiTheme="minorHAnsi" w:cstheme="minorHAnsi"/>
                <w:sz w:val="22"/>
                <w:szCs w:val="22"/>
              </w:rPr>
              <w:t xml:space="preserve"> </w:t>
            </w:r>
            <w:r w:rsidR="001E4062" w:rsidRPr="00873174">
              <w:rPr>
                <w:rFonts w:asciiTheme="minorHAnsi" w:hAnsiTheme="minorHAnsi" w:cstheme="minorHAnsi"/>
                <w:sz w:val="22"/>
                <w:szCs w:val="22"/>
              </w:rPr>
              <w:t xml:space="preserve">13.36 days (SAMM 2a) which was </w:t>
            </w:r>
            <w:r w:rsidRPr="00873174">
              <w:rPr>
                <w:rFonts w:asciiTheme="minorHAnsi" w:eastAsia="PMingLiU" w:hAnsiTheme="minorHAnsi" w:cstheme="minorHAnsi"/>
                <w:sz w:val="22"/>
                <w:szCs w:val="22"/>
              </w:rPr>
              <w:t xml:space="preserve">above the negotiated goal of </w:t>
            </w:r>
            <w:r w:rsidR="00A01F82" w:rsidRPr="00873174">
              <w:rPr>
                <w:rFonts w:asciiTheme="minorHAnsi" w:eastAsia="PMingLiU" w:hAnsiTheme="minorHAnsi" w:cstheme="minorHAnsi"/>
                <w:sz w:val="22"/>
                <w:szCs w:val="22"/>
              </w:rPr>
              <w:t xml:space="preserve">3 working days. </w:t>
            </w:r>
          </w:p>
        </w:tc>
        <w:tc>
          <w:tcPr>
            <w:tcW w:w="2250" w:type="dxa"/>
          </w:tcPr>
          <w:p w14:paraId="1BF59D3B" w14:textId="225DB639" w:rsidR="00BA2A27" w:rsidRPr="00873174" w:rsidRDefault="003A5CC0" w:rsidP="00BA2A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should ensure complaint investigations are initiated within the negotiated goal of three working days.</w:t>
            </w:r>
          </w:p>
        </w:tc>
        <w:tc>
          <w:tcPr>
            <w:tcW w:w="4742" w:type="dxa"/>
          </w:tcPr>
          <w:p w14:paraId="17C1EFD0" w14:textId="77777777" w:rsidR="00AE77C3" w:rsidRPr="00873174" w:rsidRDefault="00AE77C3" w:rsidP="00AE77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identified over 800 complaints that had not been addressed from the</w:t>
            </w:r>
          </w:p>
          <w:p w14:paraId="5D3B95C9" w14:textId="77777777" w:rsidR="00E551F9" w:rsidRPr="00873174" w:rsidRDefault="00AE77C3" w:rsidP="00E551F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previous Federal Fiscal Year. All </w:t>
            </w:r>
            <w:r w:rsidR="00E551F9" w:rsidRPr="00873174">
              <w:rPr>
                <w:rFonts w:asciiTheme="minorHAnsi" w:eastAsia="PMingLiU" w:hAnsiTheme="minorHAnsi" w:cstheme="minorHAnsi"/>
                <w:sz w:val="22"/>
                <w:szCs w:val="22"/>
              </w:rPr>
              <w:t>complaints were uploaded into Salesforce. ADOSH is recruiting an Intake Supervisor to lead five CSHO technicians to handle administrative complaints and anticipates hiring and training the new staff by 11/1/2024.</w:t>
            </w:r>
          </w:p>
          <w:p w14:paraId="51EE3249" w14:textId="77777777" w:rsidR="00E551F9" w:rsidRPr="00873174" w:rsidRDefault="00E551F9" w:rsidP="00E551F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offered overtime to staff to assist in reviewing employer responses. ADOSH created Leader Standard Work for the intake supervisor to monitor all complaints and referrals received and</w:t>
            </w:r>
          </w:p>
          <w:p w14:paraId="389D93C3" w14:textId="43F7F94E" w:rsidR="00E551F9" w:rsidRPr="00873174" w:rsidRDefault="00E551F9" w:rsidP="00BA2A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assign them in a timely manner.</w:t>
            </w:r>
          </w:p>
        </w:tc>
        <w:tc>
          <w:tcPr>
            <w:tcW w:w="1530" w:type="dxa"/>
          </w:tcPr>
          <w:p w14:paraId="103A6394" w14:textId="2419E327" w:rsidR="00BA2A27" w:rsidRPr="00873174" w:rsidRDefault="00E551F9" w:rsidP="00BA2A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Not Completed </w:t>
            </w:r>
          </w:p>
        </w:tc>
        <w:tc>
          <w:tcPr>
            <w:tcW w:w="1766" w:type="dxa"/>
          </w:tcPr>
          <w:p w14:paraId="59A9AE03" w14:textId="77777777" w:rsidR="00035E6D" w:rsidRDefault="00E551F9" w:rsidP="00BA2A2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Open </w:t>
            </w:r>
          </w:p>
          <w:p w14:paraId="2B0AE009" w14:textId="094FE8FB" w:rsidR="00BA2A27" w:rsidRPr="00873174" w:rsidRDefault="00E551F9" w:rsidP="00BA2A2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8/13/2024</w:t>
            </w:r>
          </w:p>
        </w:tc>
      </w:tr>
      <w:tr w:rsidR="009F235F" w:rsidRPr="00873174" w14:paraId="4E4F6B0B" w14:textId="77777777" w:rsidTr="6D0A92F4">
        <w:trPr>
          <w:cantSplit/>
          <w:trHeight w:val="385"/>
        </w:trPr>
        <w:tc>
          <w:tcPr>
            <w:tcW w:w="1435" w:type="dxa"/>
          </w:tcPr>
          <w:p w14:paraId="72706474" w14:textId="43C160D8" w:rsidR="009F235F" w:rsidRPr="00873174" w:rsidRDefault="009F235F" w:rsidP="009F23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w:t>
            </w:r>
            <w:r w:rsidR="007F32AE" w:rsidRPr="00873174">
              <w:rPr>
                <w:rFonts w:asciiTheme="minorHAnsi" w:eastAsia="PMingLiU" w:hAnsiTheme="minorHAnsi" w:cstheme="minorHAnsi"/>
                <w:sz w:val="22"/>
                <w:szCs w:val="22"/>
              </w:rPr>
              <w:t>3</w:t>
            </w:r>
            <w:r w:rsidRPr="00873174">
              <w:rPr>
                <w:rFonts w:asciiTheme="minorHAnsi" w:eastAsia="PMingLiU" w:hAnsiTheme="minorHAnsi" w:cstheme="minorHAnsi"/>
                <w:sz w:val="22"/>
                <w:szCs w:val="22"/>
              </w:rPr>
              <w:t>-05</w:t>
            </w:r>
          </w:p>
        </w:tc>
        <w:tc>
          <w:tcPr>
            <w:tcW w:w="2098" w:type="dxa"/>
          </w:tcPr>
          <w:p w14:paraId="5CCAA3C2" w14:textId="7E6B44D3" w:rsidR="009F235F" w:rsidRPr="00873174" w:rsidRDefault="009F235F" w:rsidP="009F23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 total of 540 (55.39%) inspections of the goal of 975 were conducted (SAMM 7).</w:t>
            </w:r>
          </w:p>
        </w:tc>
        <w:tc>
          <w:tcPr>
            <w:tcW w:w="2250" w:type="dxa"/>
          </w:tcPr>
          <w:p w14:paraId="64F93FC9" w14:textId="3239045B" w:rsidR="009F235F" w:rsidRPr="00873174" w:rsidRDefault="009F235F" w:rsidP="009F23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 should determine the cause and ensure action is taken to meet inspection goals and provide a stronger enforcement presence to ensure worker safety.</w:t>
            </w:r>
          </w:p>
        </w:tc>
        <w:tc>
          <w:tcPr>
            <w:tcW w:w="4742" w:type="dxa"/>
          </w:tcPr>
          <w:p w14:paraId="4910FAF4" w14:textId="16D6F299" w:rsidR="009F235F" w:rsidRPr="00873174" w:rsidRDefault="00905593" w:rsidP="006875F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is in the process of backfilling four compliance officer positions. In addition, the plan is to increase the intake team with another technician position, bringing the total position numbers to one supervisor and five intake CSHOs/Technicians. Once onboarded,</w:t>
            </w:r>
            <w:r w:rsidR="006875F5" w:rsidRPr="00873174">
              <w:rPr>
                <w:rFonts w:asciiTheme="minorHAnsi" w:eastAsia="PMingLiU" w:hAnsiTheme="minorHAnsi" w:cstheme="minorHAnsi"/>
                <w:sz w:val="22"/>
                <w:szCs w:val="22"/>
              </w:rPr>
              <w:t xml:space="preserve"> </w:t>
            </w:r>
            <w:r w:rsidRPr="00873174">
              <w:rPr>
                <w:rFonts w:asciiTheme="minorHAnsi" w:eastAsia="PMingLiU" w:hAnsiTheme="minorHAnsi" w:cstheme="minorHAnsi"/>
                <w:sz w:val="22"/>
                <w:szCs w:val="22"/>
              </w:rPr>
              <w:t>CSHOs will be</w:t>
            </w:r>
            <w:r w:rsidR="006875F5" w:rsidRPr="00873174">
              <w:rPr>
                <w:rFonts w:asciiTheme="minorHAnsi" w:hAnsiTheme="minorHAnsi" w:cstheme="minorHAnsi"/>
                <w:sz w:val="22"/>
                <w:szCs w:val="22"/>
              </w:rPr>
              <w:t xml:space="preserve"> </w:t>
            </w:r>
            <w:r w:rsidR="006875F5" w:rsidRPr="00873174">
              <w:rPr>
                <w:rFonts w:asciiTheme="minorHAnsi" w:eastAsia="PMingLiU" w:hAnsiTheme="minorHAnsi" w:cstheme="minorHAnsi"/>
                <w:sz w:val="22"/>
                <w:szCs w:val="22"/>
              </w:rPr>
              <w:t>provided training and contribute towards inspection goals. An anticipated completion date is 12/31/2024.</w:t>
            </w:r>
          </w:p>
        </w:tc>
        <w:tc>
          <w:tcPr>
            <w:tcW w:w="1530" w:type="dxa"/>
          </w:tcPr>
          <w:p w14:paraId="2B7842ED" w14:textId="72B1FCE1" w:rsidR="009F235F" w:rsidRPr="00873174" w:rsidRDefault="006875F5" w:rsidP="009F23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Not Completed</w:t>
            </w:r>
          </w:p>
        </w:tc>
        <w:tc>
          <w:tcPr>
            <w:tcW w:w="1766" w:type="dxa"/>
          </w:tcPr>
          <w:p w14:paraId="32E7B159" w14:textId="77777777" w:rsidR="00035E6D" w:rsidRDefault="006875F5" w:rsidP="009F23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 xml:space="preserve">Open </w:t>
            </w:r>
          </w:p>
          <w:p w14:paraId="14D2B455" w14:textId="02A29982" w:rsidR="009F235F" w:rsidRPr="00873174" w:rsidRDefault="006875F5" w:rsidP="009F23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8/13/202</w:t>
            </w:r>
            <w:r w:rsidR="00A041C5" w:rsidRPr="00873174">
              <w:rPr>
                <w:rFonts w:asciiTheme="minorHAnsi" w:eastAsia="PMingLiU" w:hAnsiTheme="minorHAnsi" w:cstheme="minorHAnsi"/>
                <w:sz w:val="22"/>
                <w:szCs w:val="22"/>
              </w:rPr>
              <w:t>4</w:t>
            </w:r>
          </w:p>
          <w:p w14:paraId="3FAC413C" w14:textId="5765A4FA" w:rsidR="009F235F" w:rsidRPr="00873174" w:rsidRDefault="009F235F" w:rsidP="009F235F">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r>
      <w:tr w:rsidR="007F32AE" w:rsidRPr="00873174" w14:paraId="7F14C076" w14:textId="77777777" w:rsidTr="6D0A92F4">
        <w:trPr>
          <w:cantSplit/>
          <w:trHeight w:val="385"/>
        </w:trPr>
        <w:tc>
          <w:tcPr>
            <w:tcW w:w="1435" w:type="dxa"/>
          </w:tcPr>
          <w:p w14:paraId="1543AC94" w14:textId="5ECE2BA5" w:rsidR="007F32AE" w:rsidRPr="00873174" w:rsidRDefault="007F32AE" w:rsidP="007F32A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2023-06</w:t>
            </w:r>
          </w:p>
        </w:tc>
        <w:tc>
          <w:tcPr>
            <w:tcW w:w="2098" w:type="dxa"/>
          </w:tcPr>
          <w:p w14:paraId="60406867" w14:textId="32DC8CDB" w:rsidR="007F32AE" w:rsidRPr="00873174" w:rsidRDefault="007F32AE" w:rsidP="007F32A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 total of 337 (67.4%) of the projected 500 construction inspections were conducted.</w:t>
            </w:r>
          </w:p>
        </w:tc>
        <w:tc>
          <w:tcPr>
            <w:tcW w:w="2250" w:type="dxa"/>
          </w:tcPr>
          <w:p w14:paraId="21F231EE" w14:textId="09962946" w:rsidR="007F32AE" w:rsidRPr="00873174" w:rsidRDefault="007F32AE" w:rsidP="007F32A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 should determine the cause of the low number of construction inspections and implement corrective action.</w:t>
            </w:r>
          </w:p>
        </w:tc>
        <w:tc>
          <w:tcPr>
            <w:tcW w:w="4742" w:type="dxa"/>
          </w:tcPr>
          <w:p w14:paraId="63722A43" w14:textId="160B8BA0" w:rsidR="00430618" w:rsidRPr="00873174" w:rsidRDefault="007F32AE" w:rsidP="007F32A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hAnsiTheme="minorHAnsi" w:cstheme="minorHAnsi"/>
                <w:sz w:val="22"/>
                <w:szCs w:val="22"/>
              </w:rPr>
              <w:t>ADOSH is recruiting four CSHO positions and the selection process is currently underway for two. In addition, there are three CSHOs in training with the possibility of being released to conduct independent inspections by the end of December 2024. That will significantly increase the number of inspections conducted each month. An anticipated completion date is</w:t>
            </w:r>
            <w:r w:rsidRPr="00873174">
              <w:rPr>
                <w:rFonts w:asciiTheme="minorHAnsi" w:eastAsia="PMingLiU" w:hAnsiTheme="minorHAnsi" w:cstheme="minorHAnsi"/>
                <w:sz w:val="22"/>
                <w:szCs w:val="22"/>
              </w:rPr>
              <w:t xml:space="preserve"> 12/31/2024.</w:t>
            </w:r>
          </w:p>
        </w:tc>
        <w:tc>
          <w:tcPr>
            <w:tcW w:w="1530" w:type="dxa"/>
          </w:tcPr>
          <w:p w14:paraId="2DCC2C06" w14:textId="04CDE88C" w:rsidR="007F32AE" w:rsidRPr="00873174" w:rsidRDefault="00846B79" w:rsidP="007F32A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Not Applicable</w:t>
            </w:r>
          </w:p>
        </w:tc>
        <w:tc>
          <w:tcPr>
            <w:tcW w:w="1766" w:type="dxa"/>
          </w:tcPr>
          <w:p w14:paraId="54E1295D" w14:textId="294F7E75" w:rsidR="000F3A71" w:rsidRPr="00873174" w:rsidRDefault="000F3A71" w:rsidP="007F32A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Closed</w:t>
            </w:r>
          </w:p>
          <w:p w14:paraId="0CC1BA4C" w14:textId="5874D612" w:rsidR="000F3A71" w:rsidRPr="00873174" w:rsidRDefault="000F3A71" w:rsidP="007F32A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1/22/2025</w:t>
            </w:r>
          </w:p>
        </w:tc>
      </w:tr>
      <w:tr w:rsidR="00C8693E" w:rsidRPr="00873174" w14:paraId="2EE872C5" w14:textId="77777777" w:rsidTr="6D0A92F4">
        <w:trPr>
          <w:cantSplit/>
          <w:trHeight w:val="385"/>
        </w:trPr>
        <w:tc>
          <w:tcPr>
            <w:tcW w:w="1435" w:type="dxa"/>
          </w:tcPr>
          <w:p w14:paraId="4C403D03" w14:textId="044C8335" w:rsidR="00C8693E" w:rsidRPr="00873174" w:rsidRDefault="00C8693E" w:rsidP="00C869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2023-07</w:t>
            </w:r>
          </w:p>
        </w:tc>
        <w:tc>
          <w:tcPr>
            <w:tcW w:w="2098" w:type="dxa"/>
          </w:tcPr>
          <w:p w14:paraId="5ED34C13" w14:textId="77777777" w:rsidR="00C8693E" w:rsidRPr="00873174" w:rsidRDefault="00C8693E" w:rsidP="00C869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Abatement documentation was missing in 6 of 39</w:t>
            </w:r>
          </w:p>
          <w:p w14:paraId="57717E65" w14:textId="23A175F7" w:rsidR="00C8693E" w:rsidRPr="00873174" w:rsidRDefault="00C8693E" w:rsidP="00C869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(15.38%) case files.</w:t>
            </w:r>
          </w:p>
        </w:tc>
        <w:tc>
          <w:tcPr>
            <w:tcW w:w="2250" w:type="dxa"/>
          </w:tcPr>
          <w:p w14:paraId="380ACE85" w14:textId="49ED0719" w:rsidR="00C8693E" w:rsidRPr="00873174" w:rsidRDefault="00C8693E" w:rsidP="00C8693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should ensure all abatement documentation is maintained in the file.</w:t>
            </w:r>
          </w:p>
        </w:tc>
        <w:tc>
          <w:tcPr>
            <w:tcW w:w="4742" w:type="dxa"/>
          </w:tcPr>
          <w:p w14:paraId="11A19864" w14:textId="20B9F541" w:rsidR="00430618" w:rsidRPr="00873174" w:rsidRDefault="00C8693E" w:rsidP="00E26F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Supervisors have been trained on Abatement documentation requirements and will complete training with CSHOs by 9/1/2024. Training will cover the</w:t>
            </w:r>
            <w:r w:rsidR="00035E6D">
              <w:rPr>
                <w:rFonts w:asciiTheme="minorHAnsi" w:eastAsia="PMingLiU" w:hAnsiTheme="minorHAnsi" w:cstheme="minorHAnsi"/>
                <w:sz w:val="22"/>
                <w:szCs w:val="22"/>
              </w:rPr>
              <w:t xml:space="preserve"> </w:t>
            </w:r>
            <w:r w:rsidRPr="00873174">
              <w:rPr>
                <w:rFonts w:asciiTheme="minorHAnsi" w:eastAsia="PMingLiU" w:hAnsiTheme="minorHAnsi" w:cstheme="minorHAnsi"/>
                <w:sz w:val="22"/>
                <w:szCs w:val="22"/>
              </w:rPr>
              <w:t>abatement process and documentation</w:t>
            </w:r>
            <w:r w:rsidR="00E26F51" w:rsidRPr="00873174">
              <w:rPr>
                <w:rFonts w:asciiTheme="minorHAnsi" w:hAnsiTheme="minorHAnsi" w:cstheme="minorHAnsi"/>
                <w:sz w:val="22"/>
                <w:szCs w:val="22"/>
              </w:rPr>
              <w:t xml:space="preserve"> r</w:t>
            </w:r>
            <w:r w:rsidR="00E26F51" w:rsidRPr="00873174">
              <w:rPr>
                <w:rFonts w:asciiTheme="minorHAnsi" w:eastAsia="PMingLiU" w:hAnsiTheme="minorHAnsi" w:cstheme="minorHAnsi"/>
                <w:sz w:val="22"/>
                <w:szCs w:val="22"/>
              </w:rPr>
              <w:t>equirements. ADOSH will update the internal audit system to ensure abatement documentation has</w:t>
            </w:r>
            <w:r w:rsidR="00035E6D">
              <w:rPr>
                <w:rFonts w:asciiTheme="minorHAnsi" w:eastAsia="PMingLiU" w:hAnsiTheme="minorHAnsi" w:cstheme="minorHAnsi"/>
                <w:sz w:val="22"/>
                <w:szCs w:val="22"/>
              </w:rPr>
              <w:t xml:space="preserve"> </w:t>
            </w:r>
            <w:r w:rsidR="00E26F51" w:rsidRPr="00873174">
              <w:rPr>
                <w:rFonts w:asciiTheme="minorHAnsi" w:eastAsia="PMingLiU" w:hAnsiTheme="minorHAnsi" w:cstheme="minorHAnsi"/>
                <w:sz w:val="22"/>
                <w:szCs w:val="22"/>
              </w:rPr>
              <w:t>been maintained in the files.</w:t>
            </w:r>
          </w:p>
        </w:tc>
        <w:tc>
          <w:tcPr>
            <w:tcW w:w="1530" w:type="dxa"/>
          </w:tcPr>
          <w:p w14:paraId="7F5FE028" w14:textId="03642C9C" w:rsidR="00C8693E" w:rsidRPr="00873174" w:rsidRDefault="3573B52A" w:rsidP="6D0A92F4">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sz w:val="22"/>
                <w:szCs w:val="22"/>
              </w:rPr>
            </w:pPr>
            <w:r w:rsidRPr="6D0A92F4">
              <w:rPr>
                <w:rFonts w:asciiTheme="minorHAnsi" w:eastAsia="PMingLiU" w:hAnsiTheme="minorHAnsi" w:cstheme="minorBidi"/>
                <w:sz w:val="22"/>
                <w:szCs w:val="22"/>
              </w:rPr>
              <w:t>1</w:t>
            </w:r>
            <w:r w:rsidR="16203495" w:rsidRPr="6D0A92F4">
              <w:rPr>
                <w:rFonts w:asciiTheme="minorHAnsi" w:eastAsia="PMingLiU" w:hAnsiTheme="minorHAnsi" w:cstheme="minorBidi"/>
                <w:sz w:val="22"/>
                <w:szCs w:val="22"/>
              </w:rPr>
              <w:t>1/19/2024</w:t>
            </w:r>
          </w:p>
        </w:tc>
        <w:tc>
          <w:tcPr>
            <w:tcW w:w="1766" w:type="dxa"/>
          </w:tcPr>
          <w:p w14:paraId="2AAB7918" w14:textId="77777777" w:rsidR="000F3A71" w:rsidRPr="00873174" w:rsidRDefault="000F3A71" w:rsidP="00C8693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Theme="minorHAnsi" w:eastAsia="PMingLiU" w:hAnsiTheme="minorHAnsi" w:cstheme="minorHAnsi"/>
                <w:sz w:val="22"/>
                <w:szCs w:val="22"/>
              </w:rPr>
            </w:pPr>
            <w:r w:rsidRPr="00873174">
              <w:rPr>
                <w:rFonts w:asciiTheme="minorHAnsi" w:eastAsia="PMingLiU" w:hAnsiTheme="minorHAnsi" w:cstheme="minorHAnsi"/>
                <w:sz w:val="22"/>
                <w:szCs w:val="22"/>
              </w:rPr>
              <w:t>Awaiting Verification</w:t>
            </w:r>
          </w:p>
          <w:p w14:paraId="1C2768B4" w14:textId="15455B2A" w:rsidR="000F3A71" w:rsidRPr="00873174" w:rsidRDefault="00B911CC" w:rsidP="00C8693E">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Theme="minorHAnsi" w:eastAsia="PMingLiU" w:hAnsiTheme="minorHAnsi" w:cstheme="minorHAnsi"/>
                <w:sz w:val="22"/>
                <w:szCs w:val="22"/>
              </w:rPr>
            </w:pPr>
            <w:r w:rsidRPr="00873174">
              <w:rPr>
                <w:rFonts w:asciiTheme="minorHAnsi" w:eastAsia="PMingLiU" w:hAnsiTheme="minorHAnsi" w:cstheme="minorHAnsi"/>
                <w:sz w:val="22"/>
                <w:szCs w:val="22"/>
              </w:rPr>
              <w:t>1/22/2025</w:t>
            </w:r>
          </w:p>
        </w:tc>
      </w:tr>
      <w:tr w:rsidR="00FD618C" w:rsidRPr="00873174" w14:paraId="0E07DA1B" w14:textId="77777777" w:rsidTr="6D0A92F4">
        <w:trPr>
          <w:cantSplit/>
          <w:trHeight w:val="385"/>
        </w:trPr>
        <w:tc>
          <w:tcPr>
            <w:tcW w:w="1435" w:type="dxa"/>
          </w:tcPr>
          <w:p w14:paraId="7C3BBB6E" w14:textId="574E89AE" w:rsidR="00FD618C" w:rsidRPr="00873174" w:rsidRDefault="00D6195A"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FY 202</w:t>
            </w:r>
            <w:r w:rsidR="007F32AE" w:rsidRPr="00873174">
              <w:rPr>
                <w:rFonts w:asciiTheme="minorHAnsi" w:eastAsia="PMingLiU" w:hAnsiTheme="minorHAnsi" w:cstheme="minorHAnsi"/>
                <w:sz w:val="22"/>
                <w:szCs w:val="22"/>
              </w:rPr>
              <w:t>3</w:t>
            </w:r>
            <w:r w:rsidRPr="00873174">
              <w:rPr>
                <w:rFonts w:asciiTheme="minorHAnsi" w:eastAsia="PMingLiU" w:hAnsiTheme="minorHAnsi" w:cstheme="minorHAnsi"/>
                <w:sz w:val="22"/>
                <w:szCs w:val="22"/>
              </w:rPr>
              <w:t>-08</w:t>
            </w:r>
          </w:p>
        </w:tc>
        <w:tc>
          <w:tcPr>
            <w:tcW w:w="2098" w:type="dxa"/>
          </w:tcPr>
          <w:p w14:paraId="1A9261CD" w14:textId="459F8582" w:rsidR="009C18D3" w:rsidRPr="00873174" w:rsidRDefault="00CD1F0F" w:rsidP="00CD1F0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Requirements for adopting federal program changes were not completed within six months of the effective date of the directive.</w:t>
            </w:r>
            <w:r w:rsidRPr="00873174">
              <w:rPr>
                <w:rFonts w:asciiTheme="minorHAnsi" w:eastAsia="PMingLiU" w:hAnsiTheme="minorHAnsi" w:cstheme="minorHAnsi"/>
                <w:sz w:val="22"/>
                <w:szCs w:val="22"/>
              </w:rPr>
              <w:tab/>
            </w:r>
          </w:p>
        </w:tc>
        <w:tc>
          <w:tcPr>
            <w:tcW w:w="2250" w:type="dxa"/>
          </w:tcPr>
          <w:p w14:paraId="7CBEAC3E" w14:textId="4D3503E7" w:rsidR="00FD618C" w:rsidRPr="00873174" w:rsidRDefault="00CD1F0F"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should ensure that they meet the requirements for response and adoption of OSHA’s federal program changes.</w:t>
            </w:r>
          </w:p>
        </w:tc>
        <w:tc>
          <w:tcPr>
            <w:tcW w:w="4742" w:type="dxa"/>
          </w:tcPr>
          <w:p w14:paraId="39E2BE42" w14:textId="31665530" w:rsidR="00430618" w:rsidRPr="00873174" w:rsidRDefault="00CD1F0F" w:rsidP="00CD1F0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ADOSH is running monthly SPA reports, and the metrics are reported to the ICA. ADOSH is in the process of creating a monthly audit which will include the monitoring and review of SPA to verify that all federal program changes are completed within six months of the effective date of the directives.</w:t>
            </w:r>
          </w:p>
        </w:tc>
        <w:tc>
          <w:tcPr>
            <w:tcW w:w="1530" w:type="dxa"/>
          </w:tcPr>
          <w:p w14:paraId="4AA9CE01" w14:textId="1221378C" w:rsidR="00D2723C" w:rsidRPr="00873174" w:rsidRDefault="00EE4F60" w:rsidP="009553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Pr>
                <w:rFonts w:asciiTheme="minorHAnsi" w:eastAsia="PMingLiU" w:hAnsiTheme="minorHAnsi" w:cstheme="minorHAnsi"/>
                <w:sz w:val="22"/>
                <w:szCs w:val="22"/>
              </w:rPr>
              <w:t>1/22/2025</w:t>
            </w:r>
          </w:p>
        </w:tc>
        <w:tc>
          <w:tcPr>
            <w:tcW w:w="1766" w:type="dxa"/>
          </w:tcPr>
          <w:p w14:paraId="6F50E902" w14:textId="20C71FF1" w:rsidR="00207662" w:rsidRPr="00873174" w:rsidRDefault="00B911CC" w:rsidP="00794C5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873174">
              <w:rPr>
                <w:rFonts w:asciiTheme="minorHAnsi" w:eastAsia="PMingLiU" w:hAnsiTheme="minorHAnsi" w:cstheme="minorHAnsi"/>
                <w:sz w:val="22"/>
                <w:szCs w:val="22"/>
              </w:rPr>
              <w:t>Completed 1/22/2025</w:t>
            </w:r>
          </w:p>
        </w:tc>
      </w:tr>
    </w:tbl>
    <w:p w14:paraId="56126B49" w14:textId="11417C11" w:rsidR="00AD505E" w:rsidRPr="00476C08" w:rsidRDefault="00AD505E" w:rsidP="007A71AC">
      <w:pPr>
        <w:widowControl/>
        <w:autoSpaceDE/>
        <w:autoSpaceDN/>
        <w:adjustRightInd/>
        <w:rPr>
          <w:rFonts w:cs="Calibri"/>
          <w:iCs/>
          <w:color w:val="0070C0"/>
        </w:rPr>
      </w:pPr>
    </w:p>
    <w:p w14:paraId="1BAAAA1C" w14:textId="77777777" w:rsidR="00AD505E" w:rsidRPr="00476C08" w:rsidRDefault="00AD505E" w:rsidP="007A71AC">
      <w:pPr>
        <w:widowControl/>
        <w:autoSpaceDE/>
        <w:autoSpaceDN/>
        <w:adjustRightInd/>
        <w:rPr>
          <w:rFonts w:cs="Calibri"/>
          <w:iCs/>
          <w:color w:val="0070C0"/>
        </w:rPr>
      </w:pPr>
    </w:p>
    <w:p w14:paraId="5A163C8E" w14:textId="02509343"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even" r:id="rId20"/>
          <w:headerReference w:type="default" r:id="rId21"/>
          <w:headerReference w:type="first" r:id="rId22"/>
          <w:footerReference w:type="first" r:id="rId23"/>
          <w:pgSz w:w="15840" w:h="12240" w:orient="landscape"/>
          <w:pgMar w:top="1440" w:right="1440" w:bottom="1440" w:left="1440" w:header="630" w:footer="720" w:gutter="0"/>
          <w:cols w:space="720"/>
          <w:titlePg/>
          <w:docGrid w:linePitch="360"/>
        </w:sectPr>
      </w:pPr>
    </w:p>
    <w:p w14:paraId="1B0B407C" w14:textId="3B729951" w:rsidR="00690C0D" w:rsidRPr="00D93CB3" w:rsidRDefault="00690C0D" w:rsidP="0045624F">
      <w:pPr>
        <w:pStyle w:val="Heading3"/>
        <w:rPr>
          <w:color w:val="0070C0"/>
        </w:rPr>
      </w:pPr>
      <w:bookmarkStart w:id="31" w:name="_Toc190424184"/>
      <w:r w:rsidRPr="00D93CB3">
        <w:t xml:space="preserve">Appendix D – </w:t>
      </w:r>
      <w:bookmarkStart w:id="32" w:name="_Hlk119349018"/>
      <w:r w:rsidRPr="00D93CB3">
        <w:t>FY 202</w:t>
      </w:r>
      <w:r w:rsidR="00CA72BF">
        <w:t>4</w:t>
      </w:r>
      <w:r w:rsidRPr="00D93CB3">
        <w:t xml:space="preserve"> State Activity Mandated Measures (SAMM) Report</w:t>
      </w:r>
      <w:bookmarkEnd w:id="31"/>
      <w:bookmarkEnd w:id="32"/>
    </w:p>
    <w:p w14:paraId="19B594E3" w14:textId="64353CAE" w:rsidR="00690C0D" w:rsidRPr="000767C0" w:rsidRDefault="00690C0D" w:rsidP="00476C08">
      <w:pPr>
        <w:pStyle w:val="Header"/>
      </w:pPr>
      <w:r w:rsidRPr="00042327">
        <w:t xml:space="preserve">FY </w:t>
      </w:r>
      <w:r>
        <w:t>202</w:t>
      </w:r>
      <w:r w:rsidR="00CA72BF">
        <w:t>4</w:t>
      </w:r>
      <w:r w:rsidRPr="00042327">
        <w:t xml:space="preserve"> </w:t>
      </w:r>
      <w:r w:rsidR="006D2E91">
        <w:t xml:space="preserve">Arizona Division of Occupational Safety and Health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p w14:paraId="6573BAF6" w14:textId="3FAD77B0" w:rsidR="00634539" w:rsidRDefault="00634539" w:rsidP="001A1FF9">
      <w:pPr>
        <w:widowControl/>
        <w:autoSpaceDE/>
        <w:autoSpaceDN/>
        <w:adjustRightInd/>
        <w:rPr>
          <w:rFonts w:cs="Calibri"/>
        </w:rPr>
      </w:pPr>
    </w:p>
    <w:tbl>
      <w:tblPr>
        <w:tblStyle w:val="PlainTable1"/>
        <w:tblW w:w="10350"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F600E9" w:rsidRPr="00F600E9" w14:paraId="0DAF76BD" w14:textId="77777777" w:rsidTr="00CD6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tcPr>
          <w:p w14:paraId="22E727F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SAMM Number</w:t>
            </w:r>
          </w:p>
        </w:tc>
        <w:tc>
          <w:tcPr>
            <w:tcW w:w="2206" w:type="dxa"/>
          </w:tcPr>
          <w:p w14:paraId="18F3E86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SAMM Name</w:t>
            </w:r>
          </w:p>
        </w:tc>
        <w:tc>
          <w:tcPr>
            <w:tcW w:w="1289" w:type="dxa"/>
          </w:tcPr>
          <w:p w14:paraId="60274C1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State Plan Data</w:t>
            </w:r>
          </w:p>
        </w:tc>
        <w:tc>
          <w:tcPr>
            <w:tcW w:w="1411" w:type="dxa"/>
          </w:tcPr>
          <w:p w14:paraId="5E9F3A0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Further Review Level</w:t>
            </w:r>
          </w:p>
        </w:tc>
        <w:tc>
          <w:tcPr>
            <w:tcW w:w="4410" w:type="dxa"/>
          </w:tcPr>
          <w:p w14:paraId="1D818A9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Notes</w:t>
            </w:r>
          </w:p>
        </w:tc>
      </w:tr>
      <w:tr w:rsidR="00F600E9" w:rsidRPr="00F600E9" w14:paraId="378B4299"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1F6AF20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1a</w:t>
            </w:r>
          </w:p>
        </w:tc>
        <w:tc>
          <w:tcPr>
            <w:tcW w:w="2206" w:type="dxa"/>
          </w:tcPr>
          <w:p w14:paraId="64D2AC7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 xml:space="preserve">Average number of </w:t>
            </w:r>
            <w:proofErr w:type="gramStart"/>
            <w:r w:rsidRPr="004E6C00">
              <w:rPr>
                <w:rFonts w:asciiTheme="minorHAnsi" w:hAnsiTheme="minorHAnsi" w:cstheme="minorHAnsi"/>
                <w:sz w:val="22"/>
                <w:szCs w:val="22"/>
              </w:rPr>
              <w:t>work days</w:t>
            </w:r>
            <w:proofErr w:type="gramEnd"/>
            <w:r w:rsidRPr="004E6C00">
              <w:rPr>
                <w:rFonts w:asciiTheme="minorHAnsi" w:hAnsiTheme="minorHAnsi" w:cstheme="minorHAnsi"/>
                <w:sz w:val="22"/>
                <w:szCs w:val="22"/>
              </w:rPr>
              <w:t xml:space="preserve"> to initiate complaint inspections (state formula)</w:t>
            </w:r>
          </w:p>
        </w:tc>
        <w:tc>
          <w:tcPr>
            <w:tcW w:w="1289" w:type="dxa"/>
          </w:tcPr>
          <w:p w14:paraId="012F092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43.12</w:t>
            </w:r>
          </w:p>
        </w:tc>
        <w:tc>
          <w:tcPr>
            <w:tcW w:w="1411" w:type="dxa"/>
          </w:tcPr>
          <w:p w14:paraId="047DFDC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7</w:t>
            </w:r>
          </w:p>
        </w:tc>
        <w:tc>
          <w:tcPr>
            <w:tcW w:w="4410" w:type="dxa"/>
          </w:tcPr>
          <w:p w14:paraId="707E478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negotiated by OSHA and the State Plan.</w:t>
            </w:r>
          </w:p>
        </w:tc>
      </w:tr>
      <w:tr w:rsidR="00F600E9" w:rsidRPr="00F600E9" w14:paraId="7B9DA673"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7486AA7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1b</w:t>
            </w:r>
          </w:p>
        </w:tc>
        <w:tc>
          <w:tcPr>
            <w:tcW w:w="2206" w:type="dxa"/>
          </w:tcPr>
          <w:p w14:paraId="6D47857A"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 xml:space="preserve">Average number of </w:t>
            </w:r>
            <w:proofErr w:type="gramStart"/>
            <w:r w:rsidRPr="004E6C00">
              <w:rPr>
                <w:rFonts w:asciiTheme="minorHAnsi" w:hAnsiTheme="minorHAnsi" w:cstheme="minorHAnsi"/>
                <w:sz w:val="22"/>
                <w:szCs w:val="22"/>
              </w:rPr>
              <w:t>work days</w:t>
            </w:r>
            <w:proofErr w:type="gramEnd"/>
            <w:r w:rsidRPr="004E6C00">
              <w:rPr>
                <w:rFonts w:asciiTheme="minorHAnsi" w:hAnsiTheme="minorHAnsi" w:cstheme="minorHAnsi"/>
                <w:sz w:val="22"/>
                <w:szCs w:val="22"/>
              </w:rPr>
              <w:t xml:space="preserve"> to initiate complaint inspections (federal formula)</w:t>
            </w:r>
          </w:p>
        </w:tc>
        <w:tc>
          <w:tcPr>
            <w:tcW w:w="1289" w:type="dxa"/>
          </w:tcPr>
          <w:p w14:paraId="6BD8942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1.94</w:t>
            </w:r>
          </w:p>
        </w:tc>
        <w:tc>
          <w:tcPr>
            <w:tcW w:w="1411" w:type="dxa"/>
          </w:tcPr>
          <w:p w14:paraId="6EB784BC"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N/A</w:t>
            </w:r>
          </w:p>
        </w:tc>
        <w:tc>
          <w:tcPr>
            <w:tcW w:w="4410" w:type="dxa"/>
          </w:tcPr>
          <w:p w14:paraId="116C1CE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This measure is for informational purposes only and is not a mandated measure.</w:t>
            </w:r>
          </w:p>
        </w:tc>
      </w:tr>
      <w:tr w:rsidR="00F600E9" w:rsidRPr="00F600E9" w14:paraId="5B3F3A5C"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6A07967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2a</w:t>
            </w:r>
          </w:p>
        </w:tc>
        <w:tc>
          <w:tcPr>
            <w:tcW w:w="2206" w:type="dxa"/>
          </w:tcPr>
          <w:p w14:paraId="40253E6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 xml:space="preserve">Average number of </w:t>
            </w:r>
            <w:proofErr w:type="gramStart"/>
            <w:r w:rsidRPr="004E6C00">
              <w:rPr>
                <w:rFonts w:asciiTheme="minorHAnsi" w:hAnsiTheme="minorHAnsi" w:cstheme="minorHAnsi"/>
                <w:sz w:val="22"/>
                <w:szCs w:val="22"/>
              </w:rPr>
              <w:t>work days</w:t>
            </w:r>
            <w:proofErr w:type="gramEnd"/>
            <w:r w:rsidRPr="004E6C00">
              <w:rPr>
                <w:rFonts w:asciiTheme="minorHAnsi" w:hAnsiTheme="minorHAnsi" w:cstheme="minorHAnsi"/>
                <w:sz w:val="22"/>
                <w:szCs w:val="22"/>
              </w:rPr>
              <w:t xml:space="preserve"> to initiate complaint investigations (state formula)</w:t>
            </w:r>
          </w:p>
        </w:tc>
        <w:tc>
          <w:tcPr>
            <w:tcW w:w="1289" w:type="dxa"/>
          </w:tcPr>
          <w:p w14:paraId="6FD8056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111.20</w:t>
            </w:r>
          </w:p>
        </w:tc>
        <w:tc>
          <w:tcPr>
            <w:tcW w:w="1411" w:type="dxa"/>
          </w:tcPr>
          <w:p w14:paraId="4D552B2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3</w:t>
            </w:r>
          </w:p>
        </w:tc>
        <w:tc>
          <w:tcPr>
            <w:tcW w:w="4410" w:type="dxa"/>
          </w:tcPr>
          <w:p w14:paraId="576510B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negotiated by OSHA and the State Plan.</w:t>
            </w:r>
          </w:p>
        </w:tc>
      </w:tr>
      <w:tr w:rsidR="00F600E9" w:rsidRPr="00F600E9" w14:paraId="0B6DACC4"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23AEBB4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2b</w:t>
            </w:r>
          </w:p>
        </w:tc>
        <w:tc>
          <w:tcPr>
            <w:tcW w:w="2206" w:type="dxa"/>
          </w:tcPr>
          <w:p w14:paraId="015292A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 xml:space="preserve">Average number of </w:t>
            </w:r>
            <w:proofErr w:type="gramStart"/>
            <w:r w:rsidRPr="004E6C00">
              <w:rPr>
                <w:rFonts w:asciiTheme="minorHAnsi" w:hAnsiTheme="minorHAnsi" w:cstheme="minorHAnsi"/>
                <w:sz w:val="22"/>
                <w:szCs w:val="22"/>
              </w:rPr>
              <w:t>work days</w:t>
            </w:r>
            <w:proofErr w:type="gramEnd"/>
            <w:r w:rsidRPr="004E6C00">
              <w:rPr>
                <w:rFonts w:asciiTheme="minorHAnsi" w:hAnsiTheme="minorHAnsi" w:cstheme="minorHAnsi"/>
                <w:sz w:val="22"/>
                <w:szCs w:val="22"/>
              </w:rPr>
              <w:t xml:space="preserve"> to initiate complaint investigations (federal formula)</w:t>
            </w:r>
          </w:p>
        </w:tc>
        <w:tc>
          <w:tcPr>
            <w:tcW w:w="1289" w:type="dxa"/>
          </w:tcPr>
          <w:p w14:paraId="57D16CB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6.76</w:t>
            </w:r>
          </w:p>
        </w:tc>
        <w:tc>
          <w:tcPr>
            <w:tcW w:w="1411" w:type="dxa"/>
          </w:tcPr>
          <w:p w14:paraId="18452E2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N/A</w:t>
            </w:r>
          </w:p>
        </w:tc>
        <w:tc>
          <w:tcPr>
            <w:tcW w:w="4410" w:type="dxa"/>
          </w:tcPr>
          <w:p w14:paraId="3107986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This measure is for informational purposes only and is not a mandated measure.</w:t>
            </w:r>
          </w:p>
        </w:tc>
      </w:tr>
      <w:tr w:rsidR="00F600E9" w:rsidRPr="00F600E9" w14:paraId="500F7198"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0989816C"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3</w:t>
            </w:r>
          </w:p>
        </w:tc>
        <w:tc>
          <w:tcPr>
            <w:tcW w:w="2206" w:type="dxa"/>
          </w:tcPr>
          <w:p w14:paraId="7B36B1C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Percent of complaints and referrals responded to within one workday (imminent danger)</w:t>
            </w:r>
          </w:p>
        </w:tc>
        <w:tc>
          <w:tcPr>
            <w:tcW w:w="1289" w:type="dxa"/>
          </w:tcPr>
          <w:p w14:paraId="7C4ED2D7"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100%</w:t>
            </w:r>
          </w:p>
        </w:tc>
        <w:tc>
          <w:tcPr>
            <w:tcW w:w="1411" w:type="dxa"/>
          </w:tcPr>
          <w:p w14:paraId="76FB811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100%</w:t>
            </w:r>
          </w:p>
        </w:tc>
        <w:tc>
          <w:tcPr>
            <w:tcW w:w="4410" w:type="dxa"/>
          </w:tcPr>
          <w:p w14:paraId="2994E48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fixed for all State Plans.</w:t>
            </w:r>
          </w:p>
        </w:tc>
      </w:tr>
      <w:tr w:rsidR="00F600E9" w:rsidRPr="00F600E9" w14:paraId="1A43C0A0"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7B85C5A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4</w:t>
            </w:r>
          </w:p>
        </w:tc>
        <w:tc>
          <w:tcPr>
            <w:tcW w:w="2206" w:type="dxa"/>
          </w:tcPr>
          <w:p w14:paraId="55FCBE6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Number of denials where entry not obtained</w:t>
            </w:r>
          </w:p>
        </w:tc>
        <w:tc>
          <w:tcPr>
            <w:tcW w:w="1289" w:type="dxa"/>
          </w:tcPr>
          <w:p w14:paraId="5C20954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0</w:t>
            </w:r>
          </w:p>
        </w:tc>
        <w:tc>
          <w:tcPr>
            <w:tcW w:w="1411" w:type="dxa"/>
          </w:tcPr>
          <w:p w14:paraId="690BE9A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0</w:t>
            </w:r>
          </w:p>
        </w:tc>
        <w:tc>
          <w:tcPr>
            <w:tcW w:w="4410" w:type="dxa"/>
          </w:tcPr>
          <w:p w14:paraId="090EDD1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fixed for all State Plans.</w:t>
            </w:r>
          </w:p>
        </w:tc>
      </w:tr>
      <w:tr w:rsidR="00F600E9" w:rsidRPr="00F600E9" w14:paraId="3FF2286E" w14:textId="77777777" w:rsidTr="00CD6619">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34417FBC"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5a</w:t>
            </w:r>
          </w:p>
        </w:tc>
        <w:tc>
          <w:tcPr>
            <w:tcW w:w="2206" w:type="dxa"/>
          </w:tcPr>
          <w:p w14:paraId="4FCE1F5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Average number of violations per inspection with violations by violation type (SWRU)</w:t>
            </w:r>
          </w:p>
        </w:tc>
        <w:tc>
          <w:tcPr>
            <w:tcW w:w="1289" w:type="dxa"/>
          </w:tcPr>
          <w:p w14:paraId="3194665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1.15</w:t>
            </w:r>
          </w:p>
        </w:tc>
        <w:tc>
          <w:tcPr>
            <w:tcW w:w="1411" w:type="dxa"/>
          </w:tcPr>
          <w:p w14:paraId="252680AE"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+/- 20% of 1.74</w:t>
            </w:r>
          </w:p>
          <w:p w14:paraId="512356B8"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3C2C3E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71E381A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 xml:space="preserve">The further review level is based on a three-year national average.  The range of acceptable data not requiring further review is from 1.39 to 2.08 for SWRU. </w:t>
            </w:r>
          </w:p>
        </w:tc>
      </w:tr>
      <w:tr w:rsidR="00F600E9" w:rsidRPr="00F600E9" w14:paraId="23CA40A6"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4805DD8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5b</w:t>
            </w:r>
          </w:p>
        </w:tc>
        <w:tc>
          <w:tcPr>
            <w:tcW w:w="2206" w:type="dxa"/>
          </w:tcPr>
          <w:p w14:paraId="240F53AA"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number of violations per inspection with violations by violation type (other)</w:t>
            </w:r>
          </w:p>
        </w:tc>
        <w:tc>
          <w:tcPr>
            <w:tcW w:w="1289" w:type="dxa"/>
          </w:tcPr>
          <w:p w14:paraId="7B09644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1.66</w:t>
            </w:r>
          </w:p>
        </w:tc>
        <w:tc>
          <w:tcPr>
            <w:tcW w:w="1411" w:type="dxa"/>
          </w:tcPr>
          <w:p w14:paraId="325877CB"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+/- 20% of 0.94</w:t>
            </w:r>
          </w:p>
          <w:p w14:paraId="06F88097"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0669CC2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The further review level is based on a three-year national average.  The range of acceptable data not requiring further review is from 0.75 to 1.12 for OTS.</w:t>
            </w:r>
          </w:p>
        </w:tc>
      </w:tr>
      <w:tr w:rsidR="00F600E9" w:rsidRPr="00F600E9" w14:paraId="7EC02DFD"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211EEE8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6</w:t>
            </w:r>
          </w:p>
        </w:tc>
        <w:tc>
          <w:tcPr>
            <w:tcW w:w="2206" w:type="dxa"/>
          </w:tcPr>
          <w:p w14:paraId="3AB1A32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Percent of total inspections in state and local government workplaces</w:t>
            </w:r>
          </w:p>
        </w:tc>
        <w:tc>
          <w:tcPr>
            <w:tcW w:w="1289" w:type="dxa"/>
          </w:tcPr>
          <w:p w14:paraId="4BCD27D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5.03%</w:t>
            </w:r>
          </w:p>
        </w:tc>
        <w:tc>
          <w:tcPr>
            <w:tcW w:w="1411" w:type="dxa"/>
          </w:tcPr>
          <w:p w14:paraId="187F76E6"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+/- 5% of</w:t>
            </w:r>
          </w:p>
          <w:p w14:paraId="6D0103B5" w14:textId="5BEEF9B1"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3.40%</w:t>
            </w:r>
          </w:p>
        </w:tc>
        <w:tc>
          <w:tcPr>
            <w:tcW w:w="4410" w:type="dxa"/>
          </w:tcPr>
          <w:p w14:paraId="5AF832C2" w14:textId="1166F0CC"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The further review level is based on a number negotiated by OSHA and the State Plan through the grant application.  The range of acceptable data not requiring further review is from 3.23% to 3.57%.</w:t>
            </w:r>
          </w:p>
        </w:tc>
      </w:tr>
      <w:tr w:rsidR="00F600E9" w:rsidRPr="00F600E9" w14:paraId="603AFA90"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2DB14A3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7a</w:t>
            </w:r>
          </w:p>
        </w:tc>
        <w:tc>
          <w:tcPr>
            <w:tcW w:w="2206" w:type="dxa"/>
          </w:tcPr>
          <w:p w14:paraId="0579951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Planned v. actual inspections (safety)</w:t>
            </w:r>
          </w:p>
        </w:tc>
        <w:tc>
          <w:tcPr>
            <w:tcW w:w="1289" w:type="dxa"/>
          </w:tcPr>
          <w:p w14:paraId="2458B30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402</w:t>
            </w:r>
          </w:p>
        </w:tc>
        <w:tc>
          <w:tcPr>
            <w:tcW w:w="1411" w:type="dxa"/>
          </w:tcPr>
          <w:p w14:paraId="79D7CA35"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+/- 5% of </w:t>
            </w:r>
          </w:p>
          <w:p w14:paraId="667550D5" w14:textId="79EDD8CF"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795</w:t>
            </w:r>
          </w:p>
        </w:tc>
        <w:tc>
          <w:tcPr>
            <w:tcW w:w="4410" w:type="dxa"/>
          </w:tcPr>
          <w:p w14:paraId="3DAAE5B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number negotiated by OSHA and the State Plan through the grant application.  The range of acceptable data not requiring further review is from 755 to 835 for safety.</w:t>
            </w:r>
          </w:p>
        </w:tc>
      </w:tr>
      <w:tr w:rsidR="00F600E9" w:rsidRPr="00F600E9" w14:paraId="32AF982B"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51AB4DCA"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7b</w:t>
            </w:r>
          </w:p>
        </w:tc>
        <w:tc>
          <w:tcPr>
            <w:tcW w:w="2206" w:type="dxa"/>
          </w:tcPr>
          <w:p w14:paraId="33D4124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Planned v. actual inspections (health)</w:t>
            </w:r>
          </w:p>
        </w:tc>
        <w:tc>
          <w:tcPr>
            <w:tcW w:w="1289" w:type="dxa"/>
          </w:tcPr>
          <w:p w14:paraId="69CEFE9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214</w:t>
            </w:r>
          </w:p>
        </w:tc>
        <w:tc>
          <w:tcPr>
            <w:tcW w:w="1411" w:type="dxa"/>
          </w:tcPr>
          <w:p w14:paraId="4509F944"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+/- 5% of </w:t>
            </w:r>
          </w:p>
          <w:p w14:paraId="2AAC7CB2" w14:textId="34A3716A"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380</w:t>
            </w:r>
          </w:p>
        </w:tc>
        <w:tc>
          <w:tcPr>
            <w:tcW w:w="4410" w:type="dxa"/>
          </w:tcPr>
          <w:p w14:paraId="36388E1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number negotiated by OSHA and the State Plan through the grant application.  The range of acceptable data not requiring further review is from 361 to 399 for health.</w:t>
            </w:r>
          </w:p>
        </w:tc>
      </w:tr>
      <w:tr w:rsidR="00F600E9" w:rsidRPr="00F600E9" w14:paraId="6060357C"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156D699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8</w:t>
            </w:r>
          </w:p>
        </w:tc>
        <w:tc>
          <w:tcPr>
            <w:tcW w:w="2206" w:type="dxa"/>
          </w:tcPr>
          <w:p w14:paraId="2179642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Average current serious penalty in private sector - total (1 to greater than 250 workers)</w:t>
            </w:r>
          </w:p>
        </w:tc>
        <w:tc>
          <w:tcPr>
            <w:tcW w:w="1289" w:type="dxa"/>
          </w:tcPr>
          <w:p w14:paraId="49042E3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$5,476.34</w:t>
            </w:r>
          </w:p>
        </w:tc>
        <w:tc>
          <w:tcPr>
            <w:tcW w:w="1411" w:type="dxa"/>
          </w:tcPr>
          <w:p w14:paraId="406EE6F3"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+/- 25% of </w:t>
            </w:r>
          </w:p>
          <w:p w14:paraId="799EDDBA"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$3,793.81</w:t>
            </w:r>
          </w:p>
          <w:p w14:paraId="5EAD268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33ABC98F" w14:textId="77777777" w:rsidR="001E341E" w:rsidRPr="004E6C00" w:rsidRDefault="001E341E" w:rsidP="00D94BC3">
            <w:pPr>
              <w:tabs>
                <w:tab w:val="left" w:pos="2416"/>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$2,845.36 to $4,742.27.</w:t>
            </w:r>
          </w:p>
        </w:tc>
      </w:tr>
      <w:tr w:rsidR="00F600E9" w:rsidRPr="00F600E9" w14:paraId="3C30ABA9"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65F0BB4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sz w:val="22"/>
                <w:szCs w:val="22"/>
              </w:rPr>
            </w:pPr>
            <w:r w:rsidRPr="004E6C00">
              <w:rPr>
                <w:rFonts w:asciiTheme="minorHAnsi" w:eastAsia="PMingLiU" w:hAnsiTheme="minorHAnsi" w:cstheme="minorHAnsi"/>
                <w:sz w:val="22"/>
                <w:szCs w:val="22"/>
              </w:rPr>
              <w:t>8a</w:t>
            </w:r>
          </w:p>
        </w:tc>
        <w:tc>
          <w:tcPr>
            <w:tcW w:w="2206" w:type="dxa"/>
          </w:tcPr>
          <w:p w14:paraId="5F4D557A"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current serious penalty in private sector</w:t>
            </w:r>
          </w:p>
          <w:p w14:paraId="34D51C7C"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(1-25 workers)</w:t>
            </w:r>
          </w:p>
        </w:tc>
        <w:tc>
          <w:tcPr>
            <w:tcW w:w="1289" w:type="dxa"/>
          </w:tcPr>
          <w:p w14:paraId="6EB2A1DA"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$3,681.00</w:t>
            </w:r>
          </w:p>
        </w:tc>
        <w:tc>
          <w:tcPr>
            <w:tcW w:w="1411" w:type="dxa"/>
          </w:tcPr>
          <w:p w14:paraId="55F81C1C"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+/- 25% of </w:t>
            </w:r>
          </w:p>
          <w:p w14:paraId="2A5B3803"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$2,498.51</w:t>
            </w:r>
          </w:p>
          <w:p w14:paraId="08809CC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490ABE3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$1,873.88 to $3,123.14.</w:t>
            </w:r>
          </w:p>
        </w:tc>
      </w:tr>
      <w:tr w:rsidR="00F600E9" w:rsidRPr="00F600E9" w14:paraId="3672E45F"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32363E2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8b</w:t>
            </w:r>
          </w:p>
        </w:tc>
        <w:tc>
          <w:tcPr>
            <w:tcW w:w="2206" w:type="dxa"/>
          </w:tcPr>
          <w:p w14:paraId="65FB03C8"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Average current serious penalty in private sector </w:t>
            </w:r>
          </w:p>
          <w:p w14:paraId="69CCF08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(26-100 workers</w:t>
            </w:r>
            <w:r w:rsidRPr="004E6C00">
              <w:rPr>
                <w:rFonts w:asciiTheme="minorHAnsi" w:hAnsiTheme="minorHAnsi" w:cstheme="minorHAnsi"/>
                <w:b/>
                <w:sz w:val="22"/>
                <w:szCs w:val="22"/>
              </w:rPr>
              <w:t>)</w:t>
            </w:r>
          </w:p>
        </w:tc>
        <w:tc>
          <w:tcPr>
            <w:tcW w:w="1289" w:type="dxa"/>
          </w:tcPr>
          <w:p w14:paraId="7634B2A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$6,002.66</w:t>
            </w:r>
          </w:p>
        </w:tc>
        <w:tc>
          <w:tcPr>
            <w:tcW w:w="1411" w:type="dxa"/>
          </w:tcPr>
          <w:p w14:paraId="5EB6864F"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+/- 25% of </w:t>
            </w:r>
          </w:p>
          <w:p w14:paraId="1B4B7638"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$4,322.61</w:t>
            </w:r>
          </w:p>
          <w:p w14:paraId="3902FCF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42AE5EA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$3,241.96 to $5,403.26.</w:t>
            </w:r>
          </w:p>
        </w:tc>
      </w:tr>
      <w:tr w:rsidR="00F600E9" w:rsidRPr="00F600E9" w14:paraId="4A303E27"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70AFDBF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8c</w:t>
            </w:r>
          </w:p>
        </w:tc>
        <w:tc>
          <w:tcPr>
            <w:tcW w:w="2206" w:type="dxa"/>
          </w:tcPr>
          <w:p w14:paraId="25966933"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current serious penalty in private sector</w:t>
            </w:r>
          </w:p>
          <w:p w14:paraId="164E94A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(101-250 workers)</w:t>
            </w:r>
          </w:p>
        </w:tc>
        <w:tc>
          <w:tcPr>
            <w:tcW w:w="1289" w:type="dxa"/>
          </w:tcPr>
          <w:p w14:paraId="5FAAB82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$7,782.44</w:t>
            </w:r>
          </w:p>
        </w:tc>
        <w:tc>
          <w:tcPr>
            <w:tcW w:w="1411" w:type="dxa"/>
          </w:tcPr>
          <w:p w14:paraId="3368251C"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+/- 25% of </w:t>
            </w:r>
          </w:p>
          <w:p w14:paraId="3D6474B2"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$6,114.84</w:t>
            </w:r>
          </w:p>
          <w:p w14:paraId="51DD9C1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3DBB015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$4,586.13 to $7,643.55.</w:t>
            </w:r>
          </w:p>
        </w:tc>
      </w:tr>
      <w:tr w:rsidR="00F600E9" w:rsidRPr="00F600E9" w14:paraId="3B08FE15"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37CD313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8d</w:t>
            </w:r>
          </w:p>
        </w:tc>
        <w:tc>
          <w:tcPr>
            <w:tcW w:w="2206" w:type="dxa"/>
          </w:tcPr>
          <w:p w14:paraId="55E4E22B"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current serious penalty in private sector</w:t>
            </w:r>
          </w:p>
          <w:p w14:paraId="48C55C6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(greater than 250 workers)</w:t>
            </w:r>
          </w:p>
        </w:tc>
        <w:tc>
          <w:tcPr>
            <w:tcW w:w="1289" w:type="dxa"/>
          </w:tcPr>
          <w:p w14:paraId="5676613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$9,720.80</w:t>
            </w:r>
          </w:p>
        </w:tc>
        <w:tc>
          <w:tcPr>
            <w:tcW w:w="1411" w:type="dxa"/>
          </w:tcPr>
          <w:p w14:paraId="167B47C1"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xml:space="preserve">+/- 25% of </w:t>
            </w:r>
          </w:p>
          <w:p w14:paraId="127C7E60"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$7,533.58</w:t>
            </w:r>
          </w:p>
          <w:p w14:paraId="4D08D26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667BEB91"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$5,650.19 to $9,416.98.</w:t>
            </w:r>
          </w:p>
        </w:tc>
      </w:tr>
      <w:tr w:rsidR="00F600E9" w:rsidRPr="00F600E9" w14:paraId="3274218B"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63082E6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9a</w:t>
            </w:r>
          </w:p>
        </w:tc>
        <w:tc>
          <w:tcPr>
            <w:tcW w:w="2206" w:type="dxa"/>
          </w:tcPr>
          <w:p w14:paraId="4BE8861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in compliance (safety)</w:t>
            </w:r>
          </w:p>
        </w:tc>
        <w:tc>
          <w:tcPr>
            <w:tcW w:w="1289" w:type="dxa"/>
          </w:tcPr>
          <w:p w14:paraId="326D49C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30.63%</w:t>
            </w:r>
          </w:p>
        </w:tc>
        <w:tc>
          <w:tcPr>
            <w:tcW w:w="1411" w:type="dxa"/>
          </w:tcPr>
          <w:p w14:paraId="25B3D87E"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+/- 20% of</w:t>
            </w:r>
          </w:p>
          <w:p w14:paraId="7F85300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32.83%</w:t>
            </w:r>
          </w:p>
        </w:tc>
        <w:tc>
          <w:tcPr>
            <w:tcW w:w="4410" w:type="dxa"/>
          </w:tcPr>
          <w:p w14:paraId="338FE5EA"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26.27% to 39.40% for safety.</w:t>
            </w:r>
          </w:p>
        </w:tc>
      </w:tr>
      <w:tr w:rsidR="00F600E9" w:rsidRPr="00F600E9" w14:paraId="4835C35D"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2C379BA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9b</w:t>
            </w:r>
          </w:p>
        </w:tc>
        <w:tc>
          <w:tcPr>
            <w:tcW w:w="2206" w:type="dxa"/>
          </w:tcPr>
          <w:p w14:paraId="6C5C0EF1"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in compliance (health)</w:t>
            </w:r>
          </w:p>
        </w:tc>
        <w:tc>
          <w:tcPr>
            <w:tcW w:w="1289" w:type="dxa"/>
          </w:tcPr>
          <w:p w14:paraId="22B61E4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27.86%</w:t>
            </w:r>
          </w:p>
        </w:tc>
        <w:tc>
          <w:tcPr>
            <w:tcW w:w="1411" w:type="dxa"/>
          </w:tcPr>
          <w:p w14:paraId="3FB349E7"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+/- 20% of</w:t>
            </w:r>
          </w:p>
          <w:p w14:paraId="5C26F5CA"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44.18%</w:t>
            </w:r>
          </w:p>
        </w:tc>
        <w:tc>
          <w:tcPr>
            <w:tcW w:w="4410" w:type="dxa"/>
          </w:tcPr>
          <w:p w14:paraId="5DB01C2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35.34% to 53.01% for health.</w:t>
            </w:r>
          </w:p>
        </w:tc>
      </w:tr>
      <w:tr w:rsidR="00F600E9" w:rsidRPr="00F600E9" w14:paraId="4B85EF3C"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5194988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10</w:t>
            </w:r>
          </w:p>
        </w:tc>
        <w:tc>
          <w:tcPr>
            <w:tcW w:w="2206" w:type="dxa"/>
          </w:tcPr>
          <w:p w14:paraId="4CAC79C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of work-related fatalities responded to in one workday</w:t>
            </w:r>
          </w:p>
        </w:tc>
        <w:tc>
          <w:tcPr>
            <w:tcW w:w="1289" w:type="dxa"/>
          </w:tcPr>
          <w:p w14:paraId="0FC81E4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92.31%</w:t>
            </w:r>
          </w:p>
        </w:tc>
        <w:tc>
          <w:tcPr>
            <w:tcW w:w="1411" w:type="dxa"/>
          </w:tcPr>
          <w:p w14:paraId="0B3F88D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100%</w:t>
            </w:r>
          </w:p>
        </w:tc>
        <w:tc>
          <w:tcPr>
            <w:tcW w:w="4410" w:type="dxa"/>
          </w:tcPr>
          <w:p w14:paraId="1F70F57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fixed for all State Plans.</w:t>
            </w:r>
          </w:p>
        </w:tc>
      </w:tr>
      <w:tr w:rsidR="00F600E9" w:rsidRPr="00F600E9" w14:paraId="64DB9B0E"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6C37A73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11a</w:t>
            </w:r>
          </w:p>
        </w:tc>
        <w:tc>
          <w:tcPr>
            <w:tcW w:w="2206" w:type="dxa"/>
          </w:tcPr>
          <w:p w14:paraId="2E15C6D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lapse time (safety)</w:t>
            </w:r>
          </w:p>
        </w:tc>
        <w:tc>
          <w:tcPr>
            <w:tcW w:w="1289" w:type="dxa"/>
          </w:tcPr>
          <w:p w14:paraId="1479D6E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97.92</w:t>
            </w:r>
          </w:p>
        </w:tc>
        <w:tc>
          <w:tcPr>
            <w:tcW w:w="1411" w:type="dxa"/>
          </w:tcPr>
          <w:p w14:paraId="21357F75"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+/- 20% of 56.02</w:t>
            </w:r>
          </w:p>
          <w:p w14:paraId="1C677FC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499E9C36" w14:textId="798A003F"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44.82 to 67.23</w:t>
            </w:r>
            <w:r w:rsidR="003B68D0" w:rsidRPr="004E6C00">
              <w:rPr>
                <w:rFonts w:asciiTheme="minorHAnsi" w:hAnsiTheme="minorHAnsi" w:cstheme="minorHAnsi"/>
                <w:sz w:val="22"/>
                <w:szCs w:val="22"/>
              </w:rPr>
              <w:t xml:space="preserve"> </w:t>
            </w:r>
            <w:r w:rsidRPr="004E6C00">
              <w:rPr>
                <w:rFonts w:asciiTheme="minorHAnsi" w:hAnsiTheme="minorHAnsi" w:cstheme="minorHAnsi"/>
                <w:sz w:val="22"/>
                <w:szCs w:val="22"/>
              </w:rPr>
              <w:t>for safety.</w:t>
            </w:r>
          </w:p>
        </w:tc>
      </w:tr>
      <w:tr w:rsidR="00F600E9" w:rsidRPr="00F600E9" w14:paraId="7B159576"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57D86750"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11b</w:t>
            </w:r>
          </w:p>
        </w:tc>
        <w:tc>
          <w:tcPr>
            <w:tcW w:w="2206" w:type="dxa"/>
          </w:tcPr>
          <w:p w14:paraId="2400523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lapse time (health)</w:t>
            </w:r>
          </w:p>
        </w:tc>
        <w:tc>
          <w:tcPr>
            <w:tcW w:w="1289" w:type="dxa"/>
          </w:tcPr>
          <w:p w14:paraId="3B5FB06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93.30</w:t>
            </w:r>
          </w:p>
        </w:tc>
        <w:tc>
          <w:tcPr>
            <w:tcW w:w="1411" w:type="dxa"/>
          </w:tcPr>
          <w:p w14:paraId="60FF0268"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+/- 20% of 67.21</w:t>
            </w:r>
          </w:p>
          <w:p w14:paraId="320C4951"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p>
        </w:tc>
        <w:tc>
          <w:tcPr>
            <w:tcW w:w="4410" w:type="dxa"/>
          </w:tcPr>
          <w:p w14:paraId="1C6573B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53.77 to 80.65 for health.</w:t>
            </w:r>
          </w:p>
        </w:tc>
      </w:tr>
      <w:tr w:rsidR="00F600E9" w:rsidRPr="00F600E9" w14:paraId="35B59936"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0613C97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12</w:t>
            </w:r>
          </w:p>
        </w:tc>
        <w:tc>
          <w:tcPr>
            <w:tcW w:w="2206" w:type="dxa"/>
          </w:tcPr>
          <w:p w14:paraId="40251FA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penalty retained</w:t>
            </w:r>
          </w:p>
        </w:tc>
        <w:tc>
          <w:tcPr>
            <w:tcW w:w="1289" w:type="dxa"/>
          </w:tcPr>
          <w:p w14:paraId="6B3CAE7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97.41%</w:t>
            </w:r>
          </w:p>
        </w:tc>
        <w:tc>
          <w:tcPr>
            <w:tcW w:w="1411" w:type="dxa"/>
          </w:tcPr>
          <w:p w14:paraId="11FF3401"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+/- 15% of</w:t>
            </w:r>
          </w:p>
          <w:p w14:paraId="067AB33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70.81%</w:t>
            </w:r>
          </w:p>
        </w:tc>
        <w:tc>
          <w:tcPr>
            <w:tcW w:w="4410" w:type="dxa"/>
          </w:tcPr>
          <w:p w14:paraId="2C39852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60.19% to 81.44%.</w:t>
            </w:r>
          </w:p>
        </w:tc>
      </w:tr>
      <w:tr w:rsidR="00F600E9" w:rsidRPr="00F600E9" w14:paraId="16A3F939"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12C36C0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13</w:t>
            </w:r>
          </w:p>
        </w:tc>
        <w:tc>
          <w:tcPr>
            <w:tcW w:w="2206" w:type="dxa"/>
          </w:tcPr>
          <w:p w14:paraId="6E1355D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of initial inspections with worker walk-around representation or worker interview</w:t>
            </w:r>
          </w:p>
        </w:tc>
        <w:tc>
          <w:tcPr>
            <w:tcW w:w="1289" w:type="dxa"/>
          </w:tcPr>
          <w:p w14:paraId="76D07C54"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97.89%</w:t>
            </w:r>
          </w:p>
        </w:tc>
        <w:tc>
          <w:tcPr>
            <w:tcW w:w="1411" w:type="dxa"/>
          </w:tcPr>
          <w:p w14:paraId="373EAC4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100%</w:t>
            </w:r>
          </w:p>
        </w:tc>
        <w:tc>
          <w:tcPr>
            <w:tcW w:w="4410" w:type="dxa"/>
          </w:tcPr>
          <w:p w14:paraId="7A652E0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fixed for all State Plans.</w:t>
            </w:r>
          </w:p>
        </w:tc>
      </w:tr>
      <w:tr w:rsidR="00F600E9" w:rsidRPr="00F600E9" w14:paraId="6A017313"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2B9CAD31"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14</w:t>
            </w:r>
          </w:p>
        </w:tc>
        <w:tc>
          <w:tcPr>
            <w:tcW w:w="2206" w:type="dxa"/>
          </w:tcPr>
          <w:p w14:paraId="34ACEE1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of 11(c) investigations completed within 90 days</w:t>
            </w:r>
          </w:p>
        </w:tc>
        <w:tc>
          <w:tcPr>
            <w:tcW w:w="1289" w:type="dxa"/>
          </w:tcPr>
          <w:p w14:paraId="6936D885"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N/A*</w:t>
            </w:r>
          </w:p>
        </w:tc>
        <w:tc>
          <w:tcPr>
            <w:tcW w:w="1411" w:type="dxa"/>
          </w:tcPr>
          <w:p w14:paraId="781D634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N/A*</w:t>
            </w:r>
          </w:p>
        </w:tc>
        <w:tc>
          <w:tcPr>
            <w:tcW w:w="4410" w:type="dxa"/>
          </w:tcPr>
          <w:p w14:paraId="1A77338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 xml:space="preserve">This measure is not being reported for FY 2023 </w:t>
            </w:r>
            <w:r w:rsidRPr="004E6C00">
              <w:rPr>
                <w:rFonts w:asciiTheme="minorHAnsi" w:hAnsiTheme="minorHAnsi" w:cstheme="minorHAnsi"/>
                <w:sz w:val="22"/>
                <w:szCs w:val="22"/>
              </w:rPr>
              <w:t>due to the transition of 11(c) data from IMIS to OIS</w:t>
            </w:r>
            <w:r w:rsidRPr="004E6C00">
              <w:rPr>
                <w:rFonts w:asciiTheme="minorHAnsi" w:eastAsia="PMingLiU" w:hAnsiTheme="minorHAnsi" w:cstheme="minorHAnsi"/>
                <w:sz w:val="22"/>
                <w:szCs w:val="22"/>
              </w:rPr>
              <w:t>.</w:t>
            </w:r>
          </w:p>
        </w:tc>
      </w:tr>
      <w:tr w:rsidR="00F600E9" w:rsidRPr="00F600E9" w14:paraId="69C27CC9"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54A88B5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15</w:t>
            </w:r>
          </w:p>
        </w:tc>
        <w:tc>
          <w:tcPr>
            <w:tcW w:w="2206" w:type="dxa"/>
          </w:tcPr>
          <w:p w14:paraId="60F6C14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of 11(c) complaints that are meritorious</w:t>
            </w:r>
          </w:p>
        </w:tc>
        <w:tc>
          <w:tcPr>
            <w:tcW w:w="1289" w:type="dxa"/>
          </w:tcPr>
          <w:p w14:paraId="75629D5B"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N/A*</w:t>
            </w:r>
          </w:p>
        </w:tc>
        <w:tc>
          <w:tcPr>
            <w:tcW w:w="1411" w:type="dxa"/>
          </w:tcPr>
          <w:p w14:paraId="633BABF6"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N/A*</w:t>
            </w:r>
          </w:p>
        </w:tc>
        <w:tc>
          <w:tcPr>
            <w:tcW w:w="4410" w:type="dxa"/>
          </w:tcPr>
          <w:p w14:paraId="0340D89C"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 xml:space="preserve">This measure is not being reported for FY 2023 due to the transition of 11(c) data from IMIS to OIS. </w:t>
            </w:r>
          </w:p>
        </w:tc>
      </w:tr>
      <w:tr w:rsidR="00F600E9" w:rsidRPr="00F600E9" w14:paraId="0E6D3AB0"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653A19FD"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16</w:t>
            </w:r>
          </w:p>
        </w:tc>
        <w:tc>
          <w:tcPr>
            <w:tcW w:w="2206" w:type="dxa"/>
          </w:tcPr>
          <w:p w14:paraId="0103F022"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Average number of calendar days to complete an 11(c) investigation</w:t>
            </w:r>
          </w:p>
        </w:tc>
        <w:tc>
          <w:tcPr>
            <w:tcW w:w="1289" w:type="dxa"/>
          </w:tcPr>
          <w:p w14:paraId="0F1FE71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eastAsia="PMingLiU" w:hAnsiTheme="minorHAnsi" w:cstheme="minorHAnsi"/>
                <w:sz w:val="22"/>
                <w:szCs w:val="22"/>
              </w:rPr>
              <w:t>N/A*</w:t>
            </w:r>
          </w:p>
        </w:tc>
        <w:tc>
          <w:tcPr>
            <w:tcW w:w="1411" w:type="dxa"/>
          </w:tcPr>
          <w:p w14:paraId="55F0898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N/A*</w:t>
            </w:r>
          </w:p>
        </w:tc>
        <w:tc>
          <w:tcPr>
            <w:tcW w:w="4410" w:type="dxa"/>
          </w:tcPr>
          <w:p w14:paraId="07D8421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This measure is not being reported for FY 2023 due to the transition of 11(c) data from IMIS to OIS.</w:t>
            </w:r>
          </w:p>
        </w:tc>
      </w:tr>
      <w:tr w:rsidR="00F600E9" w:rsidRPr="00F600E9" w14:paraId="26D56074" w14:textId="77777777" w:rsidTr="00CD6619">
        <w:tc>
          <w:tcPr>
            <w:cnfStyle w:val="001000000000" w:firstRow="0" w:lastRow="0" w:firstColumn="1" w:lastColumn="0" w:oddVBand="0" w:evenVBand="0" w:oddHBand="0" w:evenHBand="0" w:firstRowFirstColumn="0" w:firstRowLastColumn="0" w:lastRowFirstColumn="0" w:lastRowLastColumn="0"/>
            <w:tcW w:w="1034" w:type="dxa"/>
          </w:tcPr>
          <w:p w14:paraId="0F7137D9"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r w:rsidRPr="004E6C00">
              <w:rPr>
                <w:rFonts w:asciiTheme="minorHAnsi" w:eastAsia="PMingLiU" w:hAnsiTheme="minorHAnsi" w:cstheme="minorHAnsi"/>
                <w:sz w:val="22"/>
                <w:szCs w:val="22"/>
              </w:rPr>
              <w:t>17</w:t>
            </w:r>
          </w:p>
        </w:tc>
        <w:tc>
          <w:tcPr>
            <w:tcW w:w="2206" w:type="dxa"/>
          </w:tcPr>
          <w:p w14:paraId="0578455F"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Percent of enforcement presence</w:t>
            </w:r>
          </w:p>
        </w:tc>
        <w:tc>
          <w:tcPr>
            <w:tcW w:w="1289" w:type="dxa"/>
          </w:tcPr>
          <w:p w14:paraId="7209F033"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0.47%</w:t>
            </w:r>
          </w:p>
        </w:tc>
        <w:tc>
          <w:tcPr>
            <w:tcW w:w="1411" w:type="dxa"/>
          </w:tcPr>
          <w:p w14:paraId="0250D88E" w14:textId="77777777" w:rsidR="001E341E" w:rsidRPr="004E6C00" w:rsidRDefault="001E341E" w:rsidP="00D94BC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E6C00">
              <w:rPr>
                <w:rFonts w:asciiTheme="minorHAnsi" w:hAnsiTheme="minorHAnsi" w:cstheme="minorHAnsi"/>
                <w:sz w:val="22"/>
                <w:szCs w:val="22"/>
              </w:rPr>
              <w:t>+/- 25% of</w:t>
            </w:r>
          </w:p>
          <w:p w14:paraId="72907528"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1.00%</w:t>
            </w:r>
          </w:p>
        </w:tc>
        <w:tc>
          <w:tcPr>
            <w:tcW w:w="4410" w:type="dxa"/>
          </w:tcPr>
          <w:p w14:paraId="2AEB7ADE" w14:textId="77777777" w:rsidR="001E341E" w:rsidRPr="004E6C00" w:rsidRDefault="001E341E" w:rsidP="00D94B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rPr>
            </w:pPr>
            <w:r w:rsidRPr="004E6C00">
              <w:rPr>
                <w:rFonts w:asciiTheme="minorHAnsi" w:hAnsiTheme="minorHAnsi" w:cstheme="minorHAnsi"/>
                <w:sz w:val="22"/>
                <w:szCs w:val="22"/>
              </w:rPr>
              <w:t>The further review level is based on a three-year national average.  The range of acceptable data not requiring further review is from 0.75% to 1.25%.</w:t>
            </w:r>
          </w:p>
        </w:tc>
      </w:tr>
    </w:tbl>
    <w:p w14:paraId="10A1B24F" w14:textId="77777777" w:rsidR="00FF320C" w:rsidRDefault="00FF320C" w:rsidP="001A1FF9">
      <w:pPr>
        <w:widowControl/>
        <w:autoSpaceDE/>
        <w:autoSpaceDN/>
        <w:adjustRightInd/>
        <w:rPr>
          <w:rFonts w:cs="Calibri"/>
        </w:rPr>
      </w:pPr>
    </w:p>
    <w:p w14:paraId="1D6683DC" w14:textId="77777777" w:rsidR="00084039" w:rsidRDefault="00084039" w:rsidP="00084039">
      <w:r w:rsidRPr="004E492F">
        <w:t>NOTE:  The national averages in this report are three-year rolling averages.  Unless otherwise noted, the data contained in this Appendix D is pulled from the State Activity Mandated Measures (SAMM) Report in OIS and the State Plan WebIMIS report run on November 1</w:t>
      </w:r>
      <w:r>
        <w:t>2</w:t>
      </w:r>
      <w:r w:rsidRPr="004E492F">
        <w:t>, 202</w:t>
      </w:r>
      <w:r>
        <w:t>4</w:t>
      </w:r>
      <w:r w:rsidRPr="004E492F">
        <w:t>, as part of OSHA’s official end-of-year data run.</w:t>
      </w:r>
    </w:p>
    <w:p w14:paraId="06CC2FCD" w14:textId="77777777" w:rsidR="00084039" w:rsidRDefault="00084039" w:rsidP="001A1FF9">
      <w:pPr>
        <w:widowControl/>
        <w:autoSpaceDE/>
        <w:autoSpaceDN/>
        <w:adjustRightInd/>
        <w:rPr>
          <w:rFonts w:cs="Calibri"/>
        </w:rPr>
      </w:pPr>
    </w:p>
    <w:p w14:paraId="08196A4D" w14:textId="16551444" w:rsidR="00AE59DC" w:rsidRPr="001C1E47" w:rsidRDefault="00AE59DC" w:rsidP="001A1FF9">
      <w:pPr>
        <w:widowControl/>
        <w:autoSpaceDE/>
        <w:autoSpaceDN/>
        <w:adjustRightInd/>
        <w:rPr>
          <w:rFonts w:cs="Calibri"/>
        </w:rPr>
      </w:pPr>
      <w:r w:rsidRPr="00AE59DC">
        <w:rPr>
          <w:rFonts w:cs="Calibri"/>
        </w:rPr>
        <w:t>*Due to the transition of 11(c) data from IMIS to OIS, SAMMs 14, 15, and 16 are not being reported for FY 2024.  </w:t>
      </w:r>
    </w:p>
    <w:sectPr w:rsidR="00AE59DC" w:rsidRPr="001C1E47" w:rsidSect="001A1FF9">
      <w:headerReference w:type="even" r:id="rId24"/>
      <w:headerReference w:type="default" r:id="rId25"/>
      <w:footerReference w:type="default" r:id="rId26"/>
      <w:headerReference w:type="first" r:id="rId27"/>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FFFF" w14:textId="77777777" w:rsidR="00347785" w:rsidRDefault="00347785" w:rsidP="00C872A0">
      <w:r>
        <w:separator/>
      </w:r>
    </w:p>
  </w:endnote>
  <w:endnote w:type="continuationSeparator" w:id="0">
    <w:p w14:paraId="387AA174" w14:textId="77777777" w:rsidR="00347785" w:rsidRDefault="00347785" w:rsidP="00C872A0">
      <w:r>
        <w:continuationSeparator/>
      </w:r>
    </w:p>
  </w:endnote>
  <w:endnote w:type="continuationNotice" w:id="1">
    <w:p w14:paraId="71CD6A16" w14:textId="77777777" w:rsidR="00347785" w:rsidRDefault="00347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1898EAA4" w:rsidR="00BE2642" w:rsidRDefault="00BE2642">
        <w:pPr>
          <w:pStyle w:val="Footer"/>
          <w:jc w:val="right"/>
        </w:pPr>
        <w:r>
          <w:fldChar w:fldCharType="begin"/>
        </w:r>
        <w:r>
          <w:instrText xml:space="preserve"> PAGE   \* MERGEFORMAT </w:instrText>
        </w:r>
        <w:r>
          <w:fldChar w:fldCharType="separate"/>
        </w:r>
        <w:r w:rsidR="00693BEB">
          <w:rPr>
            <w:noProof/>
          </w:rPr>
          <w:t>14</w:t>
        </w:r>
        <w:r>
          <w:rPr>
            <w:noProof/>
          </w:rPr>
          <w:fldChar w:fldCharType="end"/>
        </w:r>
      </w:p>
    </w:sdtContent>
  </w:sdt>
  <w:p w14:paraId="758E56D4" w14:textId="4502FAB5" w:rsidR="00BE2642" w:rsidRDefault="00BE26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BE2642" w:rsidRDefault="00BE2642">
    <w:pPr>
      <w:pStyle w:val="Footer"/>
      <w:jc w:val="center"/>
    </w:pPr>
  </w:p>
  <w:p w14:paraId="0AB20AA6" w14:textId="77777777" w:rsidR="00BE2642" w:rsidRDefault="00BE2642"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0F36" w14:textId="44D97C78" w:rsidR="00BE2642" w:rsidRDefault="00BE2642">
    <w:pPr>
      <w:pStyle w:val="Footer"/>
      <w:jc w:val="right"/>
    </w:pPr>
    <w:r>
      <w:fldChar w:fldCharType="begin"/>
    </w:r>
    <w:r>
      <w:instrText xml:space="preserve"> PAGE   \* MERGEFORMAT </w:instrText>
    </w:r>
    <w:r>
      <w:fldChar w:fldCharType="separate"/>
    </w:r>
    <w:r w:rsidR="00693BEB">
      <w:rPr>
        <w:noProof/>
      </w:rPr>
      <w:t>11</w:t>
    </w:r>
    <w:r>
      <w:rPr>
        <w:noProof/>
      </w:rPr>
      <w:fldChar w:fldCharType="end"/>
    </w:r>
  </w:p>
  <w:p w14:paraId="1056AAF8" w14:textId="77777777" w:rsidR="00BE2642" w:rsidRDefault="00BE2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5BF" w14:textId="17ADC56E" w:rsidR="00BE2642" w:rsidRDefault="00BE2642">
    <w:pPr>
      <w:pStyle w:val="Footer"/>
      <w:jc w:val="right"/>
    </w:pPr>
    <w:r>
      <w:fldChar w:fldCharType="begin"/>
    </w:r>
    <w:r>
      <w:instrText xml:space="preserve"> PAGE   \* MERGEFORMAT </w:instrText>
    </w:r>
    <w:r>
      <w:fldChar w:fldCharType="separate"/>
    </w:r>
    <w:r w:rsidR="00693BEB">
      <w:rPr>
        <w:noProof/>
      </w:rPr>
      <w:t>15</w:t>
    </w:r>
    <w:r>
      <w:rPr>
        <w:noProof/>
      </w:rPr>
      <w:fldChar w:fldCharType="end"/>
    </w:r>
  </w:p>
  <w:p w14:paraId="2409E6FE" w14:textId="77777777" w:rsidR="00BE2642" w:rsidRDefault="00BE26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077810"/>
      <w:docPartObj>
        <w:docPartGallery w:val="Page Numbers (Bottom of Page)"/>
        <w:docPartUnique/>
      </w:docPartObj>
    </w:sdtPr>
    <w:sdtEndPr>
      <w:rPr>
        <w:noProof/>
      </w:rPr>
    </w:sdtEndPr>
    <w:sdtContent>
      <w:p w14:paraId="0A991431" w14:textId="213DEBB1" w:rsidR="00BE2642" w:rsidRDefault="00BE2642">
        <w:pPr>
          <w:pStyle w:val="Footer"/>
          <w:jc w:val="right"/>
        </w:pPr>
        <w:r>
          <w:fldChar w:fldCharType="begin"/>
        </w:r>
        <w:r>
          <w:instrText xml:space="preserve"> PAGE   \* MERGEFORMAT </w:instrText>
        </w:r>
        <w:r>
          <w:fldChar w:fldCharType="separate"/>
        </w:r>
        <w:r w:rsidR="00693BEB">
          <w:rPr>
            <w:noProof/>
          </w:rPr>
          <w:t>22</w:t>
        </w:r>
        <w:r>
          <w:rPr>
            <w:noProof/>
          </w:rPr>
          <w:fldChar w:fldCharType="end"/>
        </w:r>
      </w:p>
    </w:sdtContent>
  </w:sdt>
  <w:p w14:paraId="7859AADA" w14:textId="7AB042DC" w:rsidR="00BE2642" w:rsidRPr="000E07E7" w:rsidRDefault="00BE2642"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638A" w14:textId="77777777" w:rsidR="00347785" w:rsidRDefault="00347785" w:rsidP="00C872A0">
      <w:r>
        <w:separator/>
      </w:r>
    </w:p>
  </w:footnote>
  <w:footnote w:type="continuationSeparator" w:id="0">
    <w:p w14:paraId="6B668E14" w14:textId="77777777" w:rsidR="00347785" w:rsidRDefault="00347785" w:rsidP="00C872A0">
      <w:r>
        <w:continuationSeparator/>
      </w:r>
    </w:p>
  </w:footnote>
  <w:footnote w:type="continuationNotice" w:id="1">
    <w:p w14:paraId="4918F150" w14:textId="77777777" w:rsidR="00347785" w:rsidRDefault="00347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AEFD" w14:textId="0C50B10B" w:rsidR="00BE2642" w:rsidRDefault="00BE26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8963" w14:textId="48D511C1" w:rsidR="00BE2642" w:rsidRDefault="00BE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B28E" w14:textId="0EA5A136" w:rsidR="00BE2642" w:rsidRDefault="00BE2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2678" w14:textId="03264925" w:rsidR="00BE2642" w:rsidRDefault="00BE2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5A33" w14:textId="77777777" w:rsidR="00BE2642" w:rsidRDefault="00BE2642" w:rsidP="000A134A">
    <w:pPr>
      <w:jc w:val="center"/>
    </w:pPr>
  </w:p>
  <w:p w14:paraId="79523575" w14:textId="77777777" w:rsidR="00BE2642" w:rsidRDefault="00BE2642" w:rsidP="000A134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3E1C" w14:textId="5BDEAA30" w:rsidR="00BE2642" w:rsidRDefault="00BE26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0833DDEA" w:rsidR="00BE2642" w:rsidRDefault="00BE2642" w:rsidP="009A2ED6">
    <w:pPr>
      <w:pStyle w:val="Header"/>
      <w:jc w:val="center"/>
      <w:rPr>
        <w:b/>
      </w:rPr>
    </w:pPr>
  </w:p>
  <w:p w14:paraId="2DCFF2A3" w14:textId="77777777" w:rsidR="00BE2642" w:rsidRPr="009A2ED6" w:rsidRDefault="00BE2642" w:rsidP="009A2ED6">
    <w:pPr>
      <w:pStyle w:val="Header"/>
      <w:jc w:val="center"/>
      <w:rPr>
        <w:b/>
      </w:rPr>
    </w:pPr>
  </w:p>
  <w:p w14:paraId="1D9C2B96" w14:textId="77777777" w:rsidR="00BE2642" w:rsidRPr="000767C0" w:rsidRDefault="00BE2642" w:rsidP="009A2ED6">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6ED0D094" w:rsidR="00BE2642" w:rsidRPr="006F2309" w:rsidRDefault="00BE2642" w:rsidP="006F2309">
    <w:pPr>
      <w:pStyle w:val="Header"/>
    </w:pPr>
    <w:r w:rsidRPr="006F2309">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AB3A" w14:textId="3116F859" w:rsidR="00BE2642" w:rsidRDefault="00BE26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59424300" w:rsidR="00BE2642" w:rsidRPr="000767C0" w:rsidRDefault="00BE2642" w:rsidP="009A2ED6">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I4qQXZbl" int2:invalidationBookmarkName="" int2:hashCode="ZD4DPyxyvbq3AT" int2:id="xwJ3bzW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1F3BFC5"/>
    <w:multiLevelType w:val="hybridMultilevel"/>
    <w:tmpl w:val="9EDA9EBC"/>
    <w:lvl w:ilvl="0" w:tplc="2F32D76E">
      <w:start w:val="1"/>
      <w:numFmt w:val="bullet"/>
      <w:lvlText w:val=""/>
      <w:lvlJc w:val="left"/>
      <w:pPr>
        <w:ind w:left="720" w:hanging="360"/>
      </w:pPr>
      <w:rPr>
        <w:rFonts w:ascii="Symbol" w:hAnsi="Symbol" w:hint="default"/>
      </w:rPr>
    </w:lvl>
    <w:lvl w:ilvl="1" w:tplc="3E6E831C">
      <w:start w:val="1"/>
      <w:numFmt w:val="bullet"/>
      <w:lvlText w:val="o"/>
      <w:lvlJc w:val="left"/>
      <w:pPr>
        <w:ind w:left="1440" w:hanging="360"/>
      </w:pPr>
      <w:rPr>
        <w:rFonts w:ascii="Courier New" w:hAnsi="Courier New" w:hint="default"/>
      </w:rPr>
    </w:lvl>
    <w:lvl w:ilvl="2" w:tplc="2FC4FD86">
      <w:start w:val="1"/>
      <w:numFmt w:val="bullet"/>
      <w:lvlText w:val=""/>
      <w:lvlJc w:val="left"/>
      <w:pPr>
        <w:ind w:left="2160" w:hanging="360"/>
      </w:pPr>
      <w:rPr>
        <w:rFonts w:ascii="Wingdings" w:hAnsi="Wingdings" w:hint="default"/>
      </w:rPr>
    </w:lvl>
    <w:lvl w:ilvl="3" w:tplc="AC0E17EC">
      <w:start w:val="1"/>
      <w:numFmt w:val="bullet"/>
      <w:lvlText w:val=""/>
      <w:lvlJc w:val="left"/>
      <w:pPr>
        <w:ind w:left="2880" w:hanging="360"/>
      </w:pPr>
      <w:rPr>
        <w:rFonts w:ascii="Symbol" w:hAnsi="Symbol" w:hint="default"/>
      </w:rPr>
    </w:lvl>
    <w:lvl w:ilvl="4" w:tplc="40708F6C">
      <w:start w:val="1"/>
      <w:numFmt w:val="bullet"/>
      <w:lvlText w:val="o"/>
      <w:lvlJc w:val="left"/>
      <w:pPr>
        <w:ind w:left="3600" w:hanging="360"/>
      </w:pPr>
      <w:rPr>
        <w:rFonts w:ascii="Courier New" w:hAnsi="Courier New" w:hint="default"/>
      </w:rPr>
    </w:lvl>
    <w:lvl w:ilvl="5" w:tplc="C3F4E62C">
      <w:start w:val="1"/>
      <w:numFmt w:val="bullet"/>
      <w:lvlText w:val=""/>
      <w:lvlJc w:val="left"/>
      <w:pPr>
        <w:ind w:left="4320" w:hanging="360"/>
      </w:pPr>
      <w:rPr>
        <w:rFonts w:ascii="Wingdings" w:hAnsi="Wingdings" w:hint="default"/>
      </w:rPr>
    </w:lvl>
    <w:lvl w:ilvl="6" w:tplc="E4180A70">
      <w:start w:val="1"/>
      <w:numFmt w:val="bullet"/>
      <w:lvlText w:val=""/>
      <w:lvlJc w:val="left"/>
      <w:pPr>
        <w:ind w:left="5040" w:hanging="360"/>
      </w:pPr>
      <w:rPr>
        <w:rFonts w:ascii="Symbol" w:hAnsi="Symbol" w:hint="default"/>
      </w:rPr>
    </w:lvl>
    <w:lvl w:ilvl="7" w:tplc="CB5C470A">
      <w:start w:val="1"/>
      <w:numFmt w:val="bullet"/>
      <w:lvlText w:val="o"/>
      <w:lvlJc w:val="left"/>
      <w:pPr>
        <w:ind w:left="5760" w:hanging="360"/>
      </w:pPr>
      <w:rPr>
        <w:rFonts w:ascii="Courier New" w:hAnsi="Courier New" w:hint="default"/>
      </w:rPr>
    </w:lvl>
    <w:lvl w:ilvl="8" w:tplc="D49AD8D2">
      <w:start w:val="1"/>
      <w:numFmt w:val="bullet"/>
      <w:lvlText w:val=""/>
      <w:lvlJc w:val="left"/>
      <w:pPr>
        <w:ind w:left="6480" w:hanging="360"/>
      </w:pPr>
      <w:rPr>
        <w:rFonts w:ascii="Wingdings" w:hAnsi="Wingdings" w:hint="default"/>
      </w:rPr>
    </w:lvl>
  </w:abstractNum>
  <w:abstractNum w:abstractNumId="25" w15:restartNumberingAfterBreak="0">
    <w:nsid w:val="14F704C1"/>
    <w:multiLevelType w:val="hybridMultilevel"/>
    <w:tmpl w:val="714E4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8935DA"/>
    <w:multiLevelType w:val="hybridMultilevel"/>
    <w:tmpl w:val="628883D0"/>
    <w:lvl w:ilvl="0" w:tplc="4844E226">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F22AE4"/>
    <w:multiLevelType w:val="hybridMultilevel"/>
    <w:tmpl w:val="79CC0D64"/>
    <w:lvl w:ilvl="0" w:tplc="99C8FCE8">
      <w:start w:val="1"/>
      <w:numFmt w:val="decimal"/>
      <w:lvlText w:val="%1."/>
      <w:lvlJc w:val="left"/>
      <w:pPr>
        <w:ind w:left="1440" w:hanging="360"/>
      </w:pPr>
    </w:lvl>
    <w:lvl w:ilvl="1" w:tplc="0CF6936A">
      <w:start w:val="1"/>
      <w:numFmt w:val="lowerLetter"/>
      <w:lvlText w:val="%2."/>
      <w:lvlJc w:val="left"/>
      <w:pPr>
        <w:ind w:left="2160" w:hanging="360"/>
      </w:pPr>
    </w:lvl>
    <w:lvl w:ilvl="2" w:tplc="4C8C04DA">
      <w:start w:val="1"/>
      <w:numFmt w:val="decimal"/>
      <w:lvlText w:val="%3."/>
      <w:lvlJc w:val="left"/>
      <w:pPr>
        <w:ind w:left="1440" w:hanging="360"/>
      </w:pPr>
    </w:lvl>
    <w:lvl w:ilvl="3" w:tplc="7292B598">
      <w:start w:val="1"/>
      <w:numFmt w:val="decimal"/>
      <w:lvlText w:val="%4."/>
      <w:lvlJc w:val="left"/>
      <w:pPr>
        <w:ind w:left="1440" w:hanging="360"/>
      </w:pPr>
    </w:lvl>
    <w:lvl w:ilvl="4" w:tplc="1E7A877C">
      <w:start w:val="1"/>
      <w:numFmt w:val="decimal"/>
      <w:lvlText w:val="%5."/>
      <w:lvlJc w:val="left"/>
      <w:pPr>
        <w:ind w:left="1440" w:hanging="360"/>
      </w:pPr>
    </w:lvl>
    <w:lvl w:ilvl="5" w:tplc="1182E8B8">
      <w:start w:val="1"/>
      <w:numFmt w:val="decimal"/>
      <w:lvlText w:val="%6."/>
      <w:lvlJc w:val="left"/>
      <w:pPr>
        <w:ind w:left="1440" w:hanging="360"/>
      </w:pPr>
    </w:lvl>
    <w:lvl w:ilvl="6" w:tplc="854A0178">
      <w:start w:val="1"/>
      <w:numFmt w:val="decimal"/>
      <w:lvlText w:val="%7."/>
      <w:lvlJc w:val="left"/>
      <w:pPr>
        <w:ind w:left="1440" w:hanging="360"/>
      </w:pPr>
    </w:lvl>
    <w:lvl w:ilvl="7" w:tplc="D020D05E">
      <w:start w:val="1"/>
      <w:numFmt w:val="decimal"/>
      <w:lvlText w:val="%8."/>
      <w:lvlJc w:val="left"/>
      <w:pPr>
        <w:ind w:left="1440" w:hanging="360"/>
      </w:pPr>
    </w:lvl>
    <w:lvl w:ilvl="8" w:tplc="3202F58C">
      <w:start w:val="1"/>
      <w:numFmt w:val="decimal"/>
      <w:lvlText w:val="%9."/>
      <w:lvlJc w:val="left"/>
      <w:pPr>
        <w:ind w:left="1440" w:hanging="360"/>
      </w:pPr>
    </w:lvl>
  </w:abstractNum>
  <w:abstractNum w:abstractNumId="30" w15:restartNumberingAfterBreak="0">
    <w:nsid w:val="3EBB477B"/>
    <w:multiLevelType w:val="hybridMultilevel"/>
    <w:tmpl w:val="911ED038"/>
    <w:lvl w:ilvl="0" w:tplc="78860A40">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30497113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4521665">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359507261">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989752712">
    <w:abstractNumId w:val="34"/>
  </w:num>
  <w:num w:numId="5" w16cid:durableId="1097484421">
    <w:abstractNumId w:val="31"/>
  </w:num>
  <w:num w:numId="6" w16cid:durableId="370767453">
    <w:abstractNumId w:val="27"/>
  </w:num>
  <w:num w:numId="7" w16cid:durableId="1973630899">
    <w:abstractNumId w:val="28"/>
  </w:num>
  <w:num w:numId="8" w16cid:durableId="2055806338">
    <w:abstractNumId w:val="32"/>
  </w:num>
  <w:num w:numId="9" w16cid:durableId="592130779">
    <w:abstractNumId w:val="30"/>
  </w:num>
  <w:num w:numId="10" w16cid:durableId="886380472">
    <w:abstractNumId w:val="35"/>
  </w:num>
  <w:num w:numId="11" w16cid:durableId="588084410">
    <w:abstractNumId w:val="23"/>
  </w:num>
  <w:num w:numId="12" w16cid:durableId="156119752">
    <w:abstractNumId w:val="26"/>
  </w:num>
  <w:num w:numId="13" w16cid:durableId="726146331">
    <w:abstractNumId w:val="33"/>
  </w:num>
  <w:num w:numId="14" w16cid:durableId="727995027">
    <w:abstractNumId w:val="24"/>
  </w:num>
  <w:num w:numId="15" w16cid:durableId="787435302">
    <w:abstractNumId w:val="25"/>
  </w:num>
  <w:num w:numId="16" w16cid:durableId="136918075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01C"/>
    <w:rsid w:val="00000307"/>
    <w:rsid w:val="000003C7"/>
    <w:rsid w:val="000011DF"/>
    <w:rsid w:val="0000198C"/>
    <w:rsid w:val="00001DAC"/>
    <w:rsid w:val="0000201A"/>
    <w:rsid w:val="00002691"/>
    <w:rsid w:val="00002B73"/>
    <w:rsid w:val="000036AB"/>
    <w:rsid w:val="000037DE"/>
    <w:rsid w:val="00003D04"/>
    <w:rsid w:val="00003ECB"/>
    <w:rsid w:val="00004200"/>
    <w:rsid w:val="00004D2C"/>
    <w:rsid w:val="00004E6B"/>
    <w:rsid w:val="00005931"/>
    <w:rsid w:val="00005C39"/>
    <w:rsid w:val="00006305"/>
    <w:rsid w:val="000069A3"/>
    <w:rsid w:val="000069BF"/>
    <w:rsid w:val="00006BD6"/>
    <w:rsid w:val="0000712E"/>
    <w:rsid w:val="000071BD"/>
    <w:rsid w:val="00007781"/>
    <w:rsid w:val="00007E85"/>
    <w:rsid w:val="00011031"/>
    <w:rsid w:val="000113ED"/>
    <w:rsid w:val="000116C0"/>
    <w:rsid w:val="00011783"/>
    <w:rsid w:val="00011C94"/>
    <w:rsid w:val="00012420"/>
    <w:rsid w:val="00012FCA"/>
    <w:rsid w:val="00013986"/>
    <w:rsid w:val="00014401"/>
    <w:rsid w:val="0001485D"/>
    <w:rsid w:val="00014A1C"/>
    <w:rsid w:val="00014C7A"/>
    <w:rsid w:val="00014DD7"/>
    <w:rsid w:val="00015990"/>
    <w:rsid w:val="00016214"/>
    <w:rsid w:val="00016803"/>
    <w:rsid w:val="00016E05"/>
    <w:rsid w:val="0001706D"/>
    <w:rsid w:val="00017349"/>
    <w:rsid w:val="00017354"/>
    <w:rsid w:val="000175B9"/>
    <w:rsid w:val="00017AEA"/>
    <w:rsid w:val="00020E3B"/>
    <w:rsid w:val="00021274"/>
    <w:rsid w:val="000216F4"/>
    <w:rsid w:val="00021710"/>
    <w:rsid w:val="000217D1"/>
    <w:rsid w:val="00021BFC"/>
    <w:rsid w:val="00021FE0"/>
    <w:rsid w:val="00022BEE"/>
    <w:rsid w:val="00023E67"/>
    <w:rsid w:val="000248F0"/>
    <w:rsid w:val="0002572C"/>
    <w:rsid w:val="000258E0"/>
    <w:rsid w:val="00025F57"/>
    <w:rsid w:val="00025F98"/>
    <w:rsid w:val="00026B78"/>
    <w:rsid w:val="00026D63"/>
    <w:rsid w:val="00027093"/>
    <w:rsid w:val="00030024"/>
    <w:rsid w:val="00030532"/>
    <w:rsid w:val="0003093A"/>
    <w:rsid w:val="000331B3"/>
    <w:rsid w:val="0003322D"/>
    <w:rsid w:val="000338FC"/>
    <w:rsid w:val="00033919"/>
    <w:rsid w:val="0003442F"/>
    <w:rsid w:val="00034A4E"/>
    <w:rsid w:val="00035083"/>
    <w:rsid w:val="000350F2"/>
    <w:rsid w:val="0003567C"/>
    <w:rsid w:val="00035E6D"/>
    <w:rsid w:val="00035F65"/>
    <w:rsid w:val="00036865"/>
    <w:rsid w:val="00036BF8"/>
    <w:rsid w:val="00036EB4"/>
    <w:rsid w:val="00036F0D"/>
    <w:rsid w:val="00037F48"/>
    <w:rsid w:val="000404ED"/>
    <w:rsid w:val="000405FF"/>
    <w:rsid w:val="0004086F"/>
    <w:rsid w:val="00041E67"/>
    <w:rsid w:val="00042081"/>
    <w:rsid w:val="00042327"/>
    <w:rsid w:val="000427D1"/>
    <w:rsid w:val="00042942"/>
    <w:rsid w:val="00043515"/>
    <w:rsid w:val="000435E0"/>
    <w:rsid w:val="00043CC7"/>
    <w:rsid w:val="00044436"/>
    <w:rsid w:val="000447C9"/>
    <w:rsid w:val="000449F8"/>
    <w:rsid w:val="00045479"/>
    <w:rsid w:val="00045BD6"/>
    <w:rsid w:val="00045C23"/>
    <w:rsid w:val="00045C51"/>
    <w:rsid w:val="00046151"/>
    <w:rsid w:val="0004678A"/>
    <w:rsid w:val="000468C6"/>
    <w:rsid w:val="00046BEE"/>
    <w:rsid w:val="00046E13"/>
    <w:rsid w:val="00046F13"/>
    <w:rsid w:val="00046FB4"/>
    <w:rsid w:val="000470EE"/>
    <w:rsid w:val="00047189"/>
    <w:rsid w:val="00047621"/>
    <w:rsid w:val="00047B2B"/>
    <w:rsid w:val="0005007B"/>
    <w:rsid w:val="000501DB"/>
    <w:rsid w:val="00050583"/>
    <w:rsid w:val="00050FEB"/>
    <w:rsid w:val="00051309"/>
    <w:rsid w:val="000517FA"/>
    <w:rsid w:val="00051ABD"/>
    <w:rsid w:val="00051CB4"/>
    <w:rsid w:val="00052265"/>
    <w:rsid w:val="00052B36"/>
    <w:rsid w:val="00053052"/>
    <w:rsid w:val="00053A2C"/>
    <w:rsid w:val="00054416"/>
    <w:rsid w:val="000546AC"/>
    <w:rsid w:val="00054900"/>
    <w:rsid w:val="000550E4"/>
    <w:rsid w:val="00055243"/>
    <w:rsid w:val="00055B40"/>
    <w:rsid w:val="00055F2C"/>
    <w:rsid w:val="00056114"/>
    <w:rsid w:val="00056E71"/>
    <w:rsid w:val="0005766A"/>
    <w:rsid w:val="00057840"/>
    <w:rsid w:val="00060D39"/>
    <w:rsid w:val="00061474"/>
    <w:rsid w:val="00061875"/>
    <w:rsid w:val="00061BE7"/>
    <w:rsid w:val="0006210D"/>
    <w:rsid w:val="000625FB"/>
    <w:rsid w:val="00062D4B"/>
    <w:rsid w:val="00063032"/>
    <w:rsid w:val="000631DA"/>
    <w:rsid w:val="0006398D"/>
    <w:rsid w:val="000640C8"/>
    <w:rsid w:val="000644F4"/>
    <w:rsid w:val="00064E9D"/>
    <w:rsid w:val="00065674"/>
    <w:rsid w:val="00065AB2"/>
    <w:rsid w:val="0006611A"/>
    <w:rsid w:val="000662D4"/>
    <w:rsid w:val="00066833"/>
    <w:rsid w:val="00066A7B"/>
    <w:rsid w:val="00066C52"/>
    <w:rsid w:val="000701E4"/>
    <w:rsid w:val="00070201"/>
    <w:rsid w:val="00070454"/>
    <w:rsid w:val="0007073F"/>
    <w:rsid w:val="0007157F"/>
    <w:rsid w:val="00071E71"/>
    <w:rsid w:val="00071FC3"/>
    <w:rsid w:val="000724F1"/>
    <w:rsid w:val="00072799"/>
    <w:rsid w:val="0007306B"/>
    <w:rsid w:val="00073450"/>
    <w:rsid w:val="00073910"/>
    <w:rsid w:val="0007395B"/>
    <w:rsid w:val="00073C28"/>
    <w:rsid w:val="000743D1"/>
    <w:rsid w:val="00074777"/>
    <w:rsid w:val="00074876"/>
    <w:rsid w:val="000748C7"/>
    <w:rsid w:val="00074EE0"/>
    <w:rsid w:val="000760CB"/>
    <w:rsid w:val="0007636F"/>
    <w:rsid w:val="00076601"/>
    <w:rsid w:val="000767C0"/>
    <w:rsid w:val="00077260"/>
    <w:rsid w:val="00077410"/>
    <w:rsid w:val="00077B6B"/>
    <w:rsid w:val="000800E5"/>
    <w:rsid w:val="00080FB6"/>
    <w:rsid w:val="00082A1B"/>
    <w:rsid w:val="0008314B"/>
    <w:rsid w:val="00083A76"/>
    <w:rsid w:val="00084039"/>
    <w:rsid w:val="000846C8"/>
    <w:rsid w:val="000846E8"/>
    <w:rsid w:val="00084E67"/>
    <w:rsid w:val="00085230"/>
    <w:rsid w:val="00085DB4"/>
    <w:rsid w:val="000863BC"/>
    <w:rsid w:val="0008645F"/>
    <w:rsid w:val="00086F2F"/>
    <w:rsid w:val="00087002"/>
    <w:rsid w:val="0008759E"/>
    <w:rsid w:val="000875F0"/>
    <w:rsid w:val="00087844"/>
    <w:rsid w:val="00087EE9"/>
    <w:rsid w:val="00087F88"/>
    <w:rsid w:val="00090155"/>
    <w:rsid w:val="000902ED"/>
    <w:rsid w:val="00091332"/>
    <w:rsid w:val="0009134A"/>
    <w:rsid w:val="00091ABD"/>
    <w:rsid w:val="00091AE2"/>
    <w:rsid w:val="00091B54"/>
    <w:rsid w:val="000923E0"/>
    <w:rsid w:val="00092555"/>
    <w:rsid w:val="000929B5"/>
    <w:rsid w:val="00092F1B"/>
    <w:rsid w:val="00093239"/>
    <w:rsid w:val="0009535D"/>
    <w:rsid w:val="00095738"/>
    <w:rsid w:val="0009583F"/>
    <w:rsid w:val="00095E40"/>
    <w:rsid w:val="0009667E"/>
    <w:rsid w:val="000969E2"/>
    <w:rsid w:val="00096FE9"/>
    <w:rsid w:val="000975C7"/>
    <w:rsid w:val="000976A5"/>
    <w:rsid w:val="000A0AC7"/>
    <w:rsid w:val="000A11BB"/>
    <w:rsid w:val="000A134A"/>
    <w:rsid w:val="000A17BC"/>
    <w:rsid w:val="000A1CE9"/>
    <w:rsid w:val="000A1D78"/>
    <w:rsid w:val="000A1EB9"/>
    <w:rsid w:val="000A2B9E"/>
    <w:rsid w:val="000A2BA2"/>
    <w:rsid w:val="000A2DE7"/>
    <w:rsid w:val="000A3878"/>
    <w:rsid w:val="000A40EC"/>
    <w:rsid w:val="000A55DB"/>
    <w:rsid w:val="000A5EE3"/>
    <w:rsid w:val="000A658C"/>
    <w:rsid w:val="000A69FD"/>
    <w:rsid w:val="000A6A3F"/>
    <w:rsid w:val="000A6AF8"/>
    <w:rsid w:val="000A7279"/>
    <w:rsid w:val="000A7A05"/>
    <w:rsid w:val="000B0294"/>
    <w:rsid w:val="000B07D7"/>
    <w:rsid w:val="000B1541"/>
    <w:rsid w:val="000B1A5B"/>
    <w:rsid w:val="000B1A9A"/>
    <w:rsid w:val="000B1E67"/>
    <w:rsid w:val="000B1ECC"/>
    <w:rsid w:val="000B22E4"/>
    <w:rsid w:val="000B26C0"/>
    <w:rsid w:val="000B386E"/>
    <w:rsid w:val="000B3A37"/>
    <w:rsid w:val="000B3CE1"/>
    <w:rsid w:val="000B3DF2"/>
    <w:rsid w:val="000B3EFA"/>
    <w:rsid w:val="000B440B"/>
    <w:rsid w:val="000B45E7"/>
    <w:rsid w:val="000B4852"/>
    <w:rsid w:val="000B4F5F"/>
    <w:rsid w:val="000B4FB7"/>
    <w:rsid w:val="000B5239"/>
    <w:rsid w:val="000B55FD"/>
    <w:rsid w:val="000B58F1"/>
    <w:rsid w:val="000B5D5F"/>
    <w:rsid w:val="000B6A8A"/>
    <w:rsid w:val="000B75BC"/>
    <w:rsid w:val="000B773A"/>
    <w:rsid w:val="000B7ED6"/>
    <w:rsid w:val="000C019C"/>
    <w:rsid w:val="000C04C6"/>
    <w:rsid w:val="000C0DEF"/>
    <w:rsid w:val="000C0E15"/>
    <w:rsid w:val="000C12C6"/>
    <w:rsid w:val="000C1438"/>
    <w:rsid w:val="000C16D9"/>
    <w:rsid w:val="000C1882"/>
    <w:rsid w:val="000C1ED8"/>
    <w:rsid w:val="000C2276"/>
    <w:rsid w:val="000C229D"/>
    <w:rsid w:val="000C2621"/>
    <w:rsid w:val="000C295F"/>
    <w:rsid w:val="000C2E74"/>
    <w:rsid w:val="000C35C3"/>
    <w:rsid w:val="000C368E"/>
    <w:rsid w:val="000C38BD"/>
    <w:rsid w:val="000C4141"/>
    <w:rsid w:val="000C43DE"/>
    <w:rsid w:val="000C46E4"/>
    <w:rsid w:val="000C496C"/>
    <w:rsid w:val="000C5C82"/>
    <w:rsid w:val="000C6AF4"/>
    <w:rsid w:val="000C7778"/>
    <w:rsid w:val="000C7C9A"/>
    <w:rsid w:val="000C7CCB"/>
    <w:rsid w:val="000D18C4"/>
    <w:rsid w:val="000D252F"/>
    <w:rsid w:val="000D343F"/>
    <w:rsid w:val="000D4560"/>
    <w:rsid w:val="000D4A64"/>
    <w:rsid w:val="000D4B27"/>
    <w:rsid w:val="000D4EF1"/>
    <w:rsid w:val="000D5098"/>
    <w:rsid w:val="000D5468"/>
    <w:rsid w:val="000D588A"/>
    <w:rsid w:val="000D5B5F"/>
    <w:rsid w:val="000D7440"/>
    <w:rsid w:val="000D750A"/>
    <w:rsid w:val="000D7AAD"/>
    <w:rsid w:val="000D7B51"/>
    <w:rsid w:val="000D7B91"/>
    <w:rsid w:val="000D7CFC"/>
    <w:rsid w:val="000E0245"/>
    <w:rsid w:val="000E0267"/>
    <w:rsid w:val="000E0408"/>
    <w:rsid w:val="000E06B8"/>
    <w:rsid w:val="000E07E7"/>
    <w:rsid w:val="000E0A41"/>
    <w:rsid w:val="000E0DD1"/>
    <w:rsid w:val="000E0E63"/>
    <w:rsid w:val="000E1377"/>
    <w:rsid w:val="000E1600"/>
    <w:rsid w:val="000E19CE"/>
    <w:rsid w:val="000E1AA2"/>
    <w:rsid w:val="000E1ED7"/>
    <w:rsid w:val="000E20A2"/>
    <w:rsid w:val="000E2127"/>
    <w:rsid w:val="000E21C3"/>
    <w:rsid w:val="000E25D2"/>
    <w:rsid w:val="000E3AA5"/>
    <w:rsid w:val="000E3AC9"/>
    <w:rsid w:val="000E46F3"/>
    <w:rsid w:val="000E5687"/>
    <w:rsid w:val="000E569D"/>
    <w:rsid w:val="000E5C64"/>
    <w:rsid w:val="000E5FD1"/>
    <w:rsid w:val="000E6466"/>
    <w:rsid w:val="000E6661"/>
    <w:rsid w:val="000E7A47"/>
    <w:rsid w:val="000E7F42"/>
    <w:rsid w:val="000F01AE"/>
    <w:rsid w:val="000F070C"/>
    <w:rsid w:val="000F108A"/>
    <w:rsid w:val="000F1D68"/>
    <w:rsid w:val="000F1E49"/>
    <w:rsid w:val="000F21D0"/>
    <w:rsid w:val="000F22EB"/>
    <w:rsid w:val="000F30DE"/>
    <w:rsid w:val="000F35B7"/>
    <w:rsid w:val="000F35E3"/>
    <w:rsid w:val="000F3A71"/>
    <w:rsid w:val="000F46ED"/>
    <w:rsid w:val="000F47B1"/>
    <w:rsid w:val="000F4DA3"/>
    <w:rsid w:val="000F4E99"/>
    <w:rsid w:val="000F5631"/>
    <w:rsid w:val="000F573A"/>
    <w:rsid w:val="000F5A36"/>
    <w:rsid w:val="000F63C1"/>
    <w:rsid w:val="000F6A5C"/>
    <w:rsid w:val="000F6AAA"/>
    <w:rsid w:val="000F7ECC"/>
    <w:rsid w:val="001002D7"/>
    <w:rsid w:val="001002DC"/>
    <w:rsid w:val="00100C28"/>
    <w:rsid w:val="00101515"/>
    <w:rsid w:val="00101592"/>
    <w:rsid w:val="00101B13"/>
    <w:rsid w:val="00101EA3"/>
    <w:rsid w:val="0010277B"/>
    <w:rsid w:val="00102FF2"/>
    <w:rsid w:val="001039FA"/>
    <w:rsid w:val="001056A0"/>
    <w:rsid w:val="001056A7"/>
    <w:rsid w:val="001060AA"/>
    <w:rsid w:val="001064AC"/>
    <w:rsid w:val="00107EA8"/>
    <w:rsid w:val="00107F94"/>
    <w:rsid w:val="0011011A"/>
    <w:rsid w:val="0011063A"/>
    <w:rsid w:val="00110CB0"/>
    <w:rsid w:val="001113A1"/>
    <w:rsid w:val="00111D6D"/>
    <w:rsid w:val="00111E9E"/>
    <w:rsid w:val="00112B48"/>
    <w:rsid w:val="00112C81"/>
    <w:rsid w:val="0011326F"/>
    <w:rsid w:val="00113761"/>
    <w:rsid w:val="00114ED6"/>
    <w:rsid w:val="0011522A"/>
    <w:rsid w:val="001153FD"/>
    <w:rsid w:val="0011583E"/>
    <w:rsid w:val="00115B48"/>
    <w:rsid w:val="00115DF5"/>
    <w:rsid w:val="00116055"/>
    <w:rsid w:val="001170E4"/>
    <w:rsid w:val="00117115"/>
    <w:rsid w:val="00117494"/>
    <w:rsid w:val="001174A0"/>
    <w:rsid w:val="00117C4F"/>
    <w:rsid w:val="00117E82"/>
    <w:rsid w:val="001206B1"/>
    <w:rsid w:val="0012164B"/>
    <w:rsid w:val="0012218D"/>
    <w:rsid w:val="00122228"/>
    <w:rsid w:val="0012279E"/>
    <w:rsid w:val="00122804"/>
    <w:rsid w:val="00122839"/>
    <w:rsid w:val="00122BD3"/>
    <w:rsid w:val="001234AB"/>
    <w:rsid w:val="0012359E"/>
    <w:rsid w:val="00123AC4"/>
    <w:rsid w:val="00123D55"/>
    <w:rsid w:val="00125065"/>
    <w:rsid w:val="00125345"/>
    <w:rsid w:val="00125919"/>
    <w:rsid w:val="00125936"/>
    <w:rsid w:val="00125C02"/>
    <w:rsid w:val="00125C8A"/>
    <w:rsid w:val="00126421"/>
    <w:rsid w:val="00126880"/>
    <w:rsid w:val="00126BE3"/>
    <w:rsid w:val="00127345"/>
    <w:rsid w:val="00127CBF"/>
    <w:rsid w:val="0013037B"/>
    <w:rsid w:val="001319BE"/>
    <w:rsid w:val="00132507"/>
    <w:rsid w:val="00132739"/>
    <w:rsid w:val="00132772"/>
    <w:rsid w:val="001327BE"/>
    <w:rsid w:val="00132862"/>
    <w:rsid w:val="0013299E"/>
    <w:rsid w:val="00132A12"/>
    <w:rsid w:val="00132AC8"/>
    <w:rsid w:val="00132F71"/>
    <w:rsid w:val="00133058"/>
    <w:rsid w:val="001330E6"/>
    <w:rsid w:val="001331E5"/>
    <w:rsid w:val="001341FE"/>
    <w:rsid w:val="00134254"/>
    <w:rsid w:val="001342FB"/>
    <w:rsid w:val="00134F5C"/>
    <w:rsid w:val="00134F5D"/>
    <w:rsid w:val="00135280"/>
    <w:rsid w:val="001356E4"/>
    <w:rsid w:val="001356F0"/>
    <w:rsid w:val="001358F0"/>
    <w:rsid w:val="00135CF0"/>
    <w:rsid w:val="00135F4D"/>
    <w:rsid w:val="001366BB"/>
    <w:rsid w:val="00136783"/>
    <w:rsid w:val="00136DA3"/>
    <w:rsid w:val="00137259"/>
    <w:rsid w:val="001375BB"/>
    <w:rsid w:val="001376D1"/>
    <w:rsid w:val="0013778B"/>
    <w:rsid w:val="001407AD"/>
    <w:rsid w:val="00140C21"/>
    <w:rsid w:val="00140EB3"/>
    <w:rsid w:val="00141128"/>
    <w:rsid w:val="00141224"/>
    <w:rsid w:val="001414B4"/>
    <w:rsid w:val="00141517"/>
    <w:rsid w:val="00141758"/>
    <w:rsid w:val="0014199D"/>
    <w:rsid w:val="00142198"/>
    <w:rsid w:val="00142295"/>
    <w:rsid w:val="001434D0"/>
    <w:rsid w:val="00143ACD"/>
    <w:rsid w:val="0014420A"/>
    <w:rsid w:val="00144975"/>
    <w:rsid w:val="00144A53"/>
    <w:rsid w:val="00144B91"/>
    <w:rsid w:val="00144DF4"/>
    <w:rsid w:val="0014572A"/>
    <w:rsid w:val="00145A77"/>
    <w:rsid w:val="00145B38"/>
    <w:rsid w:val="00145BC1"/>
    <w:rsid w:val="001469F6"/>
    <w:rsid w:val="001471B8"/>
    <w:rsid w:val="001471FB"/>
    <w:rsid w:val="0014746D"/>
    <w:rsid w:val="00147895"/>
    <w:rsid w:val="001479E2"/>
    <w:rsid w:val="00147B01"/>
    <w:rsid w:val="00147F8B"/>
    <w:rsid w:val="001504C2"/>
    <w:rsid w:val="001504F6"/>
    <w:rsid w:val="0015084C"/>
    <w:rsid w:val="00150F03"/>
    <w:rsid w:val="00151313"/>
    <w:rsid w:val="001515BB"/>
    <w:rsid w:val="00151CFD"/>
    <w:rsid w:val="00152118"/>
    <w:rsid w:val="00152207"/>
    <w:rsid w:val="00152AC5"/>
    <w:rsid w:val="00152BC3"/>
    <w:rsid w:val="00152E4A"/>
    <w:rsid w:val="00155591"/>
    <w:rsid w:val="0015695A"/>
    <w:rsid w:val="00156CD6"/>
    <w:rsid w:val="00156E0C"/>
    <w:rsid w:val="001570C7"/>
    <w:rsid w:val="001571AE"/>
    <w:rsid w:val="00157520"/>
    <w:rsid w:val="00157AFC"/>
    <w:rsid w:val="00157ED9"/>
    <w:rsid w:val="001606A0"/>
    <w:rsid w:val="00161446"/>
    <w:rsid w:val="00161740"/>
    <w:rsid w:val="0016190D"/>
    <w:rsid w:val="00161A59"/>
    <w:rsid w:val="00161B93"/>
    <w:rsid w:val="00162A46"/>
    <w:rsid w:val="00162A72"/>
    <w:rsid w:val="0016336D"/>
    <w:rsid w:val="00163D11"/>
    <w:rsid w:val="00163E90"/>
    <w:rsid w:val="001649DE"/>
    <w:rsid w:val="00164BE3"/>
    <w:rsid w:val="00164F85"/>
    <w:rsid w:val="0016525C"/>
    <w:rsid w:val="001657CA"/>
    <w:rsid w:val="00167279"/>
    <w:rsid w:val="00167407"/>
    <w:rsid w:val="00170191"/>
    <w:rsid w:val="0017063D"/>
    <w:rsid w:val="00172085"/>
    <w:rsid w:val="00172411"/>
    <w:rsid w:val="00172689"/>
    <w:rsid w:val="001729A8"/>
    <w:rsid w:val="00172E37"/>
    <w:rsid w:val="00172E8F"/>
    <w:rsid w:val="001737B7"/>
    <w:rsid w:val="00173853"/>
    <w:rsid w:val="00174194"/>
    <w:rsid w:val="001742A8"/>
    <w:rsid w:val="0017552C"/>
    <w:rsid w:val="00176DF8"/>
    <w:rsid w:val="00177682"/>
    <w:rsid w:val="00177A1E"/>
    <w:rsid w:val="00177D70"/>
    <w:rsid w:val="00180A2E"/>
    <w:rsid w:val="0018123D"/>
    <w:rsid w:val="0018135F"/>
    <w:rsid w:val="0018186D"/>
    <w:rsid w:val="00182294"/>
    <w:rsid w:val="00182A16"/>
    <w:rsid w:val="00182B5C"/>
    <w:rsid w:val="00182CE0"/>
    <w:rsid w:val="00183660"/>
    <w:rsid w:val="001843E2"/>
    <w:rsid w:val="00184E43"/>
    <w:rsid w:val="001850D3"/>
    <w:rsid w:val="00185C42"/>
    <w:rsid w:val="00185C7D"/>
    <w:rsid w:val="001861B8"/>
    <w:rsid w:val="00186E9E"/>
    <w:rsid w:val="00187065"/>
    <w:rsid w:val="00187182"/>
    <w:rsid w:val="001902FE"/>
    <w:rsid w:val="0019178D"/>
    <w:rsid w:val="001917C4"/>
    <w:rsid w:val="00191FC6"/>
    <w:rsid w:val="001927A4"/>
    <w:rsid w:val="00192881"/>
    <w:rsid w:val="00192C0D"/>
    <w:rsid w:val="00192C14"/>
    <w:rsid w:val="00193412"/>
    <w:rsid w:val="0019355C"/>
    <w:rsid w:val="00193E53"/>
    <w:rsid w:val="001941DE"/>
    <w:rsid w:val="0019479B"/>
    <w:rsid w:val="00194D44"/>
    <w:rsid w:val="00194E82"/>
    <w:rsid w:val="00194F8D"/>
    <w:rsid w:val="00195153"/>
    <w:rsid w:val="001951B8"/>
    <w:rsid w:val="001958C8"/>
    <w:rsid w:val="00195FD0"/>
    <w:rsid w:val="001964BC"/>
    <w:rsid w:val="00197088"/>
    <w:rsid w:val="0019736C"/>
    <w:rsid w:val="00197431"/>
    <w:rsid w:val="001975E4"/>
    <w:rsid w:val="0019D09B"/>
    <w:rsid w:val="001A010F"/>
    <w:rsid w:val="001A090D"/>
    <w:rsid w:val="001A1FF9"/>
    <w:rsid w:val="001A2592"/>
    <w:rsid w:val="001A287F"/>
    <w:rsid w:val="001A2967"/>
    <w:rsid w:val="001A2C01"/>
    <w:rsid w:val="001A335E"/>
    <w:rsid w:val="001A34F0"/>
    <w:rsid w:val="001A3671"/>
    <w:rsid w:val="001A39F3"/>
    <w:rsid w:val="001A3E40"/>
    <w:rsid w:val="001A4E42"/>
    <w:rsid w:val="001A5613"/>
    <w:rsid w:val="001A57D7"/>
    <w:rsid w:val="001A6610"/>
    <w:rsid w:val="001A6B79"/>
    <w:rsid w:val="001A72A7"/>
    <w:rsid w:val="001A77ED"/>
    <w:rsid w:val="001A7BB9"/>
    <w:rsid w:val="001A7F60"/>
    <w:rsid w:val="001B0219"/>
    <w:rsid w:val="001B02D7"/>
    <w:rsid w:val="001B0632"/>
    <w:rsid w:val="001B0AF1"/>
    <w:rsid w:val="001B1075"/>
    <w:rsid w:val="001B160F"/>
    <w:rsid w:val="001B1654"/>
    <w:rsid w:val="001B1AD8"/>
    <w:rsid w:val="001B284A"/>
    <w:rsid w:val="001B29BC"/>
    <w:rsid w:val="001B2D06"/>
    <w:rsid w:val="001B346B"/>
    <w:rsid w:val="001B3828"/>
    <w:rsid w:val="001B4378"/>
    <w:rsid w:val="001B5026"/>
    <w:rsid w:val="001B519D"/>
    <w:rsid w:val="001B6DA7"/>
    <w:rsid w:val="001B6E59"/>
    <w:rsid w:val="001B77A2"/>
    <w:rsid w:val="001B7866"/>
    <w:rsid w:val="001C142A"/>
    <w:rsid w:val="001C154D"/>
    <w:rsid w:val="001C1E47"/>
    <w:rsid w:val="001C2851"/>
    <w:rsid w:val="001C2A7E"/>
    <w:rsid w:val="001C2B11"/>
    <w:rsid w:val="001C3276"/>
    <w:rsid w:val="001C44E8"/>
    <w:rsid w:val="001C4530"/>
    <w:rsid w:val="001C48D2"/>
    <w:rsid w:val="001C4B66"/>
    <w:rsid w:val="001C51A0"/>
    <w:rsid w:val="001C560E"/>
    <w:rsid w:val="001C5895"/>
    <w:rsid w:val="001C58C2"/>
    <w:rsid w:val="001C5AF2"/>
    <w:rsid w:val="001C620B"/>
    <w:rsid w:val="001C6B09"/>
    <w:rsid w:val="001C70D0"/>
    <w:rsid w:val="001C7661"/>
    <w:rsid w:val="001C76E1"/>
    <w:rsid w:val="001D000B"/>
    <w:rsid w:val="001D00E5"/>
    <w:rsid w:val="001D1819"/>
    <w:rsid w:val="001D1A16"/>
    <w:rsid w:val="001D248D"/>
    <w:rsid w:val="001D2C23"/>
    <w:rsid w:val="001D2FEC"/>
    <w:rsid w:val="001D30D0"/>
    <w:rsid w:val="001D35A4"/>
    <w:rsid w:val="001D37C3"/>
    <w:rsid w:val="001D3933"/>
    <w:rsid w:val="001D5C66"/>
    <w:rsid w:val="001D619B"/>
    <w:rsid w:val="001D63E7"/>
    <w:rsid w:val="001D6530"/>
    <w:rsid w:val="001D681F"/>
    <w:rsid w:val="001D6C8D"/>
    <w:rsid w:val="001D6D59"/>
    <w:rsid w:val="001D7297"/>
    <w:rsid w:val="001D7428"/>
    <w:rsid w:val="001D7613"/>
    <w:rsid w:val="001D7895"/>
    <w:rsid w:val="001D7C4A"/>
    <w:rsid w:val="001E006E"/>
    <w:rsid w:val="001E0EFF"/>
    <w:rsid w:val="001E0FF4"/>
    <w:rsid w:val="001E1B09"/>
    <w:rsid w:val="001E1B35"/>
    <w:rsid w:val="001E1C5D"/>
    <w:rsid w:val="001E1FD1"/>
    <w:rsid w:val="001E227B"/>
    <w:rsid w:val="001E25C4"/>
    <w:rsid w:val="001E2D62"/>
    <w:rsid w:val="001E2FBB"/>
    <w:rsid w:val="001E3331"/>
    <w:rsid w:val="001E341E"/>
    <w:rsid w:val="001E4062"/>
    <w:rsid w:val="001E491E"/>
    <w:rsid w:val="001E4F8A"/>
    <w:rsid w:val="001E5025"/>
    <w:rsid w:val="001E5ABD"/>
    <w:rsid w:val="001E5C43"/>
    <w:rsid w:val="001E5FE4"/>
    <w:rsid w:val="001E71BA"/>
    <w:rsid w:val="001E7BD7"/>
    <w:rsid w:val="001E7F7E"/>
    <w:rsid w:val="001F006F"/>
    <w:rsid w:val="001F0534"/>
    <w:rsid w:val="001F0B51"/>
    <w:rsid w:val="001F0F6A"/>
    <w:rsid w:val="001F1B61"/>
    <w:rsid w:val="001F1C03"/>
    <w:rsid w:val="001F1C1B"/>
    <w:rsid w:val="001F1D8A"/>
    <w:rsid w:val="001F28A0"/>
    <w:rsid w:val="001F359C"/>
    <w:rsid w:val="001F35E6"/>
    <w:rsid w:val="001F3750"/>
    <w:rsid w:val="001F3C9D"/>
    <w:rsid w:val="001F40E1"/>
    <w:rsid w:val="001F489D"/>
    <w:rsid w:val="001F550D"/>
    <w:rsid w:val="001F58B8"/>
    <w:rsid w:val="001F7AFD"/>
    <w:rsid w:val="002003F2"/>
    <w:rsid w:val="002005EA"/>
    <w:rsid w:val="00200619"/>
    <w:rsid w:val="00200D27"/>
    <w:rsid w:val="002011AC"/>
    <w:rsid w:val="002016B1"/>
    <w:rsid w:val="00201AC8"/>
    <w:rsid w:val="00201D0A"/>
    <w:rsid w:val="00201EB9"/>
    <w:rsid w:val="00201FC9"/>
    <w:rsid w:val="0020210F"/>
    <w:rsid w:val="002025B3"/>
    <w:rsid w:val="00202BD7"/>
    <w:rsid w:val="00203136"/>
    <w:rsid w:val="00203269"/>
    <w:rsid w:val="00203C37"/>
    <w:rsid w:val="0020427A"/>
    <w:rsid w:val="002048CC"/>
    <w:rsid w:val="0020506D"/>
    <w:rsid w:val="00205391"/>
    <w:rsid w:val="00205542"/>
    <w:rsid w:val="00205A99"/>
    <w:rsid w:val="00205B95"/>
    <w:rsid w:val="00206196"/>
    <w:rsid w:val="002065B5"/>
    <w:rsid w:val="0020733F"/>
    <w:rsid w:val="00207662"/>
    <w:rsid w:val="00207B94"/>
    <w:rsid w:val="00207DE9"/>
    <w:rsid w:val="00210CED"/>
    <w:rsid w:val="00210E15"/>
    <w:rsid w:val="0021144F"/>
    <w:rsid w:val="002114F3"/>
    <w:rsid w:val="00211626"/>
    <w:rsid w:val="00211DA9"/>
    <w:rsid w:val="00212686"/>
    <w:rsid w:val="0021277A"/>
    <w:rsid w:val="00212BC7"/>
    <w:rsid w:val="00212F58"/>
    <w:rsid w:val="0021380C"/>
    <w:rsid w:val="00213D76"/>
    <w:rsid w:val="00213FCA"/>
    <w:rsid w:val="00214FFE"/>
    <w:rsid w:val="00215113"/>
    <w:rsid w:val="00216043"/>
    <w:rsid w:val="00216621"/>
    <w:rsid w:val="002169A2"/>
    <w:rsid w:val="00216B0E"/>
    <w:rsid w:val="00216D13"/>
    <w:rsid w:val="00217433"/>
    <w:rsid w:val="00217437"/>
    <w:rsid w:val="002201DA"/>
    <w:rsid w:val="00222350"/>
    <w:rsid w:val="002225FC"/>
    <w:rsid w:val="00222765"/>
    <w:rsid w:val="00222A31"/>
    <w:rsid w:val="00222BF0"/>
    <w:rsid w:val="00222DCA"/>
    <w:rsid w:val="002231D3"/>
    <w:rsid w:val="002235F3"/>
    <w:rsid w:val="00223FA5"/>
    <w:rsid w:val="00224169"/>
    <w:rsid w:val="002247E7"/>
    <w:rsid w:val="00224F12"/>
    <w:rsid w:val="0022537C"/>
    <w:rsid w:val="0022540F"/>
    <w:rsid w:val="0022685E"/>
    <w:rsid w:val="00227223"/>
    <w:rsid w:val="002274FB"/>
    <w:rsid w:val="00227868"/>
    <w:rsid w:val="0023053C"/>
    <w:rsid w:val="00230915"/>
    <w:rsid w:val="00230BFF"/>
    <w:rsid w:val="00230D53"/>
    <w:rsid w:val="0023191B"/>
    <w:rsid w:val="002337B2"/>
    <w:rsid w:val="00233A8A"/>
    <w:rsid w:val="00233C64"/>
    <w:rsid w:val="00234346"/>
    <w:rsid w:val="002345C0"/>
    <w:rsid w:val="00234841"/>
    <w:rsid w:val="00234A29"/>
    <w:rsid w:val="002359CE"/>
    <w:rsid w:val="0023614E"/>
    <w:rsid w:val="00236BE5"/>
    <w:rsid w:val="00236E70"/>
    <w:rsid w:val="002404BA"/>
    <w:rsid w:val="002427F7"/>
    <w:rsid w:val="00242F55"/>
    <w:rsid w:val="00243015"/>
    <w:rsid w:val="0024338F"/>
    <w:rsid w:val="00243845"/>
    <w:rsid w:val="002439DC"/>
    <w:rsid w:val="0024459A"/>
    <w:rsid w:val="00244BA7"/>
    <w:rsid w:val="00244BF9"/>
    <w:rsid w:val="0024501E"/>
    <w:rsid w:val="00245EBD"/>
    <w:rsid w:val="00246AE7"/>
    <w:rsid w:val="00247A2F"/>
    <w:rsid w:val="00247E53"/>
    <w:rsid w:val="0025014F"/>
    <w:rsid w:val="002511A8"/>
    <w:rsid w:val="002511E9"/>
    <w:rsid w:val="002512E8"/>
    <w:rsid w:val="0025159D"/>
    <w:rsid w:val="00251FA2"/>
    <w:rsid w:val="002523FB"/>
    <w:rsid w:val="002529E8"/>
    <w:rsid w:val="00252F4F"/>
    <w:rsid w:val="00253249"/>
    <w:rsid w:val="0025368E"/>
    <w:rsid w:val="002536CB"/>
    <w:rsid w:val="00253A93"/>
    <w:rsid w:val="00254630"/>
    <w:rsid w:val="00254F31"/>
    <w:rsid w:val="0025526A"/>
    <w:rsid w:val="00255EA4"/>
    <w:rsid w:val="0025674F"/>
    <w:rsid w:val="0025718C"/>
    <w:rsid w:val="002575A6"/>
    <w:rsid w:val="0026003F"/>
    <w:rsid w:val="00260A89"/>
    <w:rsid w:val="00260B09"/>
    <w:rsid w:val="00260C9F"/>
    <w:rsid w:val="00260D57"/>
    <w:rsid w:val="00260E14"/>
    <w:rsid w:val="00261958"/>
    <w:rsid w:val="00261A11"/>
    <w:rsid w:val="0026227C"/>
    <w:rsid w:val="00262A51"/>
    <w:rsid w:val="00262DDC"/>
    <w:rsid w:val="00262F21"/>
    <w:rsid w:val="0026304B"/>
    <w:rsid w:val="00263552"/>
    <w:rsid w:val="00264758"/>
    <w:rsid w:val="002648FC"/>
    <w:rsid w:val="0026492C"/>
    <w:rsid w:val="00264C13"/>
    <w:rsid w:val="00264C61"/>
    <w:rsid w:val="00265778"/>
    <w:rsid w:val="002658D0"/>
    <w:rsid w:val="00266AFD"/>
    <w:rsid w:val="00266E8D"/>
    <w:rsid w:val="002672D6"/>
    <w:rsid w:val="002679E5"/>
    <w:rsid w:val="00267B75"/>
    <w:rsid w:val="00267E25"/>
    <w:rsid w:val="0027002A"/>
    <w:rsid w:val="00270286"/>
    <w:rsid w:val="002703A8"/>
    <w:rsid w:val="00270452"/>
    <w:rsid w:val="00270695"/>
    <w:rsid w:val="002707B8"/>
    <w:rsid w:val="0027084D"/>
    <w:rsid w:val="00271401"/>
    <w:rsid w:val="00272012"/>
    <w:rsid w:val="00272230"/>
    <w:rsid w:val="002725BC"/>
    <w:rsid w:val="002731DE"/>
    <w:rsid w:val="002735F9"/>
    <w:rsid w:val="00273CD1"/>
    <w:rsid w:val="00274138"/>
    <w:rsid w:val="00274463"/>
    <w:rsid w:val="00274EC5"/>
    <w:rsid w:val="0027502F"/>
    <w:rsid w:val="0027506B"/>
    <w:rsid w:val="00275342"/>
    <w:rsid w:val="002757FF"/>
    <w:rsid w:val="00275886"/>
    <w:rsid w:val="00275E5D"/>
    <w:rsid w:val="00276A59"/>
    <w:rsid w:val="00276C70"/>
    <w:rsid w:val="00277C24"/>
    <w:rsid w:val="00280D92"/>
    <w:rsid w:val="0028166F"/>
    <w:rsid w:val="00281733"/>
    <w:rsid w:val="0028174D"/>
    <w:rsid w:val="00281A30"/>
    <w:rsid w:val="0028225A"/>
    <w:rsid w:val="002823D9"/>
    <w:rsid w:val="00282BAA"/>
    <w:rsid w:val="00282CD6"/>
    <w:rsid w:val="00282EA8"/>
    <w:rsid w:val="002831C6"/>
    <w:rsid w:val="00283649"/>
    <w:rsid w:val="00283D1B"/>
    <w:rsid w:val="00283EEC"/>
    <w:rsid w:val="00283FF9"/>
    <w:rsid w:val="002846AC"/>
    <w:rsid w:val="00284A4B"/>
    <w:rsid w:val="00284C7E"/>
    <w:rsid w:val="00284EA1"/>
    <w:rsid w:val="00284FC3"/>
    <w:rsid w:val="00285B64"/>
    <w:rsid w:val="00286010"/>
    <w:rsid w:val="002872BE"/>
    <w:rsid w:val="002878CC"/>
    <w:rsid w:val="00287C30"/>
    <w:rsid w:val="00287CE8"/>
    <w:rsid w:val="00290390"/>
    <w:rsid w:val="0029039D"/>
    <w:rsid w:val="00290663"/>
    <w:rsid w:val="00290915"/>
    <w:rsid w:val="00290B29"/>
    <w:rsid w:val="00290B6F"/>
    <w:rsid w:val="00290D76"/>
    <w:rsid w:val="00291394"/>
    <w:rsid w:val="00292313"/>
    <w:rsid w:val="00294168"/>
    <w:rsid w:val="00294245"/>
    <w:rsid w:val="002948AE"/>
    <w:rsid w:val="00294FD0"/>
    <w:rsid w:val="0029507C"/>
    <w:rsid w:val="002954DC"/>
    <w:rsid w:val="002954E4"/>
    <w:rsid w:val="002957D3"/>
    <w:rsid w:val="0029592F"/>
    <w:rsid w:val="00295B0F"/>
    <w:rsid w:val="00295E28"/>
    <w:rsid w:val="00296244"/>
    <w:rsid w:val="0029647F"/>
    <w:rsid w:val="00296B1E"/>
    <w:rsid w:val="00296B8E"/>
    <w:rsid w:val="00297ABC"/>
    <w:rsid w:val="002A00AA"/>
    <w:rsid w:val="002A01C0"/>
    <w:rsid w:val="002A0C93"/>
    <w:rsid w:val="002A2006"/>
    <w:rsid w:val="002A2421"/>
    <w:rsid w:val="002A2CA9"/>
    <w:rsid w:val="002A3C5E"/>
    <w:rsid w:val="002A3E19"/>
    <w:rsid w:val="002A40A1"/>
    <w:rsid w:val="002A422B"/>
    <w:rsid w:val="002A4594"/>
    <w:rsid w:val="002A4934"/>
    <w:rsid w:val="002A50A7"/>
    <w:rsid w:val="002A580F"/>
    <w:rsid w:val="002A642C"/>
    <w:rsid w:val="002A65C4"/>
    <w:rsid w:val="002A6629"/>
    <w:rsid w:val="002A6CAA"/>
    <w:rsid w:val="002A6CD6"/>
    <w:rsid w:val="002A6EA8"/>
    <w:rsid w:val="002A729B"/>
    <w:rsid w:val="002A7AC1"/>
    <w:rsid w:val="002B020A"/>
    <w:rsid w:val="002B04FC"/>
    <w:rsid w:val="002B0A5D"/>
    <w:rsid w:val="002B0EEA"/>
    <w:rsid w:val="002B1764"/>
    <w:rsid w:val="002B1B5E"/>
    <w:rsid w:val="002B1C56"/>
    <w:rsid w:val="002B1D0A"/>
    <w:rsid w:val="002B1F93"/>
    <w:rsid w:val="002B23F8"/>
    <w:rsid w:val="002B334F"/>
    <w:rsid w:val="002B3C0A"/>
    <w:rsid w:val="002B3E37"/>
    <w:rsid w:val="002B4096"/>
    <w:rsid w:val="002B4100"/>
    <w:rsid w:val="002B4250"/>
    <w:rsid w:val="002B429D"/>
    <w:rsid w:val="002B43F3"/>
    <w:rsid w:val="002B4830"/>
    <w:rsid w:val="002B4A15"/>
    <w:rsid w:val="002B4F49"/>
    <w:rsid w:val="002B63FA"/>
    <w:rsid w:val="002B6FB8"/>
    <w:rsid w:val="002B7D36"/>
    <w:rsid w:val="002C0215"/>
    <w:rsid w:val="002C0E1B"/>
    <w:rsid w:val="002C185A"/>
    <w:rsid w:val="002C1E78"/>
    <w:rsid w:val="002C1FD7"/>
    <w:rsid w:val="002C21A1"/>
    <w:rsid w:val="002C38E3"/>
    <w:rsid w:val="002C4147"/>
    <w:rsid w:val="002C42E5"/>
    <w:rsid w:val="002C4E8C"/>
    <w:rsid w:val="002C50B4"/>
    <w:rsid w:val="002C56EA"/>
    <w:rsid w:val="002C56F4"/>
    <w:rsid w:val="002C65D1"/>
    <w:rsid w:val="002C6992"/>
    <w:rsid w:val="002C6DAB"/>
    <w:rsid w:val="002C7460"/>
    <w:rsid w:val="002D0261"/>
    <w:rsid w:val="002D08B1"/>
    <w:rsid w:val="002D09AF"/>
    <w:rsid w:val="002D11D9"/>
    <w:rsid w:val="002D14B7"/>
    <w:rsid w:val="002D1765"/>
    <w:rsid w:val="002D18D3"/>
    <w:rsid w:val="002D1D1E"/>
    <w:rsid w:val="002D1F46"/>
    <w:rsid w:val="002D22CC"/>
    <w:rsid w:val="002D234E"/>
    <w:rsid w:val="002D27A8"/>
    <w:rsid w:val="002D3A32"/>
    <w:rsid w:val="002D3AE3"/>
    <w:rsid w:val="002D3E35"/>
    <w:rsid w:val="002D3F2C"/>
    <w:rsid w:val="002D41C6"/>
    <w:rsid w:val="002D4336"/>
    <w:rsid w:val="002D4555"/>
    <w:rsid w:val="002D473A"/>
    <w:rsid w:val="002D4E4C"/>
    <w:rsid w:val="002D4F37"/>
    <w:rsid w:val="002D54B7"/>
    <w:rsid w:val="002D54E6"/>
    <w:rsid w:val="002D5896"/>
    <w:rsid w:val="002D61C0"/>
    <w:rsid w:val="002D61CE"/>
    <w:rsid w:val="002D6410"/>
    <w:rsid w:val="002D6B1D"/>
    <w:rsid w:val="002D6E03"/>
    <w:rsid w:val="002D6F4E"/>
    <w:rsid w:val="002D6FD3"/>
    <w:rsid w:val="002D733F"/>
    <w:rsid w:val="002D744C"/>
    <w:rsid w:val="002D7910"/>
    <w:rsid w:val="002D7C24"/>
    <w:rsid w:val="002D7FDC"/>
    <w:rsid w:val="002E00D9"/>
    <w:rsid w:val="002E030B"/>
    <w:rsid w:val="002E1807"/>
    <w:rsid w:val="002E211F"/>
    <w:rsid w:val="002E2523"/>
    <w:rsid w:val="002E265F"/>
    <w:rsid w:val="002E397D"/>
    <w:rsid w:val="002E43B7"/>
    <w:rsid w:val="002E4405"/>
    <w:rsid w:val="002E461A"/>
    <w:rsid w:val="002E48D6"/>
    <w:rsid w:val="002E4FBD"/>
    <w:rsid w:val="002E4FDC"/>
    <w:rsid w:val="002E50F9"/>
    <w:rsid w:val="002E516E"/>
    <w:rsid w:val="002E557E"/>
    <w:rsid w:val="002E5F0C"/>
    <w:rsid w:val="002E626A"/>
    <w:rsid w:val="002E6386"/>
    <w:rsid w:val="002E64EC"/>
    <w:rsid w:val="002E68EA"/>
    <w:rsid w:val="002E6CB7"/>
    <w:rsid w:val="002E6E73"/>
    <w:rsid w:val="002E799C"/>
    <w:rsid w:val="002EAFE1"/>
    <w:rsid w:val="002F078D"/>
    <w:rsid w:val="002F08EA"/>
    <w:rsid w:val="002F140C"/>
    <w:rsid w:val="002F1815"/>
    <w:rsid w:val="002F1F1B"/>
    <w:rsid w:val="002F22E4"/>
    <w:rsid w:val="002F2493"/>
    <w:rsid w:val="002F261E"/>
    <w:rsid w:val="002F273F"/>
    <w:rsid w:val="002F313C"/>
    <w:rsid w:val="002F3966"/>
    <w:rsid w:val="002F4819"/>
    <w:rsid w:val="002F4FA0"/>
    <w:rsid w:val="002F4FB0"/>
    <w:rsid w:val="002F5F07"/>
    <w:rsid w:val="002F65DB"/>
    <w:rsid w:val="002F68AA"/>
    <w:rsid w:val="002F6C1E"/>
    <w:rsid w:val="002F6D08"/>
    <w:rsid w:val="002F742E"/>
    <w:rsid w:val="002F77A9"/>
    <w:rsid w:val="002F78C9"/>
    <w:rsid w:val="002F79C6"/>
    <w:rsid w:val="002F7F47"/>
    <w:rsid w:val="00300DBC"/>
    <w:rsid w:val="0030105C"/>
    <w:rsid w:val="00301D6C"/>
    <w:rsid w:val="00301ED7"/>
    <w:rsid w:val="003026DE"/>
    <w:rsid w:val="003032A6"/>
    <w:rsid w:val="00303624"/>
    <w:rsid w:val="00303C29"/>
    <w:rsid w:val="00304010"/>
    <w:rsid w:val="00304846"/>
    <w:rsid w:val="00304930"/>
    <w:rsid w:val="0030523E"/>
    <w:rsid w:val="003053EB"/>
    <w:rsid w:val="0030584F"/>
    <w:rsid w:val="00305873"/>
    <w:rsid w:val="00306137"/>
    <w:rsid w:val="003061CC"/>
    <w:rsid w:val="00306371"/>
    <w:rsid w:val="00307287"/>
    <w:rsid w:val="003076F0"/>
    <w:rsid w:val="0031002D"/>
    <w:rsid w:val="00310311"/>
    <w:rsid w:val="00310D5C"/>
    <w:rsid w:val="00312D97"/>
    <w:rsid w:val="00312F6C"/>
    <w:rsid w:val="00312FAC"/>
    <w:rsid w:val="00312FDE"/>
    <w:rsid w:val="00313ADC"/>
    <w:rsid w:val="00314815"/>
    <w:rsid w:val="0031493F"/>
    <w:rsid w:val="00314EC2"/>
    <w:rsid w:val="00315E58"/>
    <w:rsid w:val="003166CE"/>
    <w:rsid w:val="003169C0"/>
    <w:rsid w:val="00316C80"/>
    <w:rsid w:val="00317029"/>
    <w:rsid w:val="0031753C"/>
    <w:rsid w:val="003175C4"/>
    <w:rsid w:val="003178E6"/>
    <w:rsid w:val="00317CB6"/>
    <w:rsid w:val="0032007A"/>
    <w:rsid w:val="003202FB"/>
    <w:rsid w:val="00320812"/>
    <w:rsid w:val="00320A32"/>
    <w:rsid w:val="00320E16"/>
    <w:rsid w:val="00320F58"/>
    <w:rsid w:val="003222CB"/>
    <w:rsid w:val="00322518"/>
    <w:rsid w:val="003228C8"/>
    <w:rsid w:val="00322C51"/>
    <w:rsid w:val="003234D9"/>
    <w:rsid w:val="003235C8"/>
    <w:rsid w:val="003246E3"/>
    <w:rsid w:val="003249AC"/>
    <w:rsid w:val="00325163"/>
    <w:rsid w:val="0032585F"/>
    <w:rsid w:val="0032597C"/>
    <w:rsid w:val="00327926"/>
    <w:rsid w:val="00327BF4"/>
    <w:rsid w:val="00327E12"/>
    <w:rsid w:val="00330239"/>
    <w:rsid w:val="00330376"/>
    <w:rsid w:val="003306BF"/>
    <w:rsid w:val="00331C78"/>
    <w:rsid w:val="00331E69"/>
    <w:rsid w:val="00331F49"/>
    <w:rsid w:val="00334155"/>
    <w:rsid w:val="0033468B"/>
    <w:rsid w:val="00334B7D"/>
    <w:rsid w:val="00335246"/>
    <w:rsid w:val="00336613"/>
    <w:rsid w:val="00336AF6"/>
    <w:rsid w:val="00336FF6"/>
    <w:rsid w:val="0033715B"/>
    <w:rsid w:val="003400CE"/>
    <w:rsid w:val="00340ED2"/>
    <w:rsid w:val="0034104D"/>
    <w:rsid w:val="00341DD1"/>
    <w:rsid w:val="003421B9"/>
    <w:rsid w:val="003425F2"/>
    <w:rsid w:val="00342622"/>
    <w:rsid w:val="00343604"/>
    <w:rsid w:val="00343858"/>
    <w:rsid w:val="00344186"/>
    <w:rsid w:val="003447DE"/>
    <w:rsid w:val="00344D3F"/>
    <w:rsid w:val="0034504D"/>
    <w:rsid w:val="00345174"/>
    <w:rsid w:val="00345308"/>
    <w:rsid w:val="0034562A"/>
    <w:rsid w:val="00345ACC"/>
    <w:rsid w:val="00345E45"/>
    <w:rsid w:val="00347404"/>
    <w:rsid w:val="00347785"/>
    <w:rsid w:val="003478A8"/>
    <w:rsid w:val="00350A54"/>
    <w:rsid w:val="00351743"/>
    <w:rsid w:val="00351ABE"/>
    <w:rsid w:val="00351DAD"/>
    <w:rsid w:val="0035255C"/>
    <w:rsid w:val="0035284D"/>
    <w:rsid w:val="0035311B"/>
    <w:rsid w:val="0035346A"/>
    <w:rsid w:val="00353BD2"/>
    <w:rsid w:val="00353FB7"/>
    <w:rsid w:val="003545A8"/>
    <w:rsid w:val="0035483B"/>
    <w:rsid w:val="0035496E"/>
    <w:rsid w:val="00354DC4"/>
    <w:rsid w:val="003556E6"/>
    <w:rsid w:val="003556F4"/>
    <w:rsid w:val="003557CA"/>
    <w:rsid w:val="00356118"/>
    <w:rsid w:val="0035620E"/>
    <w:rsid w:val="00356836"/>
    <w:rsid w:val="00356F7A"/>
    <w:rsid w:val="0035765D"/>
    <w:rsid w:val="00357A83"/>
    <w:rsid w:val="00357F0B"/>
    <w:rsid w:val="00360883"/>
    <w:rsid w:val="00360CDE"/>
    <w:rsid w:val="00360EBE"/>
    <w:rsid w:val="003618D5"/>
    <w:rsid w:val="00361E30"/>
    <w:rsid w:val="00362387"/>
    <w:rsid w:val="003625AF"/>
    <w:rsid w:val="00362D5F"/>
    <w:rsid w:val="00363176"/>
    <w:rsid w:val="00363425"/>
    <w:rsid w:val="00363AF6"/>
    <w:rsid w:val="0036401E"/>
    <w:rsid w:val="0036420B"/>
    <w:rsid w:val="00364A4E"/>
    <w:rsid w:val="00365397"/>
    <w:rsid w:val="0036580B"/>
    <w:rsid w:val="00366196"/>
    <w:rsid w:val="00366477"/>
    <w:rsid w:val="00366FCA"/>
    <w:rsid w:val="003675BA"/>
    <w:rsid w:val="00367EDC"/>
    <w:rsid w:val="00370C2D"/>
    <w:rsid w:val="00370C4A"/>
    <w:rsid w:val="00371330"/>
    <w:rsid w:val="003717B7"/>
    <w:rsid w:val="00371C60"/>
    <w:rsid w:val="003725DB"/>
    <w:rsid w:val="00372B6F"/>
    <w:rsid w:val="00373067"/>
    <w:rsid w:val="00373624"/>
    <w:rsid w:val="00373FB3"/>
    <w:rsid w:val="00373FC5"/>
    <w:rsid w:val="00374643"/>
    <w:rsid w:val="00374B24"/>
    <w:rsid w:val="00374E61"/>
    <w:rsid w:val="0037554E"/>
    <w:rsid w:val="003759CE"/>
    <w:rsid w:val="00375AFE"/>
    <w:rsid w:val="00375EB3"/>
    <w:rsid w:val="00377189"/>
    <w:rsid w:val="00380220"/>
    <w:rsid w:val="00380246"/>
    <w:rsid w:val="0038038C"/>
    <w:rsid w:val="00380DBE"/>
    <w:rsid w:val="00380E9A"/>
    <w:rsid w:val="003810F0"/>
    <w:rsid w:val="00381836"/>
    <w:rsid w:val="003822A8"/>
    <w:rsid w:val="00382407"/>
    <w:rsid w:val="003825CF"/>
    <w:rsid w:val="00382632"/>
    <w:rsid w:val="00383151"/>
    <w:rsid w:val="00383223"/>
    <w:rsid w:val="0038345A"/>
    <w:rsid w:val="00384D3F"/>
    <w:rsid w:val="003861AB"/>
    <w:rsid w:val="0038622A"/>
    <w:rsid w:val="00386604"/>
    <w:rsid w:val="00386A92"/>
    <w:rsid w:val="00386ED8"/>
    <w:rsid w:val="003879AF"/>
    <w:rsid w:val="00387B03"/>
    <w:rsid w:val="00387C8A"/>
    <w:rsid w:val="00387F24"/>
    <w:rsid w:val="0039036E"/>
    <w:rsid w:val="00390A3E"/>
    <w:rsid w:val="00390ED9"/>
    <w:rsid w:val="00391D6F"/>
    <w:rsid w:val="003922D7"/>
    <w:rsid w:val="00392398"/>
    <w:rsid w:val="00392C0A"/>
    <w:rsid w:val="0039449B"/>
    <w:rsid w:val="0039449D"/>
    <w:rsid w:val="00394641"/>
    <w:rsid w:val="0039497C"/>
    <w:rsid w:val="003949BC"/>
    <w:rsid w:val="00395445"/>
    <w:rsid w:val="00395666"/>
    <w:rsid w:val="003957C3"/>
    <w:rsid w:val="00395A18"/>
    <w:rsid w:val="003962BC"/>
    <w:rsid w:val="0039632A"/>
    <w:rsid w:val="00396CFB"/>
    <w:rsid w:val="00396D50"/>
    <w:rsid w:val="00396EA0"/>
    <w:rsid w:val="00397D5E"/>
    <w:rsid w:val="003A0149"/>
    <w:rsid w:val="003A0FAA"/>
    <w:rsid w:val="003A11E0"/>
    <w:rsid w:val="003A15AE"/>
    <w:rsid w:val="003A1D86"/>
    <w:rsid w:val="003A1E5E"/>
    <w:rsid w:val="003A1F58"/>
    <w:rsid w:val="003A20DA"/>
    <w:rsid w:val="003A2119"/>
    <w:rsid w:val="003A23ED"/>
    <w:rsid w:val="003A2546"/>
    <w:rsid w:val="003A36A6"/>
    <w:rsid w:val="003A450F"/>
    <w:rsid w:val="003A474C"/>
    <w:rsid w:val="003A4F3E"/>
    <w:rsid w:val="003A53CD"/>
    <w:rsid w:val="003A579D"/>
    <w:rsid w:val="003A5CC0"/>
    <w:rsid w:val="003A6521"/>
    <w:rsid w:val="003A6620"/>
    <w:rsid w:val="003A6766"/>
    <w:rsid w:val="003A6DB0"/>
    <w:rsid w:val="003A79DB"/>
    <w:rsid w:val="003A7C08"/>
    <w:rsid w:val="003B0065"/>
    <w:rsid w:val="003B0475"/>
    <w:rsid w:val="003B15E9"/>
    <w:rsid w:val="003B283F"/>
    <w:rsid w:val="003B2977"/>
    <w:rsid w:val="003B2A01"/>
    <w:rsid w:val="003B2C93"/>
    <w:rsid w:val="003B328A"/>
    <w:rsid w:val="003B3314"/>
    <w:rsid w:val="003B33A9"/>
    <w:rsid w:val="003B3D85"/>
    <w:rsid w:val="003B3D91"/>
    <w:rsid w:val="003B3DD0"/>
    <w:rsid w:val="003B4098"/>
    <w:rsid w:val="003B47B1"/>
    <w:rsid w:val="003B572B"/>
    <w:rsid w:val="003B5B99"/>
    <w:rsid w:val="003B68D0"/>
    <w:rsid w:val="003B6EE2"/>
    <w:rsid w:val="003B7931"/>
    <w:rsid w:val="003C006B"/>
    <w:rsid w:val="003C081E"/>
    <w:rsid w:val="003C0ADB"/>
    <w:rsid w:val="003C0B8F"/>
    <w:rsid w:val="003C12C4"/>
    <w:rsid w:val="003C2060"/>
    <w:rsid w:val="003C22C6"/>
    <w:rsid w:val="003C247B"/>
    <w:rsid w:val="003C24E4"/>
    <w:rsid w:val="003C25AC"/>
    <w:rsid w:val="003C28EA"/>
    <w:rsid w:val="003C328D"/>
    <w:rsid w:val="003C373B"/>
    <w:rsid w:val="003C42AF"/>
    <w:rsid w:val="003C45C1"/>
    <w:rsid w:val="003C4F0D"/>
    <w:rsid w:val="003C553A"/>
    <w:rsid w:val="003C5C8B"/>
    <w:rsid w:val="003C6642"/>
    <w:rsid w:val="003C664A"/>
    <w:rsid w:val="003C6834"/>
    <w:rsid w:val="003C6B51"/>
    <w:rsid w:val="003C6DA2"/>
    <w:rsid w:val="003C70C3"/>
    <w:rsid w:val="003D0C21"/>
    <w:rsid w:val="003D0D52"/>
    <w:rsid w:val="003D1234"/>
    <w:rsid w:val="003D14C4"/>
    <w:rsid w:val="003D17D7"/>
    <w:rsid w:val="003D1CC6"/>
    <w:rsid w:val="003D248B"/>
    <w:rsid w:val="003D2EAE"/>
    <w:rsid w:val="003D2F9B"/>
    <w:rsid w:val="003D4ED4"/>
    <w:rsid w:val="003D53B8"/>
    <w:rsid w:val="003D5922"/>
    <w:rsid w:val="003D5D7B"/>
    <w:rsid w:val="003D5E10"/>
    <w:rsid w:val="003D62C7"/>
    <w:rsid w:val="003D6D33"/>
    <w:rsid w:val="003D72BE"/>
    <w:rsid w:val="003D750D"/>
    <w:rsid w:val="003D7547"/>
    <w:rsid w:val="003D7718"/>
    <w:rsid w:val="003D7B52"/>
    <w:rsid w:val="003E01A1"/>
    <w:rsid w:val="003E1251"/>
    <w:rsid w:val="003E141C"/>
    <w:rsid w:val="003E1BE5"/>
    <w:rsid w:val="003E2170"/>
    <w:rsid w:val="003E3437"/>
    <w:rsid w:val="003E34DC"/>
    <w:rsid w:val="003E3564"/>
    <w:rsid w:val="003E375A"/>
    <w:rsid w:val="003E4294"/>
    <w:rsid w:val="003E4B5E"/>
    <w:rsid w:val="003E5818"/>
    <w:rsid w:val="003E5995"/>
    <w:rsid w:val="003E5B36"/>
    <w:rsid w:val="003E6165"/>
    <w:rsid w:val="003E6A8F"/>
    <w:rsid w:val="003E6E8B"/>
    <w:rsid w:val="003E76B2"/>
    <w:rsid w:val="003E7A6E"/>
    <w:rsid w:val="003E7AEA"/>
    <w:rsid w:val="003F0994"/>
    <w:rsid w:val="003F0FB1"/>
    <w:rsid w:val="003F1338"/>
    <w:rsid w:val="003F1958"/>
    <w:rsid w:val="003F2257"/>
    <w:rsid w:val="003F2AF6"/>
    <w:rsid w:val="003F2C9D"/>
    <w:rsid w:val="003F2E2D"/>
    <w:rsid w:val="003F31E0"/>
    <w:rsid w:val="003F3341"/>
    <w:rsid w:val="003F3D88"/>
    <w:rsid w:val="003F43B2"/>
    <w:rsid w:val="003F46FA"/>
    <w:rsid w:val="003F6790"/>
    <w:rsid w:val="003F680B"/>
    <w:rsid w:val="003F69CD"/>
    <w:rsid w:val="003F6C61"/>
    <w:rsid w:val="003F6E42"/>
    <w:rsid w:val="003F6FBD"/>
    <w:rsid w:val="003F76C9"/>
    <w:rsid w:val="003F7844"/>
    <w:rsid w:val="003F78C1"/>
    <w:rsid w:val="003F7A1E"/>
    <w:rsid w:val="003F7B2D"/>
    <w:rsid w:val="0040033F"/>
    <w:rsid w:val="004007AC"/>
    <w:rsid w:val="00401046"/>
    <w:rsid w:val="00401132"/>
    <w:rsid w:val="004012D5"/>
    <w:rsid w:val="00401DF0"/>
    <w:rsid w:val="00401E10"/>
    <w:rsid w:val="0040227E"/>
    <w:rsid w:val="004027CF"/>
    <w:rsid w:val="004034E9"/>
    <w:rsid w:val="00403973"/>
    <w:rsid w:val="00403ADC"/>
    <w:rsid w:val="00403E9D"/>
    <w:rsid w:val="0040424A"/>
    <w:rsid w:val="004057CC"/>
    <w:rsid w:val="00406016"/>
    <w:rsid w:val="00406875"/>
    <w:rsid w:val="004074C6"/>
    <w:rsid w:val="00407AAF"/>
    <w:rsid w:val="00407C62"/>
    <w:rsid w:val="004103CD"/>
    <w:rsid w:val="00410606"/>
    <w:rsid w:val="00410A18"/>
    <w:rsid w:val="00410C19"/>
    <w:rsid w:val="00410CBE"/>
    <w:rsid w:val="00410D1E"/>
    <w:rsid w:val="00410FD8"/>
    <w:rsid w:val="004119E8"/>
    <w:rsid w:val="00411BE4"/>
    <w:rsid w:val="00411E44"/>
    <w:rsid w:val="004134D7"/>
    <w:rsid w:val="004138A5"/>
    <w:rsid w:val="004142A7"/>
    <w:rsid w:val="00414885"/>
    <w:rsid w:val="004148C0"/>
    <w:rsid w:val="00414F98"/>
    <w:rsid w:val="004154AD"/>
    <w:rsid w:val="0041560D"/>
    <w:rsid w:val="00415D12"/>
    <w:rsid w:val="00416112"/>
    <w:rsid w:val="0041665F"/>
    <w:rsid w:val="0042040A"/>
    <w:rsid w:val="0042064D"/>
    <w:rsid w:val="004207EC"/>
    <w:rsid w:val="004212B3"/>
    <w:rsid w:val="0042192B"/>
    <w:rsid w:val="00422070"/>
    <w:rsid w:val="00422735"/>
    <w:rsid w:val="00422D4B"/>
    <w:rsid w:val="0042395F"/>
    <w:rsid w:val="00424D43"/>
    <w:rsid w:val="00425070"/>
    <w:rsid w:val="004252BA"/>
    <w:rsid w:val="0042568D"/>
    <w:rsid w:val="00425EE1"/>
    <w:rsid w:val="004262C1"/>
    <w:rsid w:val="00426918"/>
    <w:rsid w:val="0042694A"/>
    <w:rsid w:val="00427BA1"/>
    <w:rsid w:val="00430618"/>
    <w:rsid w:val="00430741"/>
    <w:rsid w:val="00431115"/>
    <w:rsid w:val="00431122"/>
    <w:rsid w:val="004312B6"/>
    <w:rsid w:val="00431E3D"/>
    <w:rsid w:val="00431F6C"/>
    <w:rsid w:val="00432DDC"/>
    <w:rsid w:val="00433ABB"/>
    <w:rsid w:val="004346DA"/>
    <w:rsid w:val="00434C5E"/>
    <w:rsid w:val="00435253"/>
    <w:rsid w:val="004354D6"/>
    <w:rsid w:val="004359BB"/>
    <w:rsid w:val="00436510"/>
    <w:rsid w:val="004408D1"/>
    <w:rsid w:val="00440AE8"/>
    <w:rsid w:val="00440DDF"/>
    <w:rsid w:val="00440DF1"/>
    <w:rsid w:val="0044125B"/>
    <w:rsid w:val="004419F6"/>
    <w:rsid w:val="00441E60"/>
    <w:rsid w:val="00442661"/>
    <w:rsid w:val="00443054"/>
    <w:rsid w:val="0044324B"/>
    <w:rsid w:val="00443285"/>
    <w:rsid w:val="0044373B"/>
    <w:rsid w:val="00443D46"/>
    <w:rsid w:val="00443E8C"/>
    <w:rsid w:val="00444303"/>
    <w:rsid w:val="004448A4"/>
    <w:rsid w:val="00445BD0"/>
    <w:rsid w:val="004460F2"/>
    <w:rsid w:val="00446455"/>
    <w:rsid w:val="00446FCA"/>
    <w:rsid w:val="00447FAC"/>
    <w:rsid w:val="0045049B"/>
    <w:rsid w:val="0045072B"/>
    <w:rsid w:val="004509C6"/>
    <w:rsid w:val="004516CC"/>
    <w:rsid w:val="0045177B"/>
    <w:rsid w:val="00451D3D"/>
    <w:rsid w:val="00451DA6"/>
    <w:rsid w:val="00452736"/>
    <w:rsid w:val="004532CD"/>
    <w:rsid w:val="00454277"/>
    <w:rsid w:val="00454FE1"/>
    <w:rsid w:val="0045624F"/>
    <w:rsid w:val="004565BE"/>
    <w:rsid w:val="0045695E"/>
    <w:rsid w:val="00456A58"/>
    <w:rsid w:val="00456AB3"/>
    <w:rsid w:val="00456ACC"/>
    <w:rsid w:val="00456C45"/>
    <w:rsid w:val="00456DA8"/>
    <w:rsid w:val="0045706A"/>
    <w:rsid w:val="00457149"/>
    <w:rsid w:val="0046047E"/>
    <w:rsid w:val="00460999"/>
    <w:rsid w:val="00460ED1"/>
    <w:rsid w:val="00461D39"/>
    <w:rsid w:val="00461DA9"/>
    <w:rsid w:val="0046306F"/>
    <w:rsid w:val="004634F9"/>
    <w:rsid w:val="00464590"/>
    <w:rsid w:val="00464A94"/>
    <w:rsid w:val="00464C75"/>
    <w:rsid w:val="00464EC7"/>
    <w:rsid w:val="004658D1"/>
    <w:rsid w:val="00465D7E"/>
    <w:rsid w:val="004660AB"/>
    <w:rsid w:val="00466460"/>
    <w:rsid w:val="00466AE4"/>
    <w:rsid w:val="00466B8D"/>
    <w:rsid w:val="004674B1"/>
    <w:rsid w:val="00470794"/>
    <w:rsid w:val="00470A0C"/>
    <w:rsid w:val="00470B26"/>
    <w:rsid w:val="00471292"/>
    <w:rsid w:val="004715F5"/>
    <w:rsid w:val="00471DCC"/>
    <w:rsid w:val="00472102"/>
    <w:rsid w:val="0047290A"/>
    <w:rsid w:val="00472963"/>
    <w:rsid w:val="004729E0"/>
    <w:rsid w:val="00472B45"/>
    <w:rsid w:val="00472F81"/>
    <w:rsid w:val="004731F6"/>
    <w:rsid w:val="00473218"/>
    <w:rsid w:val="00473271"/>
    <w:rsid w:val="004734EC"/>
    <w:rsid w:val="00473850"/>
    <w:rsid w:val="00473A4D"/>
    <w:rsid w:val="00473DD7"/>
    <w:rsid w:val="00473E98"/>
    <w:rsid w:val="004740E4"/>
    <w:rsid w:val="004740E8"/>
    <w:rsid w:val="004740F9"/>
    <w:rsid w:val="004745DA"/>
    <w:rsid w:val="00474896"/>
    <w:rsid w:val="004749DE"/>
    <w:rsid w:val="00475436"/>
    <w:rsid w:val="00475E79"/>
    <w:rsid w:val="004766CF"/>
    <w:rsid w:val="00476C08"/>
    <w:rsid w:val="00476DFA"/>
    <w:rsid w:val="00477076"/>
    <w:rsid w:val="0047726D"/>
    <w:rsid w:val="0047789A"/>
    <w:rsid w:val="00477A32"/>
    <w:rsid w:val="0048018F"/>
    <w:rsid w:val="004804E4"/>
    <w:rsid w:val="00480BEA"/>
    <w:rsid w:val="004810FE"/>
    <w:rsid w:val="004811CE"/>
    <w:rsid w:val="0048215E"/>
    <w:rsid w:val="00482931"/>
    <w:rsid w:val="00482EB1"/>
    <w:rsid w:val="00482F53"/>
    <w:rsid w:val="00483334"/>
    <w:rsid w:val="004834B7"/>
    <w:rsid w:val="00483779"/>
    <w:rsid w:val="0048380E"/>
    <w:rsid w:val="004847DE"/>
    <w:rsid w:val="004859E6"/>
    <w:rsid w:val="00485B97"/>
    <w:rsid w:val="00486665"/>
    <w:rsid w:val="0048668C"/>
    <w:rsid w:val="0048692A"/>
    <w:rsid w:val="00486971"/>
    <w:rsid w:val="00486BE3"/>
    <w:rsid w:val="0048717A"/>
    <w:rsid w:val="00487D91"/>
    <w:rsid w:val="00487E8D"/>
    <w:rsid w:val="00490395"/>
    <w:rsid w:val="004909D5"/>
    <w:rsid w:val="00490E82"/>
    <w:rsid w:val="0049129A"/>
    <w:rsid w:val="0049137F"/>
    <w:rsid w:val="004916A2"/>
    <w:rsid w:val="0049186D"/>
    <w:rsid w:val="00491ECF"/>
    <w:rsid w:val="00492379"/>
    <w:rsid w:val="004923EB"/>
    <w:rsid w:val="0049240B"/>
    <w:rsid w:val="004924B1"/>
    <w:rsid w:val="004928A3"/>
    <w:rsid w:val="00492E2D"/>
    <w:rsid w:val="0049342D"/>
    <w:rsid w:val="0049369F"/>
    <w:rsid w:val="0049378A"/>
    <w:rsid w:val="00493B69"/>
    <w:rsid w:val="0049420B"/>
    <w:rsid w:val="0049474F"/>
    <w:rsid w:val="0049498D"/>
    <w:rsid w:val="00494A62"/>
    <w:rsid w:val="00494FBE"/>
    <w:rsid w:val="004954D4"/>
    <w:rsid w:val="004957DC"/>
    <w:rsid w:val="00495D2E"/>
    <w:rsid w:val="004963C3"/>
    <w:rsid w:val="004965C7"/>
    <w:rsid w:val="00496C11"/>
    <w:rsid w:val="00496EEE"/>
    <w:rsid w:val="00497316"/>
    <w:rsid w:val="00497A7C"/>
    <w:rsid w:val="00497C0D"/>
    <w:rsid w:val="00497CF7"/>
    <w:rsid w:val="004A03F5"/>
    <w:rsid w:val="004A0770"/>
    <w:rsid w:val="004A17E0"/>
    <w:rsid w:val="004A228F"/>
    <w:rsid w:val="004A259E"/>
    <w:rsid w:val="004A2A19"/>
    <w:rsid w:val="004A4953"/>
    <w:rsid w:val="004A50DB"/>
    <w:rsid w:val="004A534D"/>
    <w:rsid w:val="004A56BB"/>
    <w:rsid w:val="004A57F6"/>
    <w:rsid w:val="004A5A2F"/>
    <w:rsid w:val="004A5E13"/>
    <w:rsid w:val="004A613F"/>
    <w:rsid w:val="004A61C6"/>
    <w:rsid w:val="004A69E8"/>
    <w:rsid w:val="004A6C4D"/>
    <w:rsid w:val="004B01C6"/>
    <w:rsid w:val="004B02B3"/>
    <w:rsid w:val="004B0327"/>
    <w:rsid w:val="004B0744"/>
    <w:rsid w:val="004B0A1E"/>
    <w:rsid w:val="004B0D97"/>
    <w:rsid w:val="004B106A"/>
    <w:rsid w:val="004B1C50"/>
    <w:rsid w:val="004B2201"/>
    <w:rsid w:val="004B273A"/>
    <w:rsid w:val="004B29F2"/>
    <w:rsid w:val="004B31ED"/>
    <w:rsid w:val="004B394F"/>
    <w:rsid w:val="004B3D81"/>
    <w:rsid w:val="004B4357"/>
    <w:rsid w:val="004B4EF7"/>
    <w:rsid w:val="004B5FFC"/>
    <w:rsid w:val="004B6CF0"/>
    <w:rsid w:val="004B7390"/>
    <w:rsid w:val="004C0874"/>
    <w:rsid w:val="004C1432"/>
    <w:rsid w:val="004C1785"/>
    <w:rsid w:val="004C1B44"/>
    <w:rsid w:val="004C1BCA"/>
    <w:rsid w:val="004C3102"/>
    <w:rsid w:val="004C3B7E"/>
    <w:rsid w:val="004C3ECD"/>
    <w:rsid w:val="004C4450"/>
    <w:rsid w:val="004C4576"/>
    <w:rsid w:val="004C4CC7"/>
    <w:rsid w:val="004C51A5"/>
    <w:rsid w:val="004C5293"/>
    <w:rsid w:val="004C55C8"/>
    <w:rsid w:val="004C599F"/>
    <w:rsid w:val="004C5E86"/>
    <w:rsid w:val="004C5F61"/>
    <w:rsid w:val="004C641B"/>
    <w:rsid w:val="004C672C"/>
    <w:rsid w:val="004C67A2"/>
    <w:rsid w:val="004C6BDE"/>
    <w:rsid w:val="004C7747"/>
    <w:rsid w:val="004C7970"/>
    <w:rsid w:val="004C7AE4"/>
    <w:rsid w:val="004C7B20"/>
    <w:rsid w:val="004C7BB7"/>
    <w:rsid w:val="004C7EFC"/>
    <w:rsid w:val="004D0338"/>
    <w:rsid w:val="004D0404"/>
    <w:rsid w:val="004D0505"/>
    <w:rsid w:val="004D05C8"/>
    <w:rsid w:val="004D0B18"/>
    <w:rsid w:val="004D0CEB"/>
    <w:rsid w:val="004D0DD0"/>
    <w:rsid w:val="004D1427"/>
    <w:rsid w:val="004D194A"/>
    <w:rsid w:val="004D1E6F"/>
    <w:rsid w:val="004D27C8"/>
    <w:rsid w:val="004D30A5"/>
    <w:rsid w:val="004D38FE"/>
    <w:rsid w:val="004D4237"/>
    <w:rsid w:val="004D46E6"/>
    <w:rsid w:val="004D490B"/>
    <w:rsid w:val="004D4A2C"/>
    <w:rsid w:val="004D5F3D"/>
    <w:rsid w:val="004D61D9"/>
    <w:rsid w:val="004D650E"/>
    <w:rsid w:val="004D65F6"/>
    <w:rsid w:val="004D6C08"/>
    <w:rsid w:val="004D701C"/>
    <w:rsid w:val="004D72F0"/>
    <w:rsid w:val="004D7367"/>
    <w:rsid w:val="004D7611"/>
    <w:rsid w:val="004D77D7"/>
    <w:rsid w:val="004D78DC"/>
    <w:rsid w:val="004E0CE2"/>
    <w:rsid w:val="004E11D8"/>
    <w:rsid w:val="004E22AA"/>
    <w:rsid w:val="004E29B0"/>
    <w:rsid w:val="004E2C7C"/>
    <w:rsid w:val="004E3225"/>
    <w:rsid w:val="004E364B"/>
    <w:rsid w:val="004E40FD"/>
    <w:rsid w:val="004E4355"/>
    <w:rsid w:val="004E4C4E"/>
    <w:rsid w:val="004E4C79"/>
    <w:rsid w:val="004E505A"/>
    <w:rsid w:val="004E5504"/>
    <w:rsid w:val="004E5896"/>
    <w:rsid w:val="004E58BC"/>
    <w:rsid w:val="004E5B8F"/>
    <w:rsid w:val="004E6043"/>
    <w:rsid w:val="004E6C00"/>
    <w:rsid w:val="004E72DE"/>
    <w:rsid w:val="004E7417"/>
    <w:rsid w:val="004E7515"/>
    <w:rsid w:val="004E7689"/>
    <w:rsid w:val="004F2EC7"/>
    <w:rsid w:val="004F3833"/>
    <w:rsid w:val="004F40ED"/>
    <w:rsid w:val="004F4B9A"/>
    <w:rsid w:val="004F4D6A"/>
    <w:rsid w:val="004F5900"/>
    <w:rsid w:val="004F59B5"/>
    <w:rsid w:val="004F5FF4"/>
    <w:rsid w:val="004F706D"/>
    <w:rsid w:val="004F7483"/>
    <w:rsid w:val="004F7758"/>
    <w:rsid w:val="004F7C6B"/>
    <w:rsid w:val="00500150"/>
    <w:rsid w:val="005002C4"/>
    <w:rsid w:val="0050077F"/>
    <w:rsid w:val="00500D97"/>
    <w:rsid w:val="00500DEF"/>
    <w:rsid w:val="0050173C"/>
    <w:rsid w:val="00501CB0"/>
    <w:rsid w:val="00502C28"/>
    <w:rsid w:val="00502D50"/>
    <w:rsid w:val="00503626"/>
    <w:rsid w:val="00504C04"/>
    <w:rsid w:val="005064CE"/>
    <w:rsid w:val="005074F6"/>
    <w:rsid w:val="00507716"/>
    <w:rsid w:val="00507E4E"/>
    <w:rsid w:val="005104E3"/>
    <w:rsid w:val="0051107A"/>
    <w:rsid w:val="005117C2"/>
    <w:rsid w:val="00511BBB"/>
    <w:rsid w:val="00511D1E"/>
    <w:rsid w:val="00512339"/>
    <w:rsid w:val="005123E2"/>
    <w:rsid w:val="005128CD"/>
    <w:rsid w:val="005129C3"/>
    <w:rsid w:val="0051302C"/>
    <w:rsid w:val="005133E4"/>
    <w:rsid w:val="00513906"/>
    <w:rsid w:val="00513BF3"/>
    <w:rsid w:val="00513F5E"/>
    <w:rsid w:val="0051489E"/>
    <w:rsid w:val="00514AFF"/>
    <w:rsid w:val="00515E12"/>
    <w:rsid w:val="005162F2"/>
    <w:rsid w:val="00516517"/>
    <w:rsid w:val="00516816"/>
    <w:rsid w:val="00516F8F"/>
    <w:rsid w:val="005175EF"/>
    <w:rsid w:val="005179A1"/>
    <w:rsid w:val="00520C8B"/>
    <w:rsid w:val="00521191"/>
    <w:rsid w:val="005218C3"/>
    <w:rsid w:val="00522159"/>
    <w:rsid w:val="00524305"/>
    <w:rsid w:val="0052483D"/>
    <w:rsid w:val="00524CAE"/>
    <w:rsid w:val="00524FF0"/>
    <w:rsid w:val="00525623"/>
    <w:rsid w:val="0052604A"/>
    <w:rsid w:val="005263ED"/>
    <w:rsid w:val="00526A64"/>
    <w:rsid w:val="00526D10"/>
    <w:rsid w:val="005307EA"/>
    <w:rsid w:val="00531390"/>
    <w:rsid w:val="00531978"/>
    <w:rsid w:val="00531D44"/>
    <w:rsid w:val="00531F2A"/>
    <w:rsid w:val="00532055"/>
    <w:rsid w:val="00532F1F"/>
    <w:rsid w:val="005335FF"/>
    <w:rsid w:val="00533A76"/>
    <w:rsid w:val="00534492"/>
    <w:rsid w:val="00534827"/>
    <w:rsid w:val="00534E24"/>
    <w:rsid w:val="005353EA"/>
    <w:rsid w:val="005363A1"/>
    <w:rsid w:val="005367D5"/>
    <w:rsid w:val="00536FF5"/>
    <w:rsid w:val="005377A7"/>
    <w:rsid w:val="00537E35"/>
    <w:rsid w:val="00540A1E"/>
    <w:rsid w:val="00540D4C"/>
    <w:rsid w:val="00540EAA"/>
    <w:rsid w:val="00541BE6"/>
    <w:rsid w:val="00542E40"/>
    <w:rsid w:val="00542FFC"/>
    <w:rsid w:val="00543D20"/>
    <w:rsid w:val="00543F37"/>
    <w:rsid w:val="00544FCB"/>
    <w:rsid w:val="005456A0"/>
    <w:rsid w:val="00545AD4"/>
    <w:rsid w:val="00545EEE"/>
    <w:rsid w:val="005461C0"/>
    <w:rsid w:val="005463F5"/>
    <w:rsid w:val="005468DD"/>
    <w:rsid w:val="00546B5E"/>
    <w:rsid w:val="00546BE7"/>
    <w:rsid w:val="005472E8"/>
    <w:rsid w:val="005473BB"/>
    <w:rsid w:val="005474CC"/>
    <w:rsid w:val="00547B1C"/>
    <w:rsid w:val="005504BC"/>
    <w:rsid w:val="0055054D"/>
    <w:rsid w:val="00550D56"/>
    <w:rsid w:val="00551791"/>
    <w:rsid w:val="00551AA5"/>
    <w:rsid w:val="00551CAB"/>
    <w:rsid w:val="00552628"/>
    <w:rsid w:val="00552A1F"/>
    <w:rsid w:val="00552EB3"/>
    <w:rsid w:val="0055317F"/>
    <w:rsid w:val="005537D9"/>
    <w:rsid w:val="00553AA5"/>
    <w:rsid w:val="005543E0"/>
    <w:rsid w:val="00554465"/>
    <w:rsid w:val="005549CF"/>
    <w:rsid w:val="00555259"/>
    <w:rsid w:val="005556B2"/>
    <w:rsid w:val="00555D90"/>
    <w:rsid w:val="005564A4"/>
    <w:rsid w:val="005564F6"/>
    <w:rsid w:val="005568A9"/>
    <w:rsid w:val="00557D3D"/>
    <w:rsid w:val="00557F03"/>
    <w:rsid w:val="0056071D"/>
    <w:rsid w:val="00560E89"/>
    <w:rsid w:val="00561435"/>
    <w:rsid w:val="00561459"/>
    <w:rsid w:val="005618CB"/>
    <w:rsid w:val="00561918"/>
    <w:rsid w:val="00561B12"/>
    <w:rsid w:val="00561C9E"/>
    <w:rsid w:val="0056204C"/>
    <w:rsid w:val="00562433"/>
    <w:rsid w:val="00562F0E"/>
    <w:rsid w:val="005635BB"/>
    <w:rsid w:val="00563724"/>
    <w:rsid w:val="00564500"/>
    <w:rsid w:val="005647C8"/>
    <w:rsid w:val="00564F6D"/>
    <w:rsid w:val="00565D72"/>
    <w:rsid w:val="00565F80"/>
    <w:rsid w:val="005660FD"/>
    <w:rsid w:val="005672B5"/>
    <w:rsid w:val="00567BB2"/>
    <w:rsid w:val="00567C5A"/>
    <w:rsid w:val="00570054"/>
    <w:rsid w:val="005700FC"/>
    <w:rsid w:val="005702F3"/>
    <w:rsid w:val="00570624"/>
    <w:rsid w:val="005710B5"/>
    <w:rsid w:val="005712AB"/>
    <w:rsid w:val="00571660"/>
    <w:rsid w:val="005720A1"/>
    <w:rsid w:val="0057283B"/>
    <w:rsid w:val="00572C9B"/>
    <w:rsid w:val="00572FED"/>
    <w:rsid w:val="005735E6"/>
    <w:rsid w:val="0057379C"/>
    <w:rsid w:val="0057387D"/>
    <w:rsid w:val="00573C83"/>
    <w:rsid w:val="00573CF1"/>
    <w:rsid w:val="00574769"/>
    <w:rsid w:val="00574E84"/>
    <w:rsid w:val="005750A2"/>
    <w:rsid w:val="0057548A"/>
    <w:rsid w:val="00575B51"/>
    <w:rsid w:val="00576178"/>
    <w:rsid w:val="005772DF"/>
    <w:rsid w:val="005777A9"/>
    <w:rsid w:val="0057789C"/>
    <w:rsid w:val="005800E8"/>
    <w:rsid w:val="0058024C"/>
    <w:rsid w:val="00580A75"/>
    <w:rsid w:val="005811B3"/>
    <w:rsid w:val="00581268"/>
    <w:rsid w:val="005819C5"/>
    <w:rsid w:val="00581E20"/>
    <w:rsid w:val="005821E3"/>
    <w:rsid w:val="005822D0"/>
    <w:rsid w:val="005824E9"/>
    <w:rsid w:val="00582B86"/>
    <w:rsid w:val="005837BD"/>
    <w:rsid w:val="00583B7A"/>
    <w:rsid w:val="0058464C"/>
    <w:rsid w:val="00584756"/>
    <w:rsid w:val="005848A3"/>
    <w:rsid w:val="00585045"/>
    <w:rsid w:val="005857B0"/>
    <w:rsid w:val="005860FD"/>
    <w:rsid w:val="00586664"/>
    <w:rsid w:val="00586BE9"/>
    <w:rsid w:val="00586E06"/>
    <w:rsid w:val="005871B6"/>
    <w:rsid w:val="00587590"/>
    <w:rsid w:val="00587AC3"/>
    <w:rsid w:val="00587EE4"/>
    <w:rsid w:val="00590091"/>
    <w:rsid w:val="0059072C"/>
    <w:rsid w:val="00590AE7"/>
    <w:rsid w:val="00590B48"/>
    <w:rsid w:val="00590F7F"/>
    <w:rsid w:val="005915D6"/>
    <w:rsid w:val="00591876"/>
    <w:rsid w:val="005919E9"/>
    <w:rsid w:val="00591A40"/>
    <w:rsid w:val="00591F96"/>
    <w:rsid w:val="00592628"/>
    <w:rsid w:val="0059356A"/>
    <w:rsid w:val="00593FB0"/>
    <w:rsid w:val="005941B4"/>
    <w:rsid w:val="005948C1"/>
    <w:rsid w:val="005948FB"/>
    <w:rsid w:val="00594F37"/>
    <w:rsid w:val="005957F4"/>
    <w:rsid w:val="00595E21"/>
    <w:rsid w:val="00595F69"/>
    <w:rsid w:val="0059604E"/>
    <w:rsid w:val="005960B2"/>
    <w:rsid w:val="00597103"/>
    <w:rsid w:val="00597441"/>
    <w:rsid w:val="00597525"/>
    <w:rsid w:val="00597604"/>
    <w:rsid w:val="005A0377"/>
    <w:rsid w:val="005A0888"/>
    <w:rsid w:val="005A1898"/>
    <w:rsid w:val="005A1959"/>
    <w:rsid w:val="005A1AFE"/>
    <w:rsid w:val="005A1B5D"/>
    <w:rsid w:val="005A29F3"/>
    <w:rsid w:val="005A2F63"/>
    <w:rsid w:val="005A2F6F"/>
    <w:rsid w:val="005A3CBE"/>
    <w:rsid w:val="005A3D0F"/>
    <w:rsid w:val="005A4249"/>
    <w:rsid w:val="005A4F40"/>
    <w:rsid w:val="005A5164"/>
    <w:rsid w:val="005A51FA"/>
    <w:rsid w:val="005A573D"/>
    <w:rsid w:val="005A5825"/>
    <w:rsid w:val="005A59F4"/>
    <w:rsid w:val="005A5B9A"/>
    <w:rsid w:val="005A5C27"/>
    <w:rsid w:val="005A5EEE"/>
    <w:rsid w:val="005A6B9B"/>
    <w:rsid w:val="005A7452"/>
    <w:rsid w:val="005A7708"/>
    <w:rsid w:val="005B078E"/>
    <w:rsid w:val="005B0F17"/>
    <w:rsid w:val="005B147F"/>
    <w:rsid w:val="005B1512"/>
    <w:rsid w:val="005B1827"/>
    <w:rsid w:val="005B1CD8"/>
    <w:rsid w:val="005B21D9"/>
    <w:rsid w:val="005B220E"/>
    <w:rsid w:val="005B2B2C"/>
    <w:rsid w:val="005B3629"/>
    <w:rsid w:val="005B368D"/>
    <w:rsid w:val="005B3E85"/>
    <w:rsid w:val="005B43A4"/>
    <w:rsid w:val="005B50B8"/>
    <w:rsid w:val="005B5340"/>
    <w:rsid w:val="005B5808"/>
    <w:rsid w:val="005B5A2F"/>
    <w:rsid w:val="005B5B2D"/>
    <w:rsid w:val="005B5BFC"/>
    <w:rsid w:val="005B5D09"/>
    <w:rsid w:val="005B64AD"/>
    <w:rsid w:val="005B64BC"/>
    <w:rsid w:val="005B7B77"/>
    <w:rsid w:val="005B7C09"/>
    <w:rsid w:val="005C031C"/>
    <w:rsid w:val="005C0969"/>
    <w:rsid w:val="005C09CB"/>
    <w:rsid w:val="005C138B"/>
    <w:rsid w:val="005C1BFC"/>
    <w:rsid w:val="005C221E"/>
    <w:rsid w:val="005C24FB"/>
    <w:rsid w:val="005C273E"/>
    <w:rsid w:val="005C2865"/>
    <w:rsid w:val="005C2E64"/>
    <w:rsid w:val="005C2FCF"/>
    <w:rsid w:val="005C3115"/>
    <w:rsid w:val="005C3588"/>
    <w:rsid w:val="005C3C86"/>
    <w:rsid w:val="005C3EDA"/>
    <w:rsid w:val="005C3F96"/>
    <w:rsid w:val="005C41F8"/>
    <w:rsid w:val="005C489D"/>
    <w:rsid w:val="005C4B0C"/>
    <w:rsid w:val="005C50EF"/>
    <w:rsid w:val="005C5538"/>
    <w:rsid w:val="005C5558"/>
    <w:rsid w:val="005C59CE"/>
    <w:rsid w:val="005C5B02"/>
    <w:rsid w:val="005C5B9B"/>
    <w:rsid w:val="005C5E22"/>
    <w:rsid w:val="005C5F99"/>
    <w:rsid w:val="005C6529"/>
    <w:rsid w:val="005C73BE"/>
    <w:rsid w:val="005D011B"/>
    <w:rsid w:val="005D027D"/>
    <w:rsid w:val="005D0521"/>
    <w:rsid w:val="005D08FD"/>
    <w:rsid w:val="005D0FA4"/>
    <w:rsid w:val="005D1B1B"/>
    <w:rsid w:val="005D1BED"/>
    <w:rsid w:val="005D1F76"/>
    <w:rsid w:val="005D1FFE"/>
    <w:rsid w:val="005D25EC"/>
    <w:rsid w:val="005D2ABC"/>
    <w:rsid w:val="005D2D13"/>
    <w:rsid w:val="005D30AF"/>
    <w:rsid w:val="005D3E81"/>
    <w:rsid w:val="005D5383"/>
    <w:rsid w:val="005D54CA"/>
    <w:rsid w:val="005D5717"/>
    <w:rsid w:val="005D5CD7"/>
    <w:rsid w:val="005D6827"/>
    <w:rsid w:val="005D69EA"/>
    <w:rsid w:val="005D6CE1"/>
    <w:rsid w:val="005D7D4E"/>
    <w:rsid w:val="005D7E17"/>
    <w:rsid w:val="005D7F0F"/>
    <w:rsid w:val="005D7FB3"/>
    <w:rsid w:val="005E00D8"/>
    <w:rsid w:val="005E019B"/>
    <w:rsid w:val="005E038B"/>
    <w:rsid w:val="005E052A"/>
    <w:rsid w:val="005E0EA4"/>
    <w:rsid w:val="005E11BC"/>
    <w:rsid w:val="005E1543"/>
    <w:rsid w:val="005E18EB"/>
    <w:rsid w:val="005E1A5B"/>
    <w:rsid w:val="005E1A8C"/>
    <w:rsid w:val="005E1D1F"/>
    <w:rsid w:val="005E20BF"/>
    <w:rsid w:val="005E2179"/>
    <w:rsid w:val="005E2647"/>
    <w:rsid w:val="005E28CB"/>
    <w:rsid w:val="005E29E2"/>
    <w:rsid w:val="005E3035"/>
    <w:rsid w:val="005E3EFB"/>
    <w:rsid w:val="005E412A"/>
    <w:rsid w:val="005E4789"/>
    <w:rsid w:val="005E47B8"/>
    <w:rsid w:val="005E55A6"/>
    <w:rsid w:val="005E56E6"/>
    <w:rsid w:val="005E59F7"/>
    <w:rsid w:val="005E61ED"/>
    <w:rsid w:val="005E6837"/>
    <w:rsid w:val="005E6B15"/>
    <w:rsid w:val="005E73F3"/>
    <w:rsid w:val="005E78EA"/>
    <w:rsid w:val="005E7CDE"/>
    <w:rsid w:val="005EACD7"/>
    <w:rsid w:val="005F11BF"/>
    <w:rsid w:val="005F128A"/>
    <w:rsid w:val="005F1373"/>
    <w:rsid w:val="005F1620"/>
    <w:rsid w:val="005F189F"/>
    <w:rsid w:val="005F2D1A"/>
    <w:rsid w:val="005F2E74"/>
    <w:rsid w:val="005F3386"/>
    <w:rsid w:val="005F37AC"/>
    <w:rsid w:val="005F4085"/>
    <w:rsid w:val="005F41F4"/>
    <w:rsid w:val="005F456D"/>
    <w:rsid w:val="005F58F6"/>
    <w:rsid w:val="005F5951"/>
    <w:rsid w:val="005F5BC1"/>
    <w:rsid w:val="005F5CA9"/>
    <w:rsid w:val="005F63CA"/>
    <w:rsid w:val="005F70AA"/>
    <w:rsid w:val="005F734A"/>
    <w:rsid w:val="005F7389"/>
    <w:rsid w:val="005F7636"/>
    <w:rsid w:val="005F78AB"/>
    <w:rsid w:val="005F7CD4"/>
    <w:rsid w:val="006001E3"/>
    <w:rsid w:val="00600B02"/>
    <w:rsid w:val="00600C7F"/>
    <w:rsid w:val="00600D22"/>
    <w:rsid w:val="00600EDA"/>
    <w:rsid w:val="00601127"/>
    <w:rsid w:val="00601444"/>
    <w:rsid w:val="006025A4"/>
    <w:rsid w:val="00602969"/>
    <w:rsid w:val="006029E0"/>
    <w:rsid w:val="00602DB7"/>
    <w:rsid w:val="00602EF3"/>
    <w:rsid w:val="0060325B"/>
    <w:rsid w:val="00603566"/>
    <w:rsid w:val="006036FD"/>
    <w:rsid w:val="00603CC4"/>
    <w:rsid w:val="00604112"/>
    <w:rsid w:val="006049B0"/>
    <w:rsid w:val="00604F01"/>
    <w:rsid w:val="0060582F"/>
    <w:rsid w:val="00606162"/>
    <w:rsid w:val="0060649D"/>
    <w:rsid w:val="0060668F"/>
    <w:rsid w:val="00606720"/>
    <w:rsid w:val="00606897"/>
    <w:rsid w:val="00607105"/>
    <w:rsid w:val="006107EF"/>
    <w:rsid w:val="006109F6"/>
    <w:rsid w:val="00610C19"/>
    <w:rsid w:val="00610E2F"/>
    <w:rsid w:val="00611437"/>
    <w:rsid w:val="006114DD"/>
    <w:rsid w:val="0061177B"/>
    <w:rsid w:val="006124DB"/>
    <w:rsid w:val="0061276B"/>
    <w:rsid w:val="00612AF4"/>
    <w:rsid w:val="0061362E"/>
    <w:rsid w:val="00613D37"/>
    <w:rsid w:val="0061472A"/>
    <w:rsid w:val="0061527F"/>
    <w:rsid w:val="00615341"/>
    <w:rsid w:val="0061588A"/>
    <w:rsid w:val="0061616D"/>
    <w:rsid w:val="00616347"/>
    <w:rsid w:val="006163AE"/>
    <w:rsid w:val="00616880"/>
    <w:rsid w:val="00616970"/>
    <w:rsid w:val="00616ADA"/>
    <w:rsid w:val="00616C16"/>
    <w:rsid w:val="00616D50"/>
    <w:rsid w:val="006175A7"/>
    <w:rsid w:val="00617CA1"/>
    <w:rsid w:val="00617ED4"/>
    <w:rsid w:val="00620036"/>
    <w:rsid w:val="006209B3"/>
    <w:rsid w:val="00621323"/>
    <w:rsid w:val="00621785"/>
    <w:rsid w:val="006220FA"/>
    <w:rsid w:val="00622298"/>
    <w:rsid w:val="00622793"/>
    <w:rsid w:val="00622A9D"/>
    <w:rsid w:val="006239C7"/>
    <w:rsid w:val="00623BE6"/>
    <w:rsid w:val="00623CE2"/>
    <w:rsid w:val="00624140"/>
    <w:rsid w:val="006242B0"/>
    <w:rsid w:val="0062454B"/>
    <w:rsid w:val="00624D20"/>
    <w:rsid w:val="0062516E"/>
    <w:rsid w:val="006252C6"/>
    <w:rsid w:val="0062576C"/>
    <w:rsid w:val="00626033"/>
    <w:rsid w:val="006267EF"/>
    <w:rsid w:val="00626CB4"/>
    <w:rsid w:val="006270D6"/>
    <w:rsid w:val="00627198"/>
    <w:rsid w:val="00627305"/>
    <w:rsid w:val="00630505"/>
    <w:rsid w:val="00630922"/>
    <w:rsid w:val="00630A9D"/>
    <w:rsid w:val="00630E11"/>
    <w:rsid w:val="00631143"/>
    <w:rsid w:val="00631459"/>
    <w:rsid w:val="00631C17"/>
    <w:rsid w:val="00632406"/>
    <w:rsid w:val="00632419"/>
    <w:rsid w:val="0063248E"/>
    <w:rsid w:val="006324CB"/>
    <w:rsid w:val="006328D5"/>
    <w:rsid w:val="00632CF0"/>
    <w:rsid w:val="00632E7D"/>
    <w:rsid w:val="006331B0"/>
    <w:rsid w:val="00633CB8"/>
    <w:rsid w:val="0063415D"/>
    <w:rsid w:val="00634366"/>
    <w:rsid w:val="00634394"/>
    <w:rsid w:val="00634539"/>
    <w:rsid w:val="006345B2"/>
    <w:rsid w:val="0063469E"/>
    <w:rsid w:val="00635A9C"/>
    <w:rsid w:val="006360DB"/>
    <w:rsid w:val="00636186"/>
    <w:rsid w:val="00636B85"/>
    <w:rsid w:val="00636BDD"/>
    <w:rsid w:val="00636C18"/>
    <w:rsid w:val="00636F1D"/>
    <w:rsid w:val="006375CA"/>
    <w:rsid w:val="006400CC"/>
    <w:rsid w:val="00640CBE"/>
    <w:rsid w:val="00640EE9"/>
    <w:rsid w:val="00640F22"/>
    <w:rsid w:val="00641554"/>
    <w:rsid w:val="006417B3"/>
    <w:rsid w:val="00641D64"/>
    <w:rsid w:val="0064202A"/>
    <w:rsid w:val="006429F8"/>
    <w:rsid w:val="00642F7C"/>
    <w:rsid w:val="00642FB5"/>
    <w:rsid w:val="00643DC9"/>
    <w:rsid w:val="006443E6"/>
    <w:rsid w:val="006448C0"/>
    <w:rsid w:val="0064506E"/>
    <w:rsid w:val="006452EC"/>
    <w:rsid w:val="00645734"/>
    <w:rsid w:val="006460B8"/>
    <w:rsid w:val="00646251"/>
    <w:rsid w:val="0064646B"/>
    <w:rsid w:val="00646DA1"/>
    <w:rsid w:val="006479EF"/>
    <w:rsid w:val="00650082"/>
    <w:rsid w:val="006509C7"/>
    <w:rsid w:val="00650CCE"/>
    <w:rsid w:val="00650E29"/>
    <w:rsid w:val="006514A3"/>
    <w:rsid w:val="006514B3"/>
    <w:rsid w:val="00651A62"/>
    <w:rsid w:val="006522C6"/>
    <w:rsid w:val="006529AA"/>
    <w:rsid w:val="006538A1"/>
    <w:rsid w:val="00653AB4"/>
    <w:rsid w:val="00654346"/>
    <w:rsid w:val="006545A7"/>
    <w:rsid w:val="00654605"/>
    <w:rsid w:val="00654707"/>
    <w:rsid w:val="00654A73"/>
    <w:rsid w:val="006551CE"/>
    <w:rsid w:val="006562A1"/>
    <w:rsid w:val="0065639F"/>
    <w:rsid w:val="006569E0"/>
    <w:rsid w:val="00656E60"/>
    <w:rsid w:val="00657231"/>
    <w:rsid w:val="00660015"/>
    <w:rsid w:val="0066010A"/>
    <w:rsid w:val="0066010E"/>
    <w:rsid w:val="00660D00"/>
    <w:rsid w:val="00661959"/>
    <w:rsid w:val="00662B2E"/>
    <w:rsid w:val="006632BE"/>
    <w:rsid w:val="00664D23"/>
    <w:rsid w:val="00665245"/>
    <w:rsid w:val="00665DD6"/>
    <w:rsid w:val="0066658E"/>
    <w:rsid w:val="006668D8"/>
    <w:rsid w:val="006669C6"/>
    <w:rsid w:val="00666A5E"/>
    <w:rsid w:val="00666D5A"/>
    <w:rsid w:val="006672E3"/>
    <w:rsid w:val="00667656"/>
    <w:rsid w:val="006676E5"/>
    <w:rsid w:val="00670051"/>
    <w:rsid w:val="006700D2"/>
    <w:rsid w:val="0067014C"/>
    <w:rsid w:val="006704B4"/>
    <w:rsid w:val="00670523"/>
    <w:rsid w:val="00670587"/>
    <w:rsid w:val="006705E2"/>
    <w:rsid w:val="00670FB0"/>
    <w:rsid w:val="00672D53"/>
    <w:rsid w:val="00672D7A"/>
    <w:rsid w:val="00673E69"/>
    <w:rsid w:val="0067419C"/>
    <w:rsid w:val="00674381"/>
    <w:rsid w:val="00675096"/>
    <w:rsid w:val="00675471"/>
    <w:rsid w:val="00675525"/>
    <w:rsid w:val="00675794"/>
    <w:rsid w:val="006759D3"/>
    <w:rsid w:val="006765F9"/>
    <w:rsid w:val="006775E3"/>
    <w:rsid w:val="00677AD4"/>
    <w:rsid w:val="00680321"/>
    <w:rsid w:val="00680333"/>
    <w:rsid w:val="00680E08"/>
    <w:rsid w:val="00681DA9"/>
    <w:rsid w:val="00681EBA"/>
    <w:rsid w:val="00682672"/>
    <w:rsid w:val="006831BC"/>
    <w:rsid w:val="00683C7D"/>
    <w:rsid w:val="00683C85"/>
    <w:rsid w:val="00684182"/>
    <w:rsid w:val="006845B7"/>
    <w:rsid w:val="006847C7"/>
    <w:rsid w:val="00684D9F"/>
    <w:rsid w:val="006856D8"/>
    <w:rsid w:val="00685BAD"/>
    <w:rsid w:val="00685C25"/>
    <w:rsid w:val="00686D1E"/>
    <w:rsid w:val="00686E4E"/>
    <w:rsid w:val="00686EC7"/>
    <w:rsid w:val="006875F5"/>
    <w:rsid w:val="006878BD"/>
    <w:rsid w:val="00687F36"/>
    <w:rsid w:val="00690C0D"/>
    <w:rsid w:val="00690F95"/>
    <w:rsid w:val="00691407"/>
    <w:rsid w:val="006915C5"/>
    <w:rsid w:val="00691E85"/>
    <w:rsid w:val="00692151"/>
    <w:rsid w:val="00692678"/>
    <w:rsid w:val="00692B5D"/>
    <w:rsid w:val="00693BEB"/>
    <w:rsid w:val="00693E90"/>
    <w:rsid w:val="00694247"/>
    <w:rsid w:val="00694365"/>
    <w:rsid w:val="0069437A"/>
    <w:rsid w:val="00694A16"/>
    <w:rsid w:val="00694E6C"/>
    <w:rsid w:val="00695011"/>
    <w:rsid w:val="00695463"/>
    <w:rsid w:val="00695EBE"/>
    <w:rsid w:val="0069606F"/>
    <w:rsid w:val="00696A62"/>
    <w:rsid w:val="00696E76"/>
    <w:rsid w:val="006970CD"/>
    <w:rsid w:val="00697198"/>
    <w:rsid w:val="0069724A"/>
    <w:rsid w:val="00697AE2"/>
    <w:rsid w:val="00699ED2"/>
    <w:rsid w:val="006A00E6"/>
    <w:rsid w:val="006A0185"/>
    <w:rsid w:val="006A01D7"/>
    <w:rsid w:val="006A18FC"/>
    <w:rsid w:val="006A19CB"/>
    <w:rsid w:val="006A1A8E"/>
    <w:rsid w:val="006A3073"/>
    <w:rsid w:val="006A39AD"/>
    <w:rsid w:val="006A3BA4"/>
    <w:rsid w:val="006A424B"/>
    <w:rsid w:val="006A4377"/>
    <w:rsid w:val="006A4E50"/>
    <w:rsid w:val="006A62A3"/>
    <w:rsid w:val="006A6EB1"/>
    <w:rsid w:val="006A6EF2"/>
    <w:rsid w:val="006A795B"/>
    <w:rsid w:val="006A7B6C"/>
    <w:rsid w:val="006B10B0"/>
    <w:rsid w:val="006B16CD"/>
    <w:rsid w:val="006B17C7"/>
    <w:rsid w:val="006B1BC5"/>
    <w:rsid w:val="006B22CB"/>
    <w:rsid w:val="006B2C36"/>
    <w:rsid w:val="006B2E9D"/>
    <w:rsid w:val="006B3318"/>
    <w:rsid w:val="006B4C20"/>
    <w:rsid w:val="006B4E8E"/>
    <w:rsid w:val="006B518D"/>
    <w:rsid w:val="006B5D93"/>
    <w:rsid w:val="006B5FC7"/>
    <w:rsid w:val="006B664F"/>
    <w:rsid w:val="006B72DC"/>
    <w:rsid w:val="006B7A71"/>
    <w:rsid w:val="006C0489"/>
    <w:rsid w:val="006C06E0"/>
    <w:rsid w:val="006C0A38"/>
    <w:rsid w:val="006C0DF1"/>
    <w:rsid w:val="006C116C"/>
    <w:rsid w:val="006C19FF"/>
    <w:rsid w:val="006C251A"/>
    <w:rsid w:val="006C34D8"/>
    <w:rsid w:val="006C36F5"/>
    <w:rsid w:val="006C4152"/>
    <w:rsid w:val="006C4B0D"/>
    <w:rsid w:val="006C4F83"/>
    <w:rsid w:val="006C510F"/>
    <w:rsid w:val="006C57C0"/>
    <w:rsid w:val="006C5C95"/>
    <w:rsid w:val="006C60B8"/>
    <w:rsid w:val="006C686D"/>
    <w:rsid w:val="006C6A5F"/>
    <w:rsid w:val="006C6E6F"/>
    <w:rsid w:val="006C70ED"/>
    <w:rsid w:val="006C7928"/>
    <w:rsid w:val="006D045D"/>
    <w:rsid w:val="006D05F8"/>
    <w:rsid w:val="006D070D"/>
    <w:rsid w:val="006D0859"/>
    <w:rsid w:val="006D0962"/>
    <w:rsid w:val="006D0EA4"/>
    <w:rsid w:val="006D173C"/>
    <w:rsid w:val="006D219A"/>
    <w:rsid w:val="006D2206"/>
    <w:rsid w:val="006D2C20"/>
    <w:rsid w:val="006D2E91"/>
    <w:rsid w:val="006D2FCF"/>
    <w:rsid w:val="006D3126"/>
    <w:rsid w:val="006D3407"/>
    <w:rsid w:val="006D34ED"/>
    <w:rsid w:val="006D3CB2"/>
    <w:rsid w:val="006D42CB"/>
    <w:rsid w:val="006D42F0"/>
    <w:rsid w:val="006D44D3"/>
    <w:rsid w:val="006D49F8"/>
    <w:rsid w:val="006D526E"/>
    <w:rsid w:val="006D52C6"/>
    <w:rsid w:val="006D5E2C"/>
    <w:rsid w:val="006D62B8"/>
    <w:rsid w:val="006D64A8"/>
    <w:rsid w:val="006D68FE"/>
    <w:rsid w:val="006D6C13"/>
    <w:rsid w:val="006D6E97"/>
    <w:rsid w:val="006D6EEE"/>
    <w:rsid w:val="006D6F0C"/>
    <w:rsid w:val="006D7281"/>
    <w:rsid w:val="006D73C3"/>
    <w:rsid w:val="006E02C8"/>
    <w:rsid w:val="006E0832"/>
    <w:rsid w:val="006E0EBB"/>
    <w:rsid w:val="006E11C5"/>
    <w:rsid w:val="006E156E"/>
    <w:rsid w:val="006E2139"/>
    <w:rsid w:val="006E2E15"/>
    <w:rsid w:val="006E2E96"/>
    <w:rsid w:val="006E2F70"/>
    <w:rsid w:val="006E30F6"/>
    <w:rsid w:val="006E31DC"/>
    <w:rsid w:val="006E36A5"/>
    <w:rsid w:val="006E440B"/>
    <w:rsid w:val="006E45C2"/>
    <w:rsid w:val="006E45CF"/>
    <w:rsid w:val="006E4ADC"/>
    <w:rsid w:val="006E53BE"/>
    <w:rsid w:val="006E5539"/>
    <w:rsid w:val="006E5B1C"/>
    <w:rsid w:val="006E5C41"/>
    <w:rsid w:val="006E6173"/>
    <w:rsid w:val="006E6431"/>
    <w:rsid w:val="006E6CC3"/>
    <w:rsid w:val="006E7134"/>
    <w:rsid w:val="006F01DD"/>
    <w:rsid w:val="006F10FB"/>
    <w:rsid w:val="006F1799"/>
    <w:rsid w:val="006F1912"/>
    <w:rsid w:val="006F22ED"/>
    <w:rsid w:val="006F2309"/>
    <w:rsid w:val="006F2969"/>
    <w:rsid w:val="006F2CB7"/>
    <w:rsid w:val="006F2FF7"/>
    <w:rsid w:val="006F376D"/>
    <w:rsid w:val="006F3A53"/>
    <w:rsid w:val="006F3EC2"/>
    <w:rsid w:val="006F46C2"/>
    <w:rsid w:val="006F4D78"/>
    <w:rsid w:val="006F511E"/>
    <w:rsid w:val="006F51F2"/>
    <w:rsid w:val="006F535A"/>
    <w:rsid w:val="006F5CBA"/>
    <w:rsid w:val="006F5D72"/>
    <w:rsid w:val="00700807"/>
    <w:rsid w:val="00700A60"/>
    <w:rsid w:val="007014BD"/>
    <w:rsid w:val="00701794"/>
    <w:rsid w:val="00701A74"/>
    <w:rsid w:val="00701C1A"/>
    <w:rsid w:val="00702254"/>
    <w:rsid w:val="00702538"/>
    <w:rsid w:val="007025D9"/>
    <w:rsid w:val="0070369D"/>
    <w:rsid w:val="007038D3"/>
    <w:rsid w:val="00704431"/>
    <w:rsid w:val="00704A2C"/>
    <w:rsid w:val="007052B7"/>
    <w:rsid w:val="00705A09"/>
    <w:rsid w:val="00706007"/>
    <w:rsid w:val="0070612F"/>
    <w:rsid w:val="007063CD"/>
    <w:rsid w:val="00707582"/>
    <w:rsid w:val="00710360"/>
    <w:rsid w:val="00710AC0"/>
    <w:rsid w:val="00711C80"/>
    <w:rsid w:val="00711D34"/>
    <w:rsid w:val="0071200B"/>
    <w:rsid w:val="007124EE"/>
    <w:rsid w:val="00712AF8"/>
    <w:rsid w:val="00713E8A"/>
    <w:rsid w:val="00714CC3"/>
    <w:rsid w:val="0071637B"/>
    <w:rsid w:val="00716505"/>
    <w:rsid w:val="00717BA1"/>
    <w:rsid w:val="0072002A"/>
    <w:rsid w:val="0072015A"/>
    <w:rsid w:val="00720230"/>
    <w:rsid w:val="00720865"/>
    <w:rsid w:val="007208D9"/>
    <w:rsid w:val="00720FD5"/>
    <w:rsid w:val="00721AFE"/>
    <w:rsid w:val="007221BC"/>
    <w:rsid w:val="00723121"/>
    <w:rsid w:val="007232E0"/>
    <w:rsid w:val="00723FC9"/>
    <w:rsid w:val="0072436A"/>
    <w:rsid w:val="007249B2"/>
    <w:rsid w:val="00724A9A"/>
    <w:rsid w:val="00725563"/>
    <w:rsid w:val="00725702"/>
    <w:rsid w:val="00725735"/>
    <w:rsid w:val="00725BBB"/>
    <w:rsid w:val="00725EBB"/>
    <w:rsid w:val="0072699A"/>
    <w:rsid w:val="007270F4"/>
    <w:rsid w:val="007301E3"/>
    <w:rsid w:val="00730248"/>
    <w:rsid w:val="007304BB"/>
    <w:rsid w:val="00730B67"/>
    <w:rsid w:val="00730D71"/>
    <w:rsid w:val="00730E10"/>
    <w:rsid w:val="0073105C"/>
    <w:rsid w:val="00731276"/>
    <w:rsid w:val="00731ECA"/>
    <w:rsid w:val="00732A6B"/>
    <w:rsid w:val="00732B01"/>
    <w:rsid w:val="00732BDF"/>
    <w:rsid w:val="00732C74"/>
    <w:rsid w:val="00732F5F"/>
    <w:rsid w:val="00733646"/>
    <w:rsid w:val="00733729"/>
    <w:rsid w:val="00733D36"/>
    <w:rsid w:val="007340FB"/>
    <w:rsid w:val="00734F14"/>
    <w:rsid w:val="00734F15"/>
    <w:rsid w:val="007354F7"/>
    <w:rsid w:val="00735C5A"/>
    <w:rsid w:val="00735DBE"/>
    <w:rsid w:val="00736D35"/>
    <w:rsid w:val="00736DD2"/>
    <w:rsid w:val="00737B21"/>
    <w:rsid w:val="00737E3B"/>
    <w:rsid w:val="0074017D"/>
    <w:rsid w:val="007408CB"/>
    <w:rsid w:val="007408CF"/>
    <w:rsid w:val="0074094B"/>
    <w:rsid w:val="00740F2A"/>
    <w:rsid w:val="00740FF9"/>
    <w:rsid w:val="0074103A"/>
    <w:rsid w:val="007424CC"/>
    <w:rsid w:val="007425DA"/>
    <w:rsid w:val="0074267A"/>
    <w:rsid w:val="007428D7"/>
    <w:rsid w:val="007429A0"/>
    <w:rsid w:val="007430A9"/>
    <w:rsid w:val="0074312B"/>
    <w:rsid w:val="007432D1"/>
    <w:rsid w:val="00744115"/>
    <w:rsid w:val="00744270"/>
    <w:rsid w:val="00744351"/>
    <w:rsid w:val="007443F6"/>
    <w:rsid w:val="00744FB2"/>
    <w:rsid w:val="007451D6"/>
    <w:rsid w:val="007453B6"/>
    <w:rsid w:val="007458FA"/>
    <w:rsid w:val="007467DE"/>
    <w:rsid w:val="00747710"/>
    <w:rsid w:val="00747E84"/>
    <w:rsid w:val="00750ADF"/>
    <w:rsid w:val="00751EB1"/>
    <w:rsid w:val="00752AD0"/>
    <w:rsid w:val="00753357"/>
    <w:rsid w:val="00753507"/>
    <w:rsid w:val="007540F7"/>
    <w:rsid w:val="00755256"/>
    <w:rsid w:val="007552AF"/>
    <w:rsid w:val="007552CC"/>
    <w:rsid w:val="00755735"/>
    <w:rsid w:val="00755907"/>
    <w:rsid w:val="00755BAD"/>
    <w:rsid w:val="00755BF2"/>
    <w:rsid w:val="007562DA"/>
    <w:rsid w:val="00756F46"/>
    <w:rsid w:val="00757561"/>
    <w:rsid w:val="0075756B"/>
    <w:rsid w:val="00757C70"/>
    <w:rsid w:val="0076059A"/>
    <w:rsid w:val="00761686"/>
    <w:rsid w:val="00761D7F"/>
    <w:rsid w:val="007627D2"/>
    <w:rsid w:val="0076288E"/>
    <w:rsid w:val="007628C4"/>
    <w:rsid w:val="00762A19"/>
    <w:rsid w:val="00762AE9"/>
    <w:rsid w:val="00762C7C"/>
    <w:rsid w:val="00762D62"/>
    <w:rsid w:val="00762FBE"/>
    <w:rsid w:val="007632FA"/>
    <w:rsid w:val="007634A9"/>
    <w:rsid w:val="0076356B"/>
    <w:rsid w:val="00763C75"/>
    <w:rsid w:val="0076429E"/>
    <w:rsid w:val="00764961"/>
    <w:rsid w:val="007651EA"/>
    <w:rsid w:val="00765654"/>
    <w:rsid w:val="00765A65"/>
    <w:rsid w:val="00765FDB"/>
    <w:rsid w:val="00766326"/>
    <w:rsid w:val="00766474"/>
    <w:rsid w:val="007664E4"/>
    <w:rsid w:val="00766960"/>
    <w:rsid w:val="00766A7A"/>
    <w:rsid w:val="00766E5C"/>
    <w:rsid w:val="00767D8F"/>
    <w:rsid w:val="0077010D"/>
    <w:rsid w:val="007702F3"/>
    <w:rsid w:val="007705E6"/>
    <w:rsid w:val="0077074E"/>
    <w:rsid w:val="00770A17"/>
    <w:rsid w:val="00770F0E"/>
    <w:rsid w:val="00771706"/>
    <w:rsid w:val="00771BAB"/>
    <w:rsid w:val="00771C54"/>
    <w:rsid w:val="0077252E"/>
    <w:rsid w:val="0077291F"/>
    <w:rsid w:val="00773082"/>
    <w:rsid w:val="007734CA"/>
    <w:rsid w:val="007740BD"/>
    <w:rsid w:val="007747BE"/>
    <w:rsid w:val="00774930"/>
    <w:rsid w:val="00775886"/>
    <w:rsid w:val="00775A03"/>
    <w:rsid w:val="00775BED"/>
    <w:rsid w:val="00775C0C"/>
    <w:rsid w:val="007768DF"/>
    <w:rsid w:val="007768FB"/>
    <w:rsid w:val="00776BE3"/>
    <w:rsid w:val="00776F99"/>
    <w:rsid w:val="007772CF"/>
    <w:rsid w:val="00777C40"/>
    <w:rsid w:val="00777C67"/>
    <w:rsid w:val="00777F05"/>
    <w:rsid w:val="007802AD"/>
    <w:rsid w:val="0078047F"/>
    <w:rsid w:val="00780B42"/>
    <w:rsid w:val="00780E29"/>
    <w:rsid w:val="00781075"/>
    <w:rsid w:val="00781203"/>
    <w:rsid w:val="00781312"/>
    <w:rsid w:val="00781BB8"/>
    <w:rsid w:val="00781C57"/>
    <w:rsid w:val="00781F73"/>
    <w:rsid w:val="00782874"/>
    <w:rsid w:val="007828E6"/>
    <w:rsid w:val="00782FF3"/>
    <w:rsid w:val="00783189"/>
    <w:rsid w:val="00783401"/>
    <w:rsid w:val="007834FF"/>
    <w:rsid w:val="007845E1"/>
    <w:rsid w:val="00784671"/>
    <w:rsid w:val="00784850"/>
    <w:rsid w:val="00784ACA"/>
    <w:rsid w:val="00784C55"/>
    <w:rsid w:val="00785927"/>
    <w:rsid w:val="00785958"/>
    <w:rsid w:val="00785982"/>
    <w:rsid w:val="00785AC7"/>
    <w:rsid w:val="00785B2E"/>
    <w:rsid w:val="0078692F"/>
    <w:rsid w:val="00787686"/>
    <w:rsid w:val="00787D5F"/>
    <w:rsid w:val="00787E50"/>
    <w:rsid w:val="0078AAFB"/>
    <w:rsid w:val="00790070"/>
    <w:rsid w:val="0079063F"/>
    <w:rsid w:val="00790FCB"/>
    <w:rsid w:val="007910C0"/>
    <w:rsid w:val="007912C1"/>
    <w:rsid w:val="00791776"/>
    <w:rsid w:val="007921B7"/>
    <w:rsid w:val="00792461"/>
    <w:rsid w:val="00793A23"/>
    <w:rsid w:val="00793D9F"/>
    <w:rsid w:val="00794C5A"/>
    <w:rsid w:val="007951F0"/>
    <w:rsid w:val="00795729"/>
    <w:rsid w:val="00795EF2"/>
    <w:rsid w:val="007968B8"/>
    <w:rsid w:val="00796B1B"/>
    <w:rsid w:val="00797409"/>
    <w:rsid w:val="007974DE"/>
    <w:rsid w:val="007A07D4"/>
    <w:rsid w:val="007A0B2C"/>
    <w:rsid w:val="007A0FEC"/>
    <w:rsid w:val="007A10F2"/>
    <w:rsid w:val="007A12C9"/>
    <w:rsid w:val="007A14C5"/>
    <w:rsid w:val="007A17BB"/>
    <w:rsid w:val="007A18D0"/>
    <w:rsid w:val="007A272C"/>
    <w:rsid w:val="007A27EA"/>
    <w:rsid w:val="007A2B3E"/>
    <w:rsid w:val="007A2EE6"/>
    <w:rsid w:val="007A36B6"/>
    <w:rsid w:val="007A36FA"/>
    <w:rsid w:val="007A38B7"/>
    <w:rsid w:val="007A3AC8"/>
    <w:rsid w:val="007A40E4"/>
    <w:rsid w:val="007A43FE"/>
    <w:rsid w:val="007A4524"/>
    <w:rsid w:val="007A456F"/>
    <w:rsid w:val="007A541F"/>
    <w:rsid w:val="007A5507"/>
    <w:rsid w:val="007A584C"/>
    <w:rsid w:val="007A6A2D"/>
    <w:rsid w:val="007A6B48"/>
    <w:rsid w:val="007A6D79"/>
    <w:rsid w:val="007A6EEF"/>
    <w:rsid w:val="007A6F52"/>
    <w:rsid w:val="007A71AC"/>
    <w:rsid w:val="007A72A4"/>
    <w:rsid w:val="007A7AF1"/>
    <w:rsid w:val="007B0510"/>
    <w:rsid w:val="007B09E0"/>
    <w:rsid w:val="007B0B63"/>
    <w:rsid w:val="007B0CB1"/>
    <w:rsid w:val="007B0D78"/>
    <w:rsid w:val="007B18D0"/>
    <w:rsid w:val="007B1997"/>
    <w:rsid w:val="007B1F3E"/>
    <w:rsid w:val="007B21AB"/>
    <w:rsid w:val="007B2B0E"/>
    <w:rsid w:val="007B2E9D"/>
    <w:rsid w:val="007B37DA"/>
    <w:rsid w:val="007B3AAF"/>
    <w:rsid w:val="007B56D8"/>
    <w:rsid w:val="007B5AA2"/>
    <w:rsid w:val="007B5C5D"/>
    <w:rsid w:val="007B5E8E"/>
    <w:rsid w:val="007B6843"/>
    <w:rsid w:val="007B701D"/>
    <w:rsid w:val="007B7166"/>
    <w:rsid w:val="007C0251"/>
    <w:rsid w:val="007C07F6"/>
    <w:rsid w:val="007C0A36"/>
    <w:rsid w:val="007C0B6B"/>
    <w:rsid w:val="007C0D75"/>
    <w:rsid w:val="007C126B"/>
    <w:rsid w:val="007C13B8"/>
    <w:rsid w:val="007C238F"/>
    <w:rsid w:val="007C2617"/>
    <w:rsid w:val="007C2FE3"/>
    <w:rsid w:val="007C3072"/>
    <w:rsid w:val="007C38C6"/>
    <w:rsid w:val="007C4915"/>
    <w:rsid w:val="007C4D6B"/>
    <w:rsid w:val="007C4FEE"/>
    <w:rsid w:val="007C6816"/>
    <w:rsid w:val="007C68B5"/>
    <w:rsid w:val="007C6E27"/>
    <w:rsid w:val="007C79A2"/>
    <w:rsid w:val="007C7A58"/>
    <w:rsid w:val="007C7BAA"/>
    <w:rsid w:val="007C7CF3"/>
    <w:rsid w:val="007D016D"/>
    <w:rsid w:val="007D02F7"/>
    <w:rsid w:val="007D0578"/>
    <w:rsid w:val="007D1457"/>
    <w:rsid w:val="007D1D5D"/>
    <w:rsid w:val="007D1FC5"/>
    <w:rsid w:val="007D2511"/>
    <w:rsid w:val="007D2813"/>
    <w:rsid w:val="007D354A"/>
    <w:rsid w:val="007D3AA0"/>
    <w:rsid w:val="007D4166"/>
    <w:rsid w:val="007D41D8"/>
    <w:rsid w:val="007D4D57"/>
    <w:rsid w:val="007D4FDA"/>
    <w:rsid w:val="007D524B"/>
    <w:rsid w:val="007D5AD8"/>
    <w:rsid w:val="007D6269"/>
    <w:rsid w:val="007D62F3"/>
    <w:rsid w:val="007D6425"/>
    <w:rsid w:val="007D6427"/>
    <w:rsid w:val="007D6701"/>
    <w:rsid w:val="007D68BD"/>
    <w:rsid w:val="007D721D"/>
    <w:rsid w:val="007D7523"/>
    <w:rsid w:val="007D7696"/>
    <w:rsid w:val="007E01B0"/>
    <w:rsid w:val="007E01D5"/>
    <w:rsid w:val="007E120E"/>
    <w:rsid w:val="007E1401"/>
    <w:rsid w:val="007E150E"/>
    <w:rsid w:val="007E192B"/>
    <w:rsid w:val="007E1F2B"/>
    <w:rsid w:val="007E2239"/>
    <w:rsid w:val="007E22F6"/>
    <w:rsid w:val="007E2EE4"/>
    <w:rsid w:val="007E3316"/>
    <w:rsid w:val="007E349B"/>
    <w:rsid w:val="007E38B0"/>
    <w:rsid w:val="007E3B00"/>
    <w:rsid w:val="007E48CF"/>
    <w:rsid w:val="007E4C5F"/>
    <w:rsid w:val="007E53B2"/>
    <w:rsid w:val="007E53CA"/>
    <w:rsid w:val="007E550A"/>
    <w:rsid w:val="007E5F77"/>
    <w:rsid w:val="007E5FDC"/>
    <w:rsid w:val="007E7B49"/>
    <w:rsid w:val="007F00FF"/>
    <w:rsid w:val="007F035B"/>
    <w:rsid w:val="007F147D"/>
    <w:rsid w:val="007F1897"/>
    <w:rsid w:val="007F1946"/>
    <w:rsid w:val="007F1A14"/>
    <w:rsid w:val="007F1C6A"/>
    <w:rsid w:val="007F1FBF"/>
    <w:rsid w:val="007F2395"/>
    <w:rsid w:val="007F2D88"/>
    <w:rsid w:val="007F2EFC"/>
    <w:rsid w:val="007F31B2"/>
    <w:rsid w:val="007F32AE"/>
    <w:rsid w:val="007F34B6"/>
    <w:rsid w:val="007F352D"/>
    <w:rsid w:val="007F446E"/>
    <w:rsid w:val="007F497E"/>
    <w:rsid w:val="007F549E"/>
    <w:rsid w:val="007F5A47"/>
    <w:rsid w:val="007F607A"/>
    <w:rsid w:val="007F685A"/>
    <w:rsid w:val="007F6D54"/>
    <w:rsid w:val="007F6FB1"/>
    <w:rsid w:val="007F71DF"/>
    <w:rsid w:val="007F7866"/>
    <w:rsid w:val="008001AF"/>
    <w:rsid w:val="0080076A"/>
    <w:rsid w:val="00800913"/>
    <w:rsid w:val="00800FAF"/>
    <w:rsid w:val="00801E1E"/>
    <w:rsid w:val="00801EB3"/>
    <w:rsid w:val="00802883"/>
    <w:rsid w:val="00802DE3"/>
    <w:rsid w:val="00803052"/>
    <w:rsid w:val="008033C2"/>
    <w:rsid w:val="0080342B"/>
    <w:rsid w:val="00803AF3"/>
    <w:rsid w:val="00803CBC"/>
    <w:rsid w:val="00803DB8"/>
    <w:rsid w:val="00804A25"/>
    <w:rsid w:val="00804AA4"/>
    <w:rsid w:val="008051F5"/>
    <w:rsid w:val="00805241"/>
    <w:rsid w:val="008052FE"/>
    <w:rsid w:val="00805780"/>
    <w:rsid w:val="00805BDC"/>
    <w:rsid w:val="00805FBE"/>
    <w:rsid w:val="00806A19"/>
    <w:rsid w:val="00806A3A"/>
    <w:rsid w:val="00807A01"/>
    <w:rsid w:val="00810570"/>
    <w:rsid w:val="0081075A"/>
    <w:rsid w:val="00811648"/>
    <w:rsid w:val="00812232"/>
    <w:rsid w:val="00812456"/>
    <w:rsid w:val="0081249B"/>
    <w:rsid w:val="00812AA1"/>
    <w:rsid w:val="008130F9"/>
    <w:rsid w:val="008131FA"/>
    <w:rsid w:val="008133C0"/>
    <w:rsid w:val="00814A3A"/>
    <w:rsid w:val="0081562E"/>
    <w:rsid w:val="00815A3E"/>
    <w:rsid w:val="008164E8"/>
    <w:rsid w:val="00816760"/>
    <w:rsid w:val="008169A7"/>
    <w:rsid w:val="00816E0F"/>
    <w:rsid w:val="008175A4"/>
    <w:rsid w:val="008175EA"/>
    <w:rsid w:val="008177EE"/>
    <w:rsid w:val="0082022E"/>
    <w:rsid w:val="00820871"/>
    <w:rsid w:val="00820BED"/>
    <w:rsid w:val="00821692"/>
    <w:rsid w:val="008218C0"/>
    <w:rsid w:val="00821B54"/>
    <w:rsid w:val="00822091"/>
    <w:rsid w:val="00822725"/>
    <w:rsid w:val="00822A6D"/>
    <w:rsid w:val="00823311"/>
    <w:rsid w:val="008234A8"/>
    <w:rsid w:val="008237CF"/>
    <w:rsid w:val="00823C2D"/>
    <w:rsid w:val="00823C69"/>
    <w:rsid w:val="008246E3"/>
    <w:rsid w:val="00824C52"/>
    <w:rsid w:val="00824F3A"/>
    <w:rsid w:val="008255DD"/>
    <w:rsid w:val="008259CF"/>
    <w:rsid w:val="00825E35"/>
    <w:rsid w:val="00826751"/>
    <w:rsid w:val="00826D57"/>
    <w:rsid w:val="008275CB"/>
    <w:rsid w:val="00827686"/>
    <w:rsid w:val="00827EC4"/>
    <w:rsid w:val="00827F63"/>
    <w:rsid w:val="008307F7"/>
    <w:rsid w:val="00830B14"/>
    <w:rsid w:val="00830CC4"/>
    <w:rsid w:val="008310B7"/>
    <w:rsid w:val="008314B1"/>
    <w:rsid w:val="0083168B"/>
    <w:rsid w:val="00831D33"/>
    <w:rsid w:val="00832D88"/>
    <w:rsid w:val="00832F6E"/>
    <w:rsid w:val="0083338D"/>
    <w:rsid w:val="00833722"/>
    <w:rsid w:val="00833FB6"/>
    <w:rsid w:val="00834784"/>
    <w:rsid w:val="00834B87"/>
    <w:rsid w:val="00834BC3"/>
    <w:rsid w:val="00835C61"/>
    <w:rsid w:val="008372CC"/>
    <w:rsid w:val="008373AE"/>
    <w:rsid w:val="008402AB"/>
    <w:rsid w:val="00840386"/>
    <w:rsid w:val="00840CCF"/>
    <w:rsid w:val="008416E9"/>
    <w:rsid w:val="00841CDA"/>
    <w:rsid w:val="00842FE7"/>
    <w:rsid w:val="00843AEC"/>
    <w:rsid w:val="00843C84"/>
    <w:rsid w:val="00843D91"/>
    <w:rsid w:val="00844265"/>
    <w:rsid w:val="00844277"/>
    <w:rsid w:val="00844434"/>
    <w:rsid w:val="00844F3B"/>
    <w:rsid w:val="008455EF"/>
    <w:rsid w:val="00845891"/>
    <w:rsid w:val="00845B1C"/>
    <w:rsid w:val="0084695A"/>
    <w:rsid w:val="00846B79"/>
    <w:rsid w:val="0084731A"/>
    <w:rsid w:val="00850295"/>
    <w:rsid w:val="008509C0"/>
    <w:rsid w:val="00850E16"/>
    <w:rsid w:val="00851752"/>
    <w:rsid w:val="0085190E"/>
    <w:rsid w:val="00852018"/>
    <w:rsid w:val="00852A73"/>
    <w:rsid w:val="0085353A"/>
    <w:rsid w:val="0085435E"/>
    <w:rsid w:val="008543E8"/>
    <w:rsid w:val="00854B77"/>
    <w:rsid w:val="008551EC"/>
    <w:rsid w:val="0085539A"/>
    <w:rsid w:val="00855B1C"/>
    <w:rsid w:val="00856121"/>
    <w:rsid w:val="00857A10"/>
    <w:rsid w:val="0086048E"/>
    <w:rsid w:val="00860AF0"/>
    <w:rsid w:val="00860FAC"/>
    <w:rsid w:val="008618B2"/>
    <w:rsid w:val="00862311"/>
    <w:rsid w:val="008626CE"/>
    <w:rsid w:val="00862760"/>
    <w:rsid w:val="008628FC"/>
    <w:rsid w:val="008637E0"/>
    <w:rsid w:val="00863A2D"/>
    <w:rsid w:val="008641B6"/>
    <w:rsid w:val="0086439D"/>
    <w:rsid w:val="00864CA0"/>
    <w:rsid w:val="00864CA6"/>
    <w:rsid w:val="00865476"/>
    <w:rsid w:val="00866A14"/>
    <w:rsid w:val="00866F8D"/>
    <w:rsid w:val="00867A25"/>
    <w:rsid w:val="00867A7A"/>
    <w:rsid w:val="008700BA"/>
    <w:rsid w:val="00870BF7"/>
    <w:rsid w:val="00871578"/>
    <w:rsid w:val="00871E1F"/>
    <w:rsid w:val="00872703"/>
    <w:rsid w:val="00873174"/>
    <w:rsid w:val="008731EC"/>
    <w:rsid w:val="0087351B"/>
    <w:rsid w:val="00873666"/>
    <w:rsid w:val="0087426E"/>
    <w:rsid w:val="00874736"/>
    <w:rsid w:val="008748B4"/>
    <w:rsid w:val="008751F6"/>
    <w:rsid w:val="00875CD5"/>
    <w:rsid w:val="00876572"/>
    <w:rsid w:val="00876854"/>
    <w:rsid w:val="00876986"/>
    <w:rsid w:val="008769F5"/>
    <w:rsid w:val="008770B1"/>
    <w:rsid w:val="00877714"/>
    <w:rsid w:val="008778CF"/>
    <w:rsid w:val="008804BC"/>
    <w:rsid w:val="00880599"/>
    <w:rsid w:val="00880887"/>
    <w:rsid w:val="00880D1A"/>
    <w:rsid w:val="00880D91"/>
    <w:rsid w:val="00880FB8"/>
    <w:rsid w:val="00881D81"/>
    <w:rsid w:val="00881E2C"/>
    <w:rsid w:val="0088290A"/>
    <w:rsid w:val="00882F2B"/>
    <w:rsid w:val="00882FC7"/>
    <w:rsid w:val="00883566"/>
    <w:rsid w:val="008838D6"/>
    <w:rsid w:val="00883CA2"/>
    <w:rsid w:val="00883F1C"/>
    <w:rsid w:val="008849FF"/>
    <w:rsid w:val="00884A4D"/>
    <w:rsid w:val="00884ED9"/>
    <w:rsid w:val="00884FC5"/>
    <w:rsid w:val="008850C1"/>
    <w:rsid w:val="0088535A"/>
    <w:rsid w:val="008856B7"/>
    <w:rsid w:val="008859AC"/>
    <w:rsid w:val="00885DB6"/>
    <w:rsid w:val="008869C8"/>
    <w:rsid w:val="00886AC3"/>
    <w:rsid w:val="00887C3B"/>
    <w:rsid w:val="008915E1"/>
    <w:rsid w:val="00892609"/>
    <w:rsid w:val="00893747"/>
    <w:rsid w:val="008939C8"/>
    <w:rsid w:val="00894304"/>
    <w:rsid w:val="0089499C"/>
    <w:rsid w:val="00894EC3"/>
    <w:rsid w:val="00895419"/>
    <w:rsid w:val="00895A47"/>
    <w:rsid w:val="00895C58"/>
    <w:rsid w:val="00896574"/>
    <w:rsid w:val="008965A2"/>
    <w:rsid w:val="00897398"/>
    <w:rsid w:val="008979C1"/>
    <w:rsid w:val="008A0025"/>
    <w:rsid w:val="008A1CC2"/>
    <w:rsid w:val="008A2094"/>
    <w:rsid w:val="008A2249"/>
    <w:rsid w:val="008A2B4E"/>
    <w:rsid w:val="008A333B"/>
    <w:rsid w:val="008A337D"/>
    <w:rsid w:val="008A338C"/>
    <w:rsid w:val="008A3734"/>
    <w:rsid w:val="008A377A"/>
    <w:rsid w:val="008A37BA"/>
    <w:rsid w:val="008A4178"/>
    <w:rsid w:val="008A4E18"/>
    <w:rsid w:val="008A571F"/>
    <w:rsid w:val="008A64F4"/>
    <w:rsid w:val="008A65C9"/>
    <w:rsid w:val="008A66FF"/>
    <w:rsid w:val="008A674D"/>
    <w:rsid w:val="008A6F51"/>
    <w:rsid w:val="008A7014"/>
    <w:rsid w:val="008A78EC"/>
    <w:rsid w:val="008A7991"/>
    <w:rsid w:val="008A7A01"/>
    <w:rsid w:val="008A7C07"/>
    <w:rsid w:val="008B0E67"/>
    <w:rsid w:val="008B10E4"/>
    <w:rsid w:val="008B11C9"/>
    <w:rsid w:val="008B1229"/>
    <w:rsid w:val="008B155F"/>
    <w:rsid w:val="008B1863"/>
    <w:rsid w:val="008B1BC6"/>
    <w:rsid w:val="008B21BA"/>
    <w:rsid w:val="008B2725"/>
    <w:rsid w:val="008B4189"/>
    <w:rsid w:val="008B5422"/>
    <w:rsid w:val="008B5500"/>
    <w:rsid w:val="008B5707"/>
    <w:rsid w:val="008B5B73"/>
    <w:rsid w:val="008B5F17"/>
    <w:rsid w:val="008B629B"/>
    <w:rsid w:val="008B6B71"/>
    <w:rsid w:val="008C0158"/>
    <w:rsid w:val="008C174F"/>
    <w:rsid w:val="008C193F"/>
    <w:rsid w:val="008C1AFB"/>
    <w:rsid w:val="008C2054"/>
    <w:rsid w:val="008C2362"/>
    <w:rsid w:val="008C2FEA"/>
    <w:rsid w:val="008C3F3A"/>
    <w:rsid w:val="008C4902"/>
    <w:rsid w:val="008C5042"/>
    <w:rsid w:val="008C5172"/>
    <w:rsid w:val="008C544B"/>
    <w:rsid w:val="008C560F"/>
    <w:rsid w:val="008C575A"/>
    <w:rsid w:val="008C57A1"/>
    <w:rsid w:val="008C5834"/>
    <w:rsid w:val="008C5C06"/>
    <w:rsid w:val="008C60B6"/>
    <w:rsid w:val="008C6BEC"/>
    <w:rsid w:val="008C708B"/>
    <w:rsid w:val="008D008D"/>
    <w:rsid w:val="008D0290"/>
    <w:rsid w:val="008D05F6"/>
    <w:rsid w:val="008D0875"/>
    <w:rsid w:val="008D08A6"/>
    <w:rsid w:val="008D0F02"/>
    <w:rsid w:val="008D1581"/>
    <w:rsid w:val="008D1BAD"/>
    <w:rsid w:val="008D1C55"/>
    <w:rsid w:val="008D23B5"/>
    <w:rsid w:val="008D276A"/>
    <w:rsid w:val="008D33E2"/>
    <w:rsid w:val="008D389F"/>
    <w:rsid w:val="008D4019"/>
    <w:rsid w:val="008D40EC"/>
    <w:rsid w:val="008D41B0"/>
    <w:rsid w:val="008D497A"/>
    <w:rsid w:val="008D5148"/>
    <w:rsid w:val="008D51F3"/>
    <w:rsid w:val="008D583B"/>
    <w:rsid w:val="008D7403"/>
    <w:rsid w:val="008E051D"/>
    <w:rsid w:val="008E0801"/>
    <w:rsid w:val="008E0F0B"/>
    <w:rsid w:val="008E0F34"/>
    <w:rsid w:val="008E1E03"/>
    <w:rsid w:val="008E20BD"/>
    <w:rsid w:val="008E23C7"/>
    <w:rsid w:val="008E2525"/>
    <w:rsid w:val="008E26DA"/>
    <w:rsid w:val="008E299B"/>
    <w:rsid w:val="008E2B3B"/>
    <w:rsid w:val="008E32B5"/>
    <w:rsid w:val="008E3723"/>
    <w:rsid w:val="008E3AFF"/>
    <w:rsid w:val="008E45C3"/>
    <w:rsid w:val="008E4A0D"/>
    <w:rsid w:val="008E5016"/>
    <w:rsid w:val="008E5082"/>
    <w:rsid w:val="008E7142"/>
    <w:rsid w:val="008E72F4"/>
    <w:rsid w:val="008E7E86"/>
    <w:rsid w:val="008F0619"/>
    <w:rsid w:val="008F093F"/>
    <w:rsid w:val="008F0AEB"/>
    <w:rsid w:val="008F0D9C"/>
    <w:rsid w:val="008F1150"/>
    <w:rsid w:val="008F1960"/>
    <w:rsid w:val="008F1B64"/>
    <w:rsid w:val="008F1EAB"/>
    <w:rsid w:val="008F2A12"/>
    <w:rsid w:val="008F3F80"/>
    <w:rsid w:val="008F431C"/>
    <w:rsid w:val="008F43B7"/>
    <w:rsid w:val="008F4901"/>
    <w:rsid w:val="008F5289"/>
    <w:rsid w:val="008F529A"/>
    <w:rsid w:val="008F5430"/>
    <w:rsid w:val="008F5E38"/>
    <w:rsid w:val="008F658C"/>
    <w:rsid w:val="008F6AD8"/>
    <w:rsid w:val="008F6B38"/>
    <w:rsid w:val="008F76B8"/>
    <w:rsid w:val="008F79E8"/>
    <w:rsid w:val="00900196"/>
    <w:rsid w:val="00900F33"/>
    <w:rsid w:val="0090108A"/>
    <w:rsid w:val="00901219"/>
    <w:rsid w:val="00901898"/>
    <w:rsid w:val="00901BA6"/>
    <w:rsid w:val="009030C7"/>
    <w:rsid w:val="009042CC"/>
    <w:rsid w:val="00904571"/>
    <w:rsid w:val="00904728"/>
    <w:rsid w:val="00905593"/>
    <w:rsid w:val="00906134"/>
    <w:rsid w:val="00907067"/>
    <w:rsid w:val="00907160"/>
    <w:rsid w:val="009076A8"/>
    <w:rsid w:val="00907BE0"/>
    <w:rsid w:val="00907EF2"/>
    <w:rsid w:val="009103A6"/>
    <w:rsid w:val="0091096D"/>
    <w:rsid w:val="00910D95"/>
    <w:rsid w:val="00910E80"/>
    <w:rsid w:val="009112E9"/>
    <w:rsid w:val="00912150"/>
    <w:rsid w:val="0091276C"/>
    <w:rsid w:val="009127A4"/>
    <w:rsid w:val="00912AE9"/>
    <w:rsid w:val="00913047"/>
    <w:rsid w:val="00913D5F"/>
    <w:rsid w:val="00913E54"/>
    <w:rsid w:val="00914A3B"/>
    <w:rsid w:val="00914B4B"/>
    <w:rsid w:val="00915005"/>
    <w:rsid w:val="009159B2"/>
    <w:rsid w:val="00915F9C"/>
    <w:rsid w:val="0091695C"/>
    <w:rsid w:val="00916A3B"/>
    <w:rsid w:val="00916CD2"/>
    <w:rsid w:val="009173C2"/>
    <w:rsid w:val="009179D3"/>
    <w:rsid w:val="00917B96"/>
    <w:rsid w:val="009201C6"/>
    <w:rsid w:val="00920265"/>
    <w:rsid w:val="009206B6"/>
    <w:rsid w:val="00920BBD"/>
    <w:rsid w:val="00921D13"/>
    <w:rsid w:val="0092202E"/>
    <w:rsid w:val="00922B5E"/>
    <w:rsid w:val="00922BEB"/>
    <w:rsid w:val="00922FA3"/>
    <w:rsid w:val="00925778"/>
    <w:rsid w:val="00925876"/>
    <w:rsid w:val="00925AAD"/>
    <w:rsid w:val="00925AC2"/>
    <w:rsid w:val="009262FA"/>
    <w:rsid w:val="0092646E"/>
    <w:rsid w:val="00926CE0"/>
    <w:rsid w:val="009310B5"/>
    <w:rsid w:val="00931611"/>
    <w:rsid w:val="00932146"/>
    <w:rsid w:val="009329AE"/>
    <w:rsid w:val="00932EAF"/>
    <w:rsid w:val="00933A7A"/>
    <w:rsid w:val="00933C53"/>
    <w:rsid w:val="009349CD"/>
    <w:rsid w:val="00934C04"/>
    <w:rsid w:val="00934C83"/>
    <w:rsid w:val="00935605"/>
    <w:rsid w:val="00935D60"/>
    <w:rsid w:val="00935E86"/>
    <w:rsid w:val="00936145"/>
    <w:rsid w:val="009364CC"/>
    <w:rsid w:val="009369AE"/>
    <w:rsid w:val="00936DD4"/>
    <w:rsid w:val="00937074"/>
    <w:rsid w:val="00937A92"/>
    <w:rsid w:val="00940500"/>
    <w:rsid w:val="00940912"/>
    <w:rsid w:val="00940C09"/>
    <w:rsid w:val="009414EE"/>
    <w:rsid w:val="00941B3B"/>
    <w:rsid w:val="00941FA4"/>
    <w:rsid w:val="00942D03"/>
    <w:rsid w:val="00943FB0"/>
    <w:rsid w:val="0094439D"/>
    <w:rsid w:val="00944AFA"/>
    <w:rsid w:val="00945139"/>
    <w:rsid w:val="009455EE"/>
    <w:rsid w:val="00945650"/>
    <w:rsid w:val="00945660"/>
    <w:rsid w:val="00945F62"/>
    <w:rsid w:val="00945FE2"/>
    <w:rsid w:val="0094621D"/>
    <w:rsid w:val="009463B5"/>
    <w:rsid w:val="0094679F"/>
    <w:rsid w:val="00946AE9"/>
    <w:rsid w:val="00946BF1"/>
    <w:rsid w:val="00947326"/>
    <w:rsid w:val="00947419"/>
    <w:rsid w:val="00947967"/>
    <w:rsid w:val="00947C7D"/>
    <w:rsid w:val="00950727"/>
    <w:rsid w:val="009507F9"/>
    <w:rsid w:val="009508E4"/>
    <w:rsid w:val="00950A2C"/>
    <w:rsid w:val="009511A4"/>
    <w:rsid w:val="00951446"/>
    <w:rsid w:val="00951FCE"/>
    <w:rsid w:val="00951FDB"/>
    <w:rsid w:val="00952073"/>
    <w:rsid w:val="009522DA"/>
    <w:rsid w:val="0095289D"/>
    <w:rsid w:val="00952C33"/>
    <w:rsid w:val="00953528"/>
    <w:rsid w:val="00953A83"/>
    <w:rsid w:val="00953E02"/>
    <w:rsid w:val="009541C1"/>
    <w:rsid w:val="00954323"/>
    <w:rsid w:val="00954685"/>
    <w:rsid w:val="00954BC2"/>
    <w:rsid w:val="0095520A"/>
    <w:rsid w:val="009553B7"/>
    <w:rsid w:val="00955566"/>
    <w:rsid w:val="00955901"/>
    <w:rsid w:val="00955D3F"/>
    <w:rsid w:val="00955EC0"/>
    <w:rsid w:val="009567B8"/>
    <w:rsid w:val="00956FB5"/>
    <w:rsid w:val="00957359"/>
    <w:rsid w:val="0095781C"/>
    <w:rsid w:val="00957E7E"/>
    <w:rsid w:val="009603A1"/>
    <w:rsid w:val="00960626"/>
    <w:rsid w:val="00960865"/>
    <w:rsid w:val="00960D34"/>
    <w:rsid w:val="009611D2"/>
    <w:rsid w:val="0096121A"/>
    <w:rsid w:val="009617CF"/>
    <w:rsid w:val="009621A0"/>
    <w:rsid w:val="0096279C"/>
    <w:rsid w:val="0096299C"/>
    <w:rsid w:val="00962BC2"/>
    <w:rsid w:val="0096417D"/>
    <w:rsid w:val="00964224"/>
    <w:rsid w:val="00964652"/>
    <w:rsid w:val="0096539E"/>
    <w:rsid w:val="0096696A"/>
    <w:rsid w:val="00966FF5"/>
    <w:rsid w:val="00967181"/>
    <w:rsid w:val="00967201"/>
    <w:rsid w:val="00967378"/>
    <w:rsid w:val="009673B5"/>
    <w:rsid w:val="00967C74"/>
    <w:rsid w:val="0097039B"/>
    <w:rsid w:val="00970718"/>
    <w:rsid w:val="009715A9"/>
    <w:rsid w:val="00971EC5"/>
    <w:rsid w:val="00971FDA"/>
    <w:rsid w:val="009722A8"/>
    <w:rsid w:val="009724C6"/>
    <w:rsid w:val="00972548"/>
    <w:rsid w:val="009728FF"/>
    <w:rsid w:val="009730B0"/>
    <w:rsid w:val="00973308"/>
    <w:rsid w:val="00974049"/>
    <w:rsid w:val="0097477A"/>
    <w:rsid w:val="00974888"/>
    <w:rsid w:val="009748B1"/>
    <w:rsid w:val="00974B47"/>
    <w:rsid w:val="00974D53"/>
    <w:rsid w:val="00974D5D"/>
    <w:rsid w:val="00975061"/>
    <w:rsid w:val="009750DC"/>
    <w:rsid w:val="00975298"/>
    <w:rsid w:val="009760C4"/>
    <w:rsid w:val="00976E27"/>
    <w:rsid w:val="009772A5"/>
    <w:rsid w:val="00977550"/>
    <w:rsid w:val="0097773B"/>
    <w:rsid w:val="00980465"/>
    <w:rsid w:val="009809C0"/>
    <w:rsid w:val="00980A75"/>
    <w:rsid w:val="00980A8D"/>
    <w:rsid w:val="00980B5D"/>
    <w:rsid w:val="00981173"/>
    <w:rsid w:val="009811E1"/>
    <w:rsid w:val="00981A75"/>
    <w:rsid w:val="00981ED2"/>
    <w:rsid w:val="00981F83"/>
    <w:rsid w:val="0098224D"/>
    <w:rsid w:val="00982863"/>
    <w:rsid w:val="00982F6D"/>
    <w:rsid w:val="00983417"/>
    <w:rsid w:val="009836E7"/>
    <w:rsid w:val="0098378C"/>
    <w:rsid w:val="00983C6A"/>
    <w:rsid w:val="00983F43"/>
    <w:rsid w:val="009841A8"/>
    <w:rsid w:val="00984708"/>
    <w:rsid w:val="00984B0D"/>
    <w:rsid w:val="00985574"/>
    <w:rsid w:val="009868BE"/>
    <w:rsid w:val="00986B64"/>
    <w:rsid w:val="00986EFA"/>
    <w:rsid w:val="00986F77"/>
    <w:rsid w:val="009873B8"/>
    <w:rsid w:val="009876A4"/>
    <w:rsid w:val="0098786C"/>
    <w:rsid w:val="00987D9B"/>
    <w:rsid w:val="0099043B"/>
    <w:rsid w:val="009917E9"/>
    <w:rsid w:val="00992416"/>
    <w:rsid w:val="00992700"/>
    <w:rsid w:val="009927BD"/>
    <w:rsid w:val="00992880"/>
    <w:rsid w:val="00992B5C"/>
    <w:rsid w:val="00992C81"/>
    <w:rsid w:val="00993789"/>
    <w:rsid w:val="00993A2C"/>
    <w:rsid w:val="00993B0F"/>
    <w:rsid w:val="00993E7A"/>
    <w:rsid w:val="00994B4C"/>
    <w:rsid w:val="00994F61"/>
    <w:rsid w:val="00996057"/>
    <w:rsid w:val="00996394"/>
    <w:rsid w:val="00996C89"/>
    <w:rsid w:val="009974D1"/>
    <w:rsid w:val="0099753E"/>
    <w:rsid w:val="009979B9"/>
    <w:rsid w:val="00997AA0"/>
    <w:rsid w:val="009A03C7"/>
    <w:rsid w:val="009A0584"/>
    <w:rsid w:val="009A0703"/>
    <w:rsid w:val="009A0932"/>
    <w:rsid w:val="009A09E1"/>
    <w:rsid w:val="009A1089"/>
    <w:rsid w:val="009A1399"/>
    <w:rsid w:val="009A19EF"/>
    <w:rsid w:val="009A22FD"/>
    <w:rsid w:val="009A25E5"/>
    <w:rsid w:val="009A2BF5"/>
    <w:rsid w:val="009A2ED6"/>
    <w:rsid w:val="009A31E7"/>
    <w:rsid w:val="009A3752"/>
    <w:rsid w:val="009A3B0F"/>
    <w:rsid w:val="009A3E20"/>
    <w:rsid w:val="009A546A"/>
    <w:rsid w:val="009A621C"/>
    <w:rsid w:val="009A6265"/>
    <w:rsid w:val="009A6478"/>
    <w:rsid w:val="009A6677"/>
    <w:rsid w:val="009A6C66"/>
    <w:rsid w:val="009A6EF9"/>
    <w:rsid w:val="009A7BBC"/>
    <w:rsid w:val="009B0564"/>
    <w:rsid w:val="009B08E7"/>
    <w:rsid w:val="009B1F5B"/>
    <w:rsid w:val="009B29B5"/>
    <w:rsid w:val="009B2A11"/>
    <w:rsid w:val="009B2E88"/>
    <w:rsid w:val="009B3662"/>
    <w:rsid w:val="009B46F2"/>
    <w:rsid w:val="009B48B7"/>
    <w:rsid w:val="009B544F"/>
    <w:rsid w:val="009B5581"/>
    <w:rsid w:val="009B5602"/>
    <w:rsid w:val="009B5940"/>
    <w:rsid w:val="009B61EC"/>
    <w:rsid w:val="009B63ED"/>
    <w:rsid w:val="009B6BA5"/>
    <w:rsid w:val="009B710D"/>
    <w:rsid w:val="009B7B81"/>
    <w:rsid w:val="009C098A"/>
    <w:rsid w:val="009C15DF"/>
    <w:rsid w:val="009C18D3"/>
    <w:rsid w:val="009C1CCC"/>
    <w:rsid w:val="009C1D87"/>
    <w:rsid w:val="009C1D8D"/>
    <w:rsid w:val="009C1F47"/>
    <w:rsid w:val="009C214F"/>
    <w:rsid w:val="009C34C6"/>
    <w:rsid w:val="009C3862"/>
    <w:rsid w:val="009C39F5"/>
    <w:rsid w:val="009C4171"/>
    <w:rsid w:val="009C475C"/>
    <w:rsid w:val="009C5249"/>
    <w:rsid w:val="009C5656"/>
    <w:rsid w:val="009C585A"/>
    <w:rsid w:val="009C5878"/>
    <w:rsid w:val="009C5C1F"/>
    <w:rsid w:val="009C60A5"/>
    <w:rsid w:val="009C60CA"/>
    <w:rsid w:val="009C64C5"/>
    <w:rsid w:val="009C67CA"/>
    <w:rsid w:val="009C6C67"/>
    <w:rsid w:val="009C75C9"/>
    <w:rsid w:val="009C7AAA"/>
    <w:rsid w:val="009C7D3F"/>
    <w:rsid w:val="009C7D7B"/>
    <w:rsid w:val="009D1492"/>
    <w:rsid w:val="009D169E"/>
    <w:rsid w:val="009D17E7"/>
    <w:rsid w:val="009D19C4"/>
    <w:rsid w:val="009D21E4"/>
    <w:rsid w:val="009D2602"/>
    <w:rsid w:val="009D3234"/>
    <w:rsid w:val="009D41B7"/>
    <w:rsid w:val="009D474D"/>
    <w:rsid w:val="009D5CA7"/>
    <w:rsid w:val="009D5F23"/>
    <w:rsid w:val="009D65CD"/>
    <w:rsid w:val="009D679A"/>
    <w:rsid w:val="009D68C3"/>
    <w:rsid w:val="009D6E2E"/>
    <w:rsid w:val="009D7298"/>
    <w:rsid w:val="009D7400"/>
    <w:rsid w:val="009D754D"/>
    <w:rsid w:val="009D7E1A"/>
    <w:rsid w:val="009E0330"/>
    <w:rsid w:val="009E03C7"/>
    <w:rsid w:val="009E0964"/>
    <w:rsid w:val="009E0DDA"/>
    <w:rsid w:val="009E0DFD"/>
    <w:rsid w:val="009E12B5"/>
    <w:rsid w:val="009E1A67"/>
    <w:rsid w:val="009E2390"/>
    <w:rsid w:val="009E2B14"/>
    <w:rsid w:val="009E3C1C"/>
    <w:rsid w:val="009E3ECF"/>
    <w:rsid w:val="009E3F6F"/>
    <w:rsid w:val="009E4EA1"/>
    <w:rsid w:val="009E5644"/>
    <w:rsid w:val="009E654A"/>
    <w:rsid w:val="009E657F"/>
    <w:rsid w:val="009E6ACB"/>
    <w:rsid w:val="009E6C1D"/>
    <w:rsid w:val="009E6ED7"/>
    <w:rsid w:val="009E7058"/>
    <w:rsid w:val="009E7368"/>
    <w:rsid w:val="009E77A6"/>
    <w:rsid w:val="009E7F03"/>
    <w:rsid w:val="009F0054"/>
    <w:rsid w:val="009F1043"/>
    <w:rsid w:val="009F1EF9"/>
    <w:rsid w:val="009F1F01"/>
    <w:rsid w:val="009F1FA3"/>
    <w:rsid w:val="009F235F"/>
    <w:rsid w:val="009F2D78"/>
    <w:rsid w:val="009F2E19"/>
    <w:rsid w:val="009F2EA4"/>
    <w:rsid w:val="009F36CA"/>
    <w:rsid w:val="009F3A13"/>
    <w:rsid w:val="009F4ED2"/>
    <w:rsid w:val="009F4F0F"/>
    <w:rsid w:val="009F4FE2"/>
    <w:rsid w:val="009F53EA"/>
    <w:rsid w:val="009F557F"/>
    <w:rsid w:val="009F5805"/>
    <w:rsid w:val="009F58F9"/>
    <w:rsid w:val="009F5AFD"/>
    <w:rsid w:val="009F6167"/>
    <w:rsid w:val="009F6DA3"/>
    <w:rsid w:val="009F752A"/>
    <w:rsid w:val="00A003BE"/>
    <w:rsid w:val="00A005DC"/>
    <w:rsid w:val="00A00826"/>
    <w:rsid w:val="00A00EE1"/>
    <w:rsid w:val="00A0106B"/>
    <w:rsid w:val="00A01581"/>
    <w:rsid w:val="00A019A5"/>
    <w:rsid w:val="00A01F82"/>
    <w:rsid w:val="00A022AB"/>
    <w:rsid w:val="00A02534"/>
    <w:rsid w:val="00A02B33"/>
    <w:rsid w:val="00A03435"/>
    <w:rsid w:val="00A0343E"/>
    <w:rsid w:val="00A03567"/>
    <w:rsid w:val="00A0385F"/>
    <w:rsid w:val="00A041C5"/>
    <w:rsid w:val="00A04629"/>
    <w:rsid w:val="00A04B08"/>
    <w:rsid w:val="00A0529D"/>
    <w:rsid w:val="00A053A0"/>
    <w:rsid w:val="00A05C65"/>
    <w:rsid w:val="00A060B8"/>
    <w:rsid w:val="00A06499"/>
    <w:rsid w:val="00A06577"/>
    <w:rsid w:val="00A06C2D"/>
    <w:rsid w:val="00A06D38"/>
    <w:rsid w:val="00A0706F"/>
    <w:rsid w:val="00A079D0"/>
    <w:rsid w:val="00A1002F"/>
    <w:rsid w:val="00A10306"/>
    <w:rsid w:val="00A107C9"/>
    <w:rsid w:val="00A10E07"/>
    <w:rsid w:val="00A11132"/>
    <w:rsid w:val="00A11756"/>
    <w:rsid w:val="00A11969"/>
    <w:rsid w:val="00A12787"/>
    <w:rsid w:val="00A12B38"/>
    <w:rsid w:val="00A13DAF"/>
    <w:rsid w:val="00A140CE"/>
    <w:rsid w:val="00A141A1"/>
    <w:rsid w:val="00A14211"/>
    <w:rsid w:val="00A146F0"/>
    <w:rsid w:val="00A15341"/>
    <w:rsid w:val="00A1537C"/>
    <w:rsid w:val="00A1575F"/>
    <w:rsid w:val="00A15767"/>
    <w:rsid w:val="00A157B9"/>
    <w:rsid w:val="00A158FB"/>
    <w:rsid w:val="00A16387"/>
    <w:rsid w:val="00A167B2"/>
    <w:rsid w:val="00A16BD4"/>
    <w:rsid w:val="00A1712E"/>
    <w:rsid w:val="00A17F2D"/>
    <w:rsid w:val="00A2011F"/>
    <w:rsid w:val="00A20224"/>
    <w:rsid w:val="00A20667"/>
    <w:rsid w:val="00A2087F"/>
    <w:rsid w:val="00A20A1E"/>
    <w:rsid w:val="00A20B08"/>
    <w:rsid w:val="00A210CD"/>
    <w:rsid w:val="00A217ED"/>
    <w:rsid w:val="00A21A67"/>
    <w:rsid w:val="00A2230D"/>
    <w:rsid w:val="00A22348"/>
    <w:rsid w:val="00A22C87"/>
    <w:rsid w:val="00A23863"/>
    <w:rsid w:val="00A243D6"/>
    <w:rsid w:val="00A24C62"/>
    <w:rsid w:val="00A254EC"/>
    <w:rsid w:val="00A25A3F"/>
    <w:rsid w:val="00A25F51"/>
    <w:rsid w:val="00A26182"/>
    <w:rsid w:val="00A2770F"/>
    <w:rsid w:val="00A279E4"/>
    <w:rsid w:val="00A30382"/>
    <w:rsid w:val="00A30716"/>
    <w:rsid w:val="00A30CA2"/>
    <w:rsid w:val="00A30CEC"/>
    <w:rsid w:val="00A30E1A"/>
    <w:rsid w:val="00A31972"/>
    <w:rsid w:val="00A319DA"/>
    <w:rsid w:val="00A32604"/>
    <w:rsid w:val="00A32EF3"/>
    <w:rsid w:val="00A3317E"/>
    <w:rsid w:val="00A33959"/>
    <w:rsid w:val="00A3443B"/>
    <w:rsid w:val="00A34C2E"/>
    <w:rsid w:val="00A351A7"/>
    <w:rsid w:val="00A352D7"/>
    <w:rsid w:val="00A35312"/>
    <w:rsid w:val="00A354C8"/>
    <w:rsid w:val="00A359B0"/>
    <w:rsid w:val="00A35F30"/>
    <w:rsid w:val="00A36CA7"/>
    <w:rsid w:val="00A36E3B"/>
    <w:rsid w:val="00A3724F"/>
    <w:rsid w:val="00A37D34"/>
    <w:rsid w:val="00A401B8"/>
    <w:rsid w:val="00A4053B"/>
    <w:rsid w:val="00A407E6"/>
    <w:rsid w:val="00A417AE"/>
    <w:rsid w:val="00A42412"/>
    <w:rsid w:val="00A42D5A"/>
    <w:rsid w:val="00A43345"/>
    <w:rsid w:val="00A43AA5"/>
    <w:rsid w:val="00A43AD7"/>
    <w:rsid w:val="00A4433D"/>
    <w:rsid w:val="00A445A6"/>
    <w:rsid w:val="00A44680"/>
    <w:rsid w:val="00A447E6"/>
    <w:rsid w:val="00A44946"/>
    <w:rsid w:val="00A44CD2"/>
    <w:rsid w:val="00A45785"/>
    <w:rsid w:val="00A45984"/>
    <w:rsid w:val="00A463E3"/>
    <w:rsid w:val="00A46A06"/>
    <w:rsid w:val="00A47683"/>
    <w:rsid w:val="00A47C44"/>
    <w:rsid w:val="00A50449"/>
    <w:rsid w:val="00A507E7"/>
    <w:rsid w:val="00A50AD6"/>
    <w:rsid w:val="00A50D0F"/>
    <w:rsid w:val="00A50E2B"/>
    <w:rsid w:val="00A51320"/>
    <w:rsid w:val="00A51495"/>
    <w:rsid w:val="00A52765"/>
    <w:rsid w:val="00A52907"/>
    <w:rsid w:val="00A5300E"/>
    <w:rsid w:val="00A53454"/>
    <w:rsid w:val="00A5383F"/>
    <w:rsid w:val="00A53B0A"/>
    <w:rsid w:val="00A53CA9"/>
    <w:rsid w:val="00A53DF3"/>
    <w:rsid w:val="00A54097"/>
    <w:rsid w:val="00A543EF"/>
    <w:rsid w:val="00A560C2"/>
    <w:rsid w:val="00A57661"/>
    <w:rsid w:val="00A57AE2"/>
    <w:rsid w:val="00A60352"/>
    <w:rsid w:val="00A60E34"/>
    <w:rsid w:val="00A60F93"/>
    <w:rsid w:val="00A61D65"/>
    <w:rsid w:val="00A62074"/>
    <w:rsid w:val="00A62606"/>
    <w:rsid w:val="00A62DED"/>
    <w:rsid w:val="00A62EA7"/>
    <w:rsid w:val="00A633CC"/>
    <w:rsid w:val="00A6350E"/>
    <w:rsid w:val="00A63522"/>
    <w:rsid w:val="00A63BCF"/>
    <w:rsid w:val="00A6459E"/>
    <w:rsid w:val="00A64686"/>
    <w:rsid w:val="00A64CAE"/>
    <w:rsid w:val="00A6578C"/>
    <w:rsid w:val="00A66A81"/>
    <w:rsid w:val="00A702AF"/>
    <w:rsid w:val="00A718B4"/>
    <w:rsid w:val="00A71A0A"/>
    <w:rsid w:val="00A71BEA"/>
    <w:rsid w:val="00A71CAA"/>
    <w:rsid w:val="00A71ED2"/>
    <w:rsid w:val="00A72227"/>
    <w:rsid w:val="00A723D3"/>
    <w:rsid w:val="00A7259F"/>
    <w:rsid w:val="00A7269A"/>
    <w:rsid w:val="00A72863"/>
    <w:rsid w:val="00A72CC1"/>
    <w:rsid w:val="00A72EC3"/>
    <w:rsid w:val="00A738F9"/>
    <w:rsid w:val="00A739EA"/>
    <w:rsid w:val="00A73AD4"/>
    <w:rsid w:val="00A73AF2"/>
    <w:rsid w:val="00A73E12"/>
    <w:rsid w:val="00A748F2"/>
    <w:rsid w:val="00A74939"/>
    <w:rsid w:val="00A750C8"/>
    <w:rsid w:val="00A7588F"/>
    <w:rsid w:val="00A75B9B"/>
    <w:rsid w:val="00A75FEF"/>
    <w:rsid w:val="00A76386"/>
    <w:rsid w:val="00A768DD"/>
    <w:rsid w:val="00A76AED"/>
    <w:rsid w:val="00A779C0"/>
    <w:rsid w:val="00A77AFB"/>
    <w:rsid w:val="00A77B4E"/>
    <w:rsid w:val="00A77B52"/>
    <w:rsid w:val="00A77BE7"/>
    <w:rsid w:val="00A80044"/>
    <w:rsid w:val="00A80312"/>
    <w:rsid w:val="00A807A3"/>
    <w:rsid w:val="00A80E40"/>
    <w:rsid w:val="00A8120F"/>
    <w:rsid w:val="00A81845"/>
    <w:rsid w:val="00A81F69"/>
    <w:rsid w:val="00A8271D"/>
    <w:rsid w:val="00A82B34"/>
    <w:rsid w:val="00A832AC"/>
    <w:rsid w:val="00A83611"/>
    <w:rsid w:val="00A84456"/>
    <w:rsid w:val="00A84B21"/>
    <w:rsid w:val="00A8580C"/>
    <w:rsid w:val="00A85A45"/>
    <w:rsid w:val="00A85CBB"/>
    <w:rsid w:val="00A85F3E"/>
    <w:rsid w:val="00A86A92"/>
    <w:rsid w:val="00A86A98"/>
    <w:rsid w:val="00A86CEB"/>
    <w:rsid w:val="00A9068B"/>
    <w:rsid w:val="00A90A3D"/>
    <w:rsid w:val="00A90AA2"/>
    <w:rsid w:val="00A90AA5"/>
    <w:rsid w:val="00A911A6"/>
    <w:rsid w:val="00A912BA"/>
    <w:rsid w:val="00A919EF"/>
    <w:rsid w:val="00A924F3"/>
    <w:rsid w:val="00A92AF0"/>
    <w:rsid w:val="00A92BF6"/>
    <w:rsid w:val="00A92F4A"/>
    <w:rsid w:val="00A93037"/>
    <w:rsid w:val="00A93FC7"/>
    <w:rsid w:val="00A94369"/>
    <w:rsid w:val="00A94619"/>
    <w:rsid w:val="00A9562F"/>
    <w:rsid w:val="00A963BC"/>
    <w:rsid w:val="00A96401"/>
    <w:rsid w:val="00A96678"/>
    <w:rsid w:val="00A975F1"/>
    <w:rsid w:val="00A97923"/>
    <w:rsid w:val="00AA074F"/>
    <w:rsid w:val="00AA0E31"/>
    <w:rsid w:val="00AA1803"/>
    <w:rsid w:val="00AA20EA"/>
    <w:rsid w:val="00AA41BD"/>
    <w:rsid w:val="00AA446F"/>
    <w:rsid w:val="00AA59A6"/>
    <w:rsid w:val="00AA6FAC"/>
    <w:rsid w:val="00AA739B"/>
    <w:rsid w:val="00AA74A1"/>
    <w:rsid w:val="00AA7A7E"/>
    <w:rsid w:val="00AA7CB4"/>
    <w:rsid w:val="00AA7F04"/>
    <w:rsid w:val="00AB04D1"/>
    <w:rsid w:val="00AB0D80"/>
    <w:rsid w:val="00AB1536"/>
    <w:rsid w:val="00AB1562"/>
    <w:rsid w:val="00AB16D9"/>
    <w:rsid w:val="00AB180D"/>
    <w:rsid w:val="00AB1C49"/>
    <w:rsid w:val="00AB1FC8"/>
    <w:rsid w:val="00AB25F9"/>
    <w:rsid w:val="00AB261D"/>
    <w:rsid w:val="00AB284D"/>
    <w:rsid w:val="00AB29D0"/>
    <w:rsid w:val="00AB2F02"/>
    <w:rsid w:val="00AB304E"/>
    <w:rsid w:val="00AB3BEA"/>
    <w:rsid w:val="00AB48C4"/>
    <w:rsid w:val="00AB5389"/>
    <w:rsid w:val="00AB5C0B"/>
    <w:rsid w:val="00AB5E99"/>
    <w:rsid w:val="00AB6650"/>
    <w:rsid w:val="00AB6C17"/>
    <w:rsid w:val="00AB7166"/>
    <w:rsid w:val="00AB72BB"/>
    <w:rsid w:val="00AB7A55"/>
    <w:rsid w:val="00AC090E"/>
    <w:rsid w:val="00AC0A59"/>
    <w:rsid w:val="00AC0A9D"/>
    <w:rsid w:val="00AC0C9E"/>
    <w:rsid w:val="00AC0E3C"/>
    <w:rsid w:val="00AC10CD"/>
    <w:rsid w:val="00AC1831"/>
    <w:rsid w:val="00AC18C2"/>
    <w:rsid w:val="00AC1C5E"/>
    <w:rsid w:val="00AC20C0"/>
    <w:rsid w:val="00AC22F3"/>
    <w:rsid w:val="00AC2876"/>
    <w:rsid w:val="00AC2A94"/>
    <w:rsid w:val="00AC2D57"/>
    <w:rsid w:val="00AC3349"/>
    <w:rsid w:val="00AC33C8"/>
    <w:rsid w:val="00AC4480"/>
    <w:rsid w:val="00AC449A"/>
    <w:rsid w:val="00AC4631"/>
    <w:rsid w:val="00AC4C13"/>
    <w:rsid w:val="00AC4C74"/>
    <w:rsid w:val="00AC4CD2"/>
    <w:rsid w:val="00AC5AA9"/>
    <w:rsid w:val="00AC5D5B"/>
    <w:rsid w:val="00AC5FED"/>
    <w:rsid w:val="00AC6225"/>
    <w:rsid w:val="00AC63B8"/>
    <w:rsid w:val="00AC7BE1"/>
    <w:rsid w:val="00AD0488"/>
    <w:rsid w:val="00AD059B"/>
    <w:rsid w:val="00AD102A"/>
    <w:rsid w:val="00AD1461"/>
    <w:rsid w:val="00AD1502"/>
    <w:rsid w:val="00AD1796"/>
    <w:rsid w:val="00AD1974"/>
    <w:rsid w:val="00AD2353"/>
    <w:rsid w:val="00AD239A"/>
    <w:rsid w:val="00AD26D4"/>
    <w:rsid w:val="00AD3102"/>
    <w:rsid w:val="00AD3EDC"/>
    <w:rsid w:val="00AD3FC3"/>
    <w:rsid w:val="00AD4AAE"/>
    <w:rsid w:val="00AD4BF1"/>
    <w:rsid w:val="00AD505E"/>
    <w:rsid w:val="00AD5CCC"/>
    <w:rsid w:val="00AD6558"/>
    <w:rsid w:val="00AD6CC5"/>
    <w:rsid w:val="00AD713A"/>
    <w:rsid w:val="00AD7860"/>
    <w:rsid w:val="00AD79C8"/>
    <w:rsid w:val="00AD7B5D"/>
    <w:rsid w:val="00AD7E0B"/>
    <w:rsid w:val="00AE0BAF"/>
    <w:rsid w:val="00AE0E58"/>
    <w:rsid w:val="00AE1086"/>
    <w:rsid w:val="00AE1511"/>
    <w:rsid w:val="00AE1B2B"/>
    <w:rsid w:val="00AE201D"/>
    <w:rsid w:val="00AE21F5"/>
    <w:rsid w:val="00AE2D8C"/>
    <w:rsid w:val="00AE3C9B"/>
    <w:rsid w:val="00AE47A8"/>
    <w:rsid w:val="00AE507E"/>
    <w:rsid w:val="00AE5525"/>
    <w:rsid w:val="00AE570D"/>
    <w:rsid w:val="00AE594A"/>
    <w:rsid w:val="00AE59DC"/>
    <w:rsid w:val="00AE75F5"/>
    <w:rsid w:val="00AE77C3"/>
    <w:rsid w:val="00AE7AA9"/>
    <w:rsid w:val="00AE7D74"/>
    <w:rsid w:val="00AE7F29"/>
    <w:rsid w:val="00AF0189"/>
    <w:rsid w:val="00AF02E6"/>
    <w:rsid w:val="00AF031A"/>
    <w:rsid w:val="00AF05A9"/>
    <w:rsid w:val="00AF061D"/>
    <w:rsid w:val="00AF12CE"/>
    <w:rsid w:val="00AF1385"/>
    <w:rsid w:val="00AF1CCD"/>
    <w:rsid w:val="00AF1FC0"/>
    <w:rsid w:val="00AF296A"/>
    <w:rsid w:val="00AF2A2F"/>
    <w:rsid w:val="00AF3FE0"/>
    <w:rsid w:val="00AF45EB"/>
    <w:rsid w:val="00AF4794"/>
    <w:rsid w:val="00AF55B9"/>
    <w:rsid w:val="00AF583E"/>
    <w:rsid w:val="00AF695E"/>
    <w:rsid w:val="00AF6C12"/>
    <w:rsid w:val="00AF7191"/>
    <w:rsid w:val="00AF7C74"/>
    <w:rsid w:val="00B001EB"/>
    <w:rsid w:val="00B004D7"/>
    <w:rsid w:val="00B00586"/>
    <w:rsid w:val="00B00709"/>
    <w:rsid w:val="00B00736"/>
    <w:rsid w:val="00B00972"/>
    <w:rsid w:val="00B0098B"/>
    <w:rsid w:val="00B009AE"/>
    <w:rsid w:val="00B0144C"/>
    <w:rsid w:val="00B01875"/>
    <w:rsid w:val="00B01A2C"/>
    <w:rsid w:val="00B01AE1"/>
    <w:rsid w:val="00B01B47"/>
    <w:rsid w:val="00B01E98"/>
    <w:rsid w:val="00B02482"/>
    <w:rsid w:val="00B0271B"/>
    <w:rsid w:val="00B0398B"/>
    <w:rsid w:val="00B0417B"/>
    <w:rsid w:val="00B041BF"/>
    <w:rsid w:val="00B04E0D"/>
    <w:rsid w:val="00B05305"/>
    <w:rsid w:val="00B05DBC"/>
    <w:rsid w:val="00B06956"/>
    <w:rsid w:val="00B06B70"/>
    <w:rsid w:val="00B06E16"/>
    <w:rsid w:val="00B10155"/>
    <w:rsid w:val="00B10221"/>
    <w:rsid w:val="00B106D4"/>
    <w:rsid w:val="00B1119B"/>
    <w:rsid w:val="00B118F3"/>
    <w:rsid w:val="00B1218C"/>
    <w:rsid w:val="00B122E2"/>
    <w:rsid w:val="00B1283C"/>
    <w:rsid w:val="00B12A18"/>
    <w:rsid w:val="00B12BBD"/>
    <w:rsid w:val="00B12FBB"/>
    <w:rsid w:val="00B13A6A"/>
    <w:rsid w:val="00B144D6"/>
    <w:rsid w:val="00B145C0"/>
    <w:rsid w:val="00B14E7E"/>
    <w:rsid w:val="00B155AE"/>
    <w:rsid w:val="00B15B85"/>
    <w:rsid w:val="00B15D21"/>
    <w:rsid w:val="00B16A33"/>
    <w:rsid w:val="00B17AC0"/>
    <w:rsid w:val="00B17B7B"/>
    <w:rsid w:val="00B17D41"/>
    <w:rsid w:val="00B206EF"/>
    <w:rsid w:val="00B20A25"/>
    <w:rsid w:val="00B20A5F"/>
    <w:rsid w:val="00B21333"/>
    <w:rsid w:val="00B21B0D"/>
    <w:rsid w:val="00B2213D"/>
    <w:rsid w:val="00B22ABD"/>
    <w:rsid w:val="00B22F72"/>
    <w:rsid w:val="00B23352"/>
    <w:rsid w:val="00B239DD"/>
    <w:rsid w:val="00B24527"/>
    <w:rsid w:val="00B246A2"/>
    <w:rsid w:val="00B2483B"/>
    <w:rsid w:val="00B24AD9"/>
    <w:rsid w:val="00B258B5"/>
    <w:rsid w:val="00B25959"/>
    <w:rsid w:val="00B267CA"/>
    <w:rsid w:val="00B30BD3"/>
    <w:rsid w:val="00B30F60"/>
    <w:rsid w:val="00B31621"/>
    <w:rsid w:val="00B318BE"/>
    <w:rsid w:val="00B318D4"/>
    <w:rsid w:val="00B31A3A"/>
    <w:rsid w:val="00B31D8D"/>
    <w:rsid w:val="00B32790"/>
    <w:rsid w:val="00B32A7C"/>
    <w:rsid w:val="00B3572E"/>
    <w:rsid w:val="00B35779"/>
    <w:rsid w:val="00B35ADC"/>
    <w:rsid w:val="00B37EEB"/>
    <w:rsid w:val="00B40734"/>
    <w:rsid w:val="00B408C4"/>
    <w:rsid w:val="00B40C90"/>
    <w:rsid w:val="00B40EEA"/>
    <w:rsid w:val="00B417FD"/>
    <w:rsid w:val="00B41BD9"/>
    <w:rsid w:val="00B41CA1"/>
    <w:rsid w:val="00B41FAA"/>
    <w:rsid w:val="00B4200A"/>
    <w:rsid w:val="00B42FBE"/>
    <w:rsid w:val="00B43321"/>
    <w:rsid w:val="00B433E2"/>
    <w:rsid w:val="00B43F3E"/>
    <w:rsid w:val="00B44AF5"/>
    <w:rsid w:val="00B44EFF"/>
    <w:rsid w:val="00B45415"/>
    <w:rsid w:val="00B457DA"/>
    <w:rsid w:val="00B45C22"/>
    <w:rsid w:val="00B46F12"/>
    <w:rsid w:val="00B46FAE"/>
    <w:rsid w:val="00B5037E"/>
    <w:rsid w:val="00B507BA"/>
    <w:rsid w:val="00B50AF9"/>
    <w:rsid w:val="00B5112D"/>
    <w:rsid w:val="00B5134D"/>
    <w:rsid w:val="00B516F5"/>
    <w:rsid w:val="00B51843"/>
    <w:rsid w:val="00B523C3"/>
    <w:rsid w:val="00B53827"/>
    <w:rsid w:val="00B53D73"/>
    <w:rsid w:val="00B5413B"/>
    <w:rsid w:val="00B54341"/>
    <w:rsid w:val="00B54B74"/>
    <w:rsid w:val="00B54D4D"/>
    <w:rsid w:val="00B5507F"/>
    <w:rsid w:val="00B55204"/>
    <w:rsid w:val="00B559F2"/>
    <w:rsid w:val="00B55D0F"/>
    <w:rsid w:val="00B55E7C"/>
    <w:rsid w:val="00B57099"/>
    <w:rsid w:val="00B57130"/>
    <w:rsid w:val="00B577C3"/>
    <w:rsid w:val="00B57816"/>
    <w:rsid w:val="00B57D82"/>
    <w:rsid w:val="00B6087C"/>
    <w:rsid w:val="00B60E4E"/>
    <w:rsid w:val="00B61973"/>
    <w:rsid w:val="00B61B72"/>
    <w:rsid w:val="00B61ED6"/>
    <w:rsid w:val="00B61F93"/>
    <w:rsid w:val="00B62938"/>
    <w:rsid w:val="00B62BDD"/>
    <w:rsid w:val="00B62E41"/>
    <w:rsid w:val="00B633DF"/>
    <w:rsid w:val="00B6403E"/>
    <w:rsid w:val="00B65A5D"/>
    <w:rsid w:val="00B65E5A"/>
    <w:rsid w:val="00B65F42"/>
    <w:rsid w:val="00B666DC"/>
    <w:rsid w:val="00B66C2A"/>
    <w:rsid w:val="00B6741C"/>
    <w:rsid w:val="00B67953"/>
    <w:rsid w:val="00B67D6D"/>
    <w:rsid w:val="00B701BC"/>
    <w:rsid w:val="00B70AD6"/>
    <w:rsid w:val="00B70B57"/>
    <w:rsid w:val="00B70F8C"/>
    <w:rsid w:val="00B710C6"/>
    <w:rsid w:val="00B71310"/>
    <w:rsid w:val="00B71940"/>
    <w:rsid w:val="00B71A27"/>
    <w:rsid w:val="00B71E73"/>
    <w:rsid w:val="00B72573"/>
    <w:rsid w:val="00B72D36"/>
    <w:rsid w:val="00B735E5"/>
    <w:rsid w:val="00B735F1"/>
    <w:rsid w:val="00B742E5"/>
    <w:rsid w:val="00B743E8"/>
    <w:rsid w:val="00B7451E"/>
    <w:rsid w:val="00B74B9D"/>
    <w:rsid w:val="00B75BC0"/>
    <w:rsid w:val="00B75EB4"/>
    <w:rsid w:val="00B75FEC"/>
    <w:rsid w:val="00B75FF3"/>
    <w:rsid w:val="00B76239"/>
    <w:rsid w:val="00B77141"/>
    <w:rsid w:val="00B774B3"/>
    <w:rsid w:val="00B775F5"/>
    <w:rsid w:val="00B808E4"/>
    <w:rsid w:val="00B80D64"/>
    <w:rsid w:val="00B80D86"/>
    <w:rsid w:val="00B810C9"/>
    <w:rsid w:val="00B81A7D"/>
    <w:rsid w:val="00B82263"/>
    <w:rsid w:val="00B823A3"/>
    <w:rsid w:val="00B829CD"/>
    <w:rsid w:val="00B82BD8"/>
    <w:rsid w:val="00B82E66"/>
    <w:rsid w:val="00B82F6D"/>
    <w:rsid w:val="00B830BB"/>
    <w:rsid w:val="00B8339D"/>
    <w:rsid w:val="00B83729"/>
    <w:rsid w:val="00B839FB"/>
    <w:rsid w:val="00B83C35"/>
    <w:rsid w:val="00B83DFF"/>
    <w:rsid w:val="00B84407"/>
    <w:rsid w:val="00B849AE"/>
    <w:rsid w:val="00B84A9F"/>
    <w:rsid w:val="00B85891"/>
    <w:rsid w:val="00B85C12"/>
    <w:rsid w:val="00B860A3"/>
    <w:rsid w:val="00B8620B"/>
    <w:rsid w:val="00B86473"/>
    <w:rsid w:val="00B864BE"/>
    <w:rsid w:val="00B86BDA"/>
    <w:rsid w:val="00B87CD8"/>
    <w:rsid w:val="00B906D1"/>
    <w:rsid w:val="00B909F2"/>
    <w:rsid w:val="00B90E8B"/>
    <w:rsid w:val="00B911CC"/>
    <w:rsid w:val="00B91326"/>
    <w:rsid w:val="00B9156F"/>
    <w:rsid w:val="00B928DE"/>
    <w:rsid w:val="00B92912"/>
    <w:rsid w:val="00B92B00"/>
    <w:rsid w:val="00B92BEA"/>
    <w:rsid w:val="00B92D76"/>
    <w:rsid w:val="00B92F44"/>
    <w:rsid w:val="00B93580"/>
    <w:rsid w:val="00B9386C"/>
    <w:rsid w:val="00B94B28"/>
    <w:rsid w:val="00B95605"/>
    <w:rsid w:val="00B956AD"/>
    <w:rsid w:val="00B957B1"/>
    <w:rsid w:val="00B958AC"/>
    <w:rsid w:val="00B95907"/>
    <w:rsid w:val="00B9628B"/>
    <w:rsid w:val="00B968AA"/>
    <w:rsid w:val="00B96B03"/>
    <w:rsid w:val="00B96B6A"/>
    <w:rsid w:val="00B96FAE"/>
    <w:rsid w:val="00B97332"/>
    <w:rsid w:val="00B97C9B"/>
    <w:rsid w:val="00B9AE0F"/>
    <w:rsid w:val="00BA0943"/>
    <w:rsid w:val="00BA0C81"/>
    <w:rsid w:val="00BA1F04"/>
    <w:rsid w:val="00BA21E1"/>
    <w:rsid w:val="00BA23ED"/>
    <w:rsid w:val="00BA2A27"/>
    <w:rsid w:val="00BA2D3F"/>
    <w:rsid w:val="00BA2E21"/>
    <w:rsid w:val="00BA311C"/>
    <w:rsid w:val="00BA423F"/>
    <w:rsid w:val="00BA4822"/>
    <w:rsid w:val="00BA4AEF"/>
    <w:rsid w:val="00BA5A66"/>
    <w:rsid w:val="00BA64E8"/>
    <w:rsid w:val="00BA6512"/>
    <w:rsid w:val="00BA6D9C"/>
    <w:rsid w:val="00BA6E4A"/>
    <w:rsid w:val="00BA7055"/>
    <w:rsid w:val="00BA7132"/>
    <w:rsid w:val="00BA75BB"/>
    <w:rsid w:val="00BA7CD8"/>
    <w:rsid w:val="00BB0313"/>
    <w:rsid w:val="00BB0343"/>
    <w:rsid w:val="00BB09F8"/>
    <w:rsid w:val="00BB0DDB"/>
    <w:rsid w:val="00BB131D"/>
    <w:rsid w:val="00BB1B16"/>
    <w:rsid w:val="00BB235B"/>
    <w:rsid w:val="00BB2776"/>
    <w:rsid w:val="00BB27EB"/>
    <w:rsid w:val="00BB27F4"/>
    <w:rsid w:val="00BB344E"/>
    <w:rsid w:val="00BB3CBD"/>
    <w:rsid w:val="00BB3F87"/>
    <w:rsid w:val="00BB42FD"/>
    <w:rsid w:val="00BB458D"/>
    <w:rsid w:val="00BB4616"/>
    <w:rsid w:val="00BB47FA"/>
    <w:rsid w:val="00BB5719"/>
    <w:rsid w:val="00BB5AEC"/>
    <w:rsid w:val="00BB5CDE"/>
    <w:rsid w:val="00BB5F2A"/>
    <w:rsid w:val="00BB6000"/>
    <w:rsid w:val="00BB600D"/>
    <w:rsid w:val="00BB64F9"/>
    <w:rsid w:val="00BB6F11"/>
    <w:rsid w:val="00BB708A"/>
    <w:rsid w:val="00BB72F4"/>
    <w:rsid w:val="00BB7BBD"/>
    <w:rsid w:val="00BB7D5B"/>
    <w:rsid w:val="00BB7E1F"/>
    <w:rsid w:val="00BC05EE"/>
    <w:rsid w:val="00BC0BB3"/>
    <w:rsid w:val="00BC0E8D"/>
    <w:rsid w:val="00BC10BC"/>
    <w:rsid w:val="00BC17C3"/>
    <w:rsid w:val="00BC23FB"/>
    <w:rsid w:val="00BC2458"/>
    <w:rsid w:val="00BC2619"/>
    <w:rsid w:val="00BC26BE"/>
    <w:rsid w:val="00BC30E4"/>
    <w:rsid w:val="00BC34F6"/>
    <w:rsid w:val="00BC4F33"/>
    <w:rsid w:val="00BC5141"/>
    <w:rsid w:val="00BC5DE9"/>
    <w:rsid w:val="00BC5E2F"/>
    <w:rsid w:val="00BC6003"/>
    <w:rsid w:val="00BC6254"/>
    <w:rsid w:val="00BC730B"/>
    <w:rsid w:val="00BD05FC"/>
    <w:rsid w:val="00BD0BB6"/>
    <w:rsid w:val="00BD0E93"/>
    <w:rsid w:val="00BD1CBB"/>
    <w:rsid w:val="00BD2203"/>
    <w:rsid w:val="00BD25CD"/>
    <w:rsid w:val="00BD2B86"/>
    <w:rsid w:val="00BD2B8D"/>
    <w:rsid w:val="00BD3834"/>
    <w:rsid w:val="00BD3862"/>
    <w:rsid w:val="00BD38DD"/>
    <w:rsid w:val="00BD5625"/>
    <w:rsid w:val="00BD5923"/>
    <w:rsid w:val="00BD5C8A"/>
    <w:rsid w:val="00BD6153"/>
    <w:rsid w:val="00BD6750"/>
    <w:rsid w:val="00BD6CD7"/>
    <w:rsid w:val="00BD7018"/>
    <w:rsid w:val="00BD7A6B"/>
    <w:rsid w:val="00BD7D58"/>
    <w:rsid w:val="00BD7DD0"/>
    <w:rsid w:val="00BE0493"/>
    <w:rsid w:val="00BE097B"/>
    <w:rsid w:val="00BE141E"/>
    <w:rsid w:val="00BE1CBE"/>
    <w:rsid w:val="00BE2168"/>
    <w:rsid w:val="00BE2642"/>
    <w:rsid w:val="00BE27C8"/>
    <w:rsid w:val="00BE63CF"/>
    <w:rsid w:val="00BE66F4"/>
    <w:rsid w:val="00BE6EAB"/>
    <w:rsid w:val="00BE7A28"/>
    <w:rsid w:val="00BF1E90"/>
    <w:rsid w:val="00BF1EE6"/>
    <w:rsid w:val="00BF2432"/>
    <w:rsid w:val="00BF3763"/>
    <w:rsid w:val="00BF4120"/>
    <w:rsid w:val="00BF4442"/>
    <w:rsid w:val="00BF487A"/>
    <w:rsid w:val="00BF4C19"/>
    <w:rsid w:val="00BF4CBF"/>
    <w:rsid w:val="00BF5642"/>
    <w:rsid w:val="00BF5E9F"/>
    <w:rsid w:val="00BF640F"/>
    <w:rsid w:val="00BF7045"/>
    <w:rsid w:val="00BF7129"/>
    <w:rsid w:val="00BF7FB8"/>
    <w:rsid w:val="00C003FD"/>
    <w:rsid w:val="00C01A93"/>
    <w:rsid w:val="00C01D0B"/>
    <w:rsid w:val="00C01F22"/>
    <w:rsid w:val="00C02914"/>
    <w:rsid w:val="00C02F3F"/>
    <w:rsid w:val="00C033E7"/>
    <w:rsid w:val="00C03D56"/>
    <w:rsid w:val="00C04166"/>
    <w:rsid w:val="00C04B69"/>
    <w:rsid w:val="00C04D6D"/>
    <w:rsid w:val="00C0517B"/>
    <w:rsid w:val="00C05A29"/>
    <w:rsid w:val="00C0604A"/>
    <w:rsid w:val="00C06F59"/>
    <w:rsid w:val="00C06F6B"/>
    <w:rsid w:val="00C07CE3"/>
    <w:rsid w:val="00C07DF4"/>
    <w:rsid w:val="00C10836"/>
    <w:rsid w:val="00C10A05"/>
    <w:rsid w:val="00C10C01"/>
    <w:rsid w:val="00C11356"/>
    <w:rsid w:val="00C11FD0"/>
    <w:rsid w:val="00C122BA"/>
    <w:rsid w:val="00C12D78"/>
    <w:rsid w:val="00C138B7"/>
    <w:rsid w:val="00C142CF"/>
    <w:rsid w:val="00C14885"/>
    <w:rsid w:val="00C14C75"/>
    <w:rsid w:val="00C1512E"/>
    <w:rsid w:val="00C15234"/>
    <w:rsid w:val="00C156B0"/>
    <w:rsid w:val="00C15A52"/>
    <w:rsid w:val="00C15E83"/>
    <w:rsid w:val="00C1632D"/>
    <w:rsid w:val="00C170C0"/>
    <w:rsid w:val="00C17DE9"/>
    <w:rsid w:val="00C20101"/>
    <w:rsid w:val="00C204A6"/>
    <w:rsid w:val="00C211C4"/>
    <w:rsid w:val="00C21934"/>
    <w:rsid w:val="00C2197D"/>
    <w:rsid w:val="00C219A4"/>
    <w:rsid w:val="00C220F5"/>
    <w:rsid w:val="00C22D3F"/>
    <w:rsid w:val="00C22DAC"/>
    <w:rsid w:val="00C22E8C"/>
    <w:rsid w:val="00C232B2"/>
    <w:rsid w:val="00C2352A"/>
    <w:rsid w:val="00C2393E"/>
    <w:rsid w:val="00C23BD1"/>
    <w:rsid w:val="00C24810"/>
    <w:rsid w:val="00C248C6"/>
    <w:rsid w:val="00C24A5F"/>
    <w:rsid w:val="00C25882"/>
    <w:rsid w:val="00C25896"/>
    <w:rsid w:val="00C25F95"/>
    <w:rsid w:val="00C26B82"/>
    <w:rsid w:val="00C271B1"/>
    <w:rsid w:val="00C2734E"/>
    <w:rsid w:val="00C27F67"/>
    <w:rsid w:val="00C300E4"/>
    <w:rsid w:val="00C30284"/>
    <w:rsid w:val="00C303A9"/>
    <w:rsid w:val="00C303F0"/>
    <w:rsid w:val="00C30610"/>
    <w:rsid w:val="00C3067B"/>
    <w:rsid w:val="00C306A7"/>
    <w:rsid w:val="00C30CD3"/>
    <w:rsid w:val="00C310C0"/>
    <w:rsid w:val="00C31569"/>
    <w:rsid w:val="00C31905"/>
    <w:rsid w:val="00C31AF7"/>
    <w:rsid w:val="00C32186"/>
    <w:rsid w:val="00C33003"/>
    <w:rsid w:val="00C33CFA"/>
    <w:rsid w:val="00C344E9"/>
    <w:rsid w:val="00C34CFE"/>
    <w:rsid w:val="00C35AE5"/>
    <w:rsid w:val="00C35F90"/>
    <w:rsid w:val="00C3625F"/>
    <w:rsid w:val="00C3698D"/>
    <w:rsid w:val="00C36AED"/>
    <w:rsid w:val="00C36BFD"/>
    <w:rsid w:val="00C3712C"/>
    <w:rsid w:val="00C37517"/>
    <w:rsid w:val="00C37C60"/>
    <w:rsid w:val="00C37D9D"/>
    <w:rsid w:val="00C4025B"/>
    <w:rsid w:val="00C4080C"/>
    <w:rsid w:val="00C411EC"/>
    <w:rsid w:val="00C41524"/>
    <w:rsid w:val="00C41A87"/>
    <w:rsid w:val="00C42588"/>
    <w:rsid w:val="00C43903"/>
    <w:rsid w:val="00C43AAB"/>
    <w:rsid w:val="00C442A1"/>
    <w:rsid w:val="00C443EA"/>
    <w:rsid w:val="00C449C8"/>
    <w:rsid w:val="00C44B7D"/>
    <w:rsid w:val="00C451D8"/>
    <w:rsid w:val="00C4541F"/>
    <w:rsid w:val="00C4583A"/>
    <w:rsid w:val="00C45F74"/>
    <w:rsid w:val="00C461AD"/>
    <w:rsid w:val="00C4636A"/>
    <w:rsid w:val="00C46558"/>
    <w:rsid w:val="00C4663F"/>
    <w:rsid w:val="00C4670C"/>
    <w:rsid w:val="00C46CCF"/>
    <w:rsid w:val="00C4713A"/>
    <w:rsid w:val="00C47C4C"/>
    <w:rsid w:val="00C47E01"/>
    <w:rsid w:val="00C50437"/>
    <w:rsid w:val="00C50494"/>
    <w:rsid w:val="00C514C1"/>
    <w:rsid w:val="00C515BA"/>
    <w:rsid w:val="00C51EEC"/>
    <w:rsid w:val="00C525B1"/>
    <w:rsid w:val="00C5303D"/>
    <w:rsid w:val="00C53328"/>
    <w:rsid w:val="00C53A83"/>
    <w:rsid w:val="00C53AC9"/>
    <w:rsid w:val="00C53BC4"/>
    <w:rsid w:val="00C53BC8"/>
    <w:rsid w:val="00C543F7"/>
    <w:rsid w:val="00C553D9"/>
    <w:rsid w:val="00C557AF"/>
    <w:rsid w:val="00C55A51"/>
    <w:rsid w:val="00C55A71"/>
    <w:rsid w:val="00C5687F"/>
    <w:rsid w:val="00C57B80"/>
    <w:rsid w:val="00C6054B"/>
    <w:rsid w:val="00C60693"/>
    <w:rsid w:val="00C608B8"/>
    <w:rsid w:val="00C610FD"/>
    <w:rsid w:val="00C61278"/>
    <w:rsid w:val="00C6185F"/>
    <w:rsid w:val="00C61990"/>
    <w:rsid w:val="00C61E6C"/>
    <w:rsid w:val="00C61ED3"/>
    <w:rsid w:val="00C6244B"/>
    <w:rsid w:val="00C62F51"/>
    <w:rsid w:val="00C632AD"/>
    <w:rsid w:val="00C6348B"/>
    <w:rsid w:val="00C63620"/>
    <w:rsid w:val="00C63982"/>
    <w:rsid w:val="00C639D1"/>
    <w:rsid w:val="00C63C29"/>
    <w:rsid w:val="00C63E8D"/>
    <w:rsid w:val="00C64F16"/>
    <w:rsid w:val="00C66BC5"/>
    <w:rsid w:val="00C6735B"/>
    <w:rsid w:val="00C67434"/>
    <w:rsid w:val="00C67D30"/>
    <w:rsid w:val="00C70077"/>
    <w:rsid w:val="00C704AA"/>
    <w:rsid w:val="00C70DDE"/>
    <w:rsid w:val="00C70EFE"/>
    <w:rsid w:val="00C71210"/>
    <w:rsid w:val="00C71652"/>
    <w:rsid w:val="00C7184D"/>
    <w:rsid w:val="00C72914"/>
    <w:rsid w:val="00C729A6"/>
    <w:rsid w:val="00C72DC0"/>
    <w:rsid w:val="00C73331"/>
    <w:rsid w:val="00C73A8E"/>
    <w:rsid w:val="00C74400"/>
    <w:rsid w:val="00C749AF"/>
    <w:rsid w:val="00C74B49"/>
    <w:rsid w:val="00C76069"/>
    <w:rsid w:val="00C76609"/>
    <w:rsid w:val="00C76AC4"/>
    <w:rsid w:val="00C76FCD"/>
    <w:rsid w:val="00C779B2"/>
    <w:rsid w:val="00C77F54"/>
    <w:rsid w:val="00C80798"/>
    <w:rsid w:val="00C8087C"/>
    <w:rsid w:val="00C80939"/>
    <w:rsid w:val="00C80B99"/>
    <w:rsid w:val="00C80C26"/>
    <w:rsid w:val="00C8127A"/>
    <w:rsid w:val="00C818BD"/>
    <w:rsid w:val="00C81974"/>
    <w:rsid w:val="00C81B55"/>
    <w:rsid w:val="00C81EE4"/>
    <w:rsid w:val="00C81F49"/>
    <w:rsid w:val="00C822E1"/>
    <w:rsid w:val="00C8254F"/>
    <w:rsid w:val="00C82687"/>
    <w:rsid w:val="00C827AE"/>
    <w:rsid w:val="00C829FE"/>
    <w:rsid w:val="00C82A5B"/>
    <w:rsid w:val="00C83906"/>
    <w:rsid w:val="00C8405F"/>
    <w:rsid w:val="00C84DE1"/>
    <w:rsid w:val="00C8517B"/>
    <w:rsid w:val="00C85752"/>
    <w:rsid w:val="00C85CAB"/>
    <w:rsid w:val="00C85F05"/>
    <w:rsid w:val="00C861D8"/>
    <w:rsid w:val="00C865A9"/>
    <w:rsid w:val="00C8693E"/>
    <w:rsid w:val="00C87261"/>
    <w:rsid w:val="00C872A0"/>
    <w:rsid w:val="00C90EE5"/>
    <w:rsid w:val="00C929F3"/>
    <w:rsid w:val="00C9316C"/>
    <w:rsid w:val="00C93677"/>
    <w:rsid w:val="00C946F4"/>
    <w:rsid w:val="00C94FA3"/>
    <w:rsid w:val="00C9589E"/>
    <w:rsid w:val="00C95F1F"/>
    <w:rsid w:val="00C95FC8"/>
    <w:rsid w:val="00C964C6"/>
    <w:rsid w:val="00C9673C"/>
    <w:rsid w:val="00C96A15"/>
    <w:rsid w:val="00C97052"/>
    <w:rsid w:val="00C97679"/>
    <w:rsid w:val="00C97809"/>
    <w:rsid w:val="00C9790F"/>
    <w:rsid w:val="00C97DDC"/>
    <w:rsid w:val="00CA013E"/>
    <w:rsid w:val="00CA15C3"/>
    <w:rsid w:val="00CA1905"/>
    <w:rsid w:val="00CA265F"/>
    <w:rsid w:val="00CA2E36"/>
    <w:rsid w:val="00CA304F"/>
    <w:rsid w:val="00CA340A"/>
    <w:rsid w:val="00CA3553"/>
    <w:rsid w:val="00CA396C"/>
    <w:rsid w:val="00CA3D17"/>
    <w:rsid w:val="00CA3D53"/>
    <w:rsid w:val="00CA462C"/>
    <w:rsid w:val="00CA5380"/>
    <w:rsid w:val="00CA57AC"/>
    <w:rsid w:val="00CA6D15"/>
    <w:rsid w:val="00CA6E44"/>
    <w:rsid w:val="00CA72BF"/>
    <w:rsid w:val="00CB04A3"/>
    <w:rsid w:val="00CB0B25"/>
    <w:rsid w:val="00CB178A"/>
    <w:rsid w:val="00CB1B3B"/>
    <w:rsid w:val="00CB1DA3"/>
    <w:rsid w:val="00CB28CD"/>
    <w:rsid w:val="00CB44CB"/>
    <w:rsid w:val="00CB4824"/>
    <w:rsid w:val="00CB519E"/>
    <w:rsid w:val="00CB5257"/>
    <w:rsid w:val="00CB52E3"/>
    <w:rsid w:val="00CB540B"/>
    <w:rsid w:val="00CB5834"/>
    <w:rsid w:val="00CB5DCE"/>
    <w:rsid w:val="00CB6EBD"/>
    <w:rsid w:val="00CB7B1D"/>
    <w:rsid w:val="00CB7E28"/>
    <w:rsid w:val="00CC014E"/>
    <w:rsid w:val="00CC1054"/>
    <w:rsid w:val="00CC12DF"/>
    <w:rsid w:val="00CC14E1"/>
    <w:rsid w:val="00CC16A1"/>
    <w:rsid w:val="00CC22A8"/>
    <w:rsid w:val="00CC2A9F"/>
    <w:rsid w:val="00CC4104"/>
    <w:rsid w:val="00CC58F1"/>
    <w:rsid w:val="00CC5EA5"/>
    <w:rsid w:val="00CC665E"/>
    <w:rsid w:val="00CC6E87"/>
    <w:rsid w:val="00CC79E0"/>
    <w:rsid w:val="00CD059B"/>
    <w:rsid w:val="00CD1748"/>
    <w:rsid w:val="00CD1CEE"/>
    <w:rsid w:val="00CD1F0F"/>
    <w:rsid w:val="00CD1FD3"/>
    <w:rsid w:val="00CD2016"/>
    <w:rsid w:val="00CD251B"/>
    <w:rsid w:val="00CD25B8"/>
    <w:rsid w:val="00CD4222"/>
    <w:rsid w:val="00CD4343"/>
    <w:rsid w:val="00CD4C6A"/>
    <w:rsid w:val="00CD51AD"/>
    <w:rsid w:val="00CD5282"/>
    <w:rsid w:val="00CD5E06"/>
    <w:rsid w:val="00CD5EEF"/>
    <w:rsid w:val="00CD61D3"/>
    <w:rsid w:val="00CD65D9"/>
    <w:rsid w:val="00CD6619"/>
    <w:rsid w:val="00CD670F"/>
    <w:rsid w:val="00CD68F6"/>
    <w:rsid w:val="00CD6E15"/>
    <w:rsid w:val="00CD6E2A"/>
    <w:rsid w:val="00CD6FA7"/>
    <w:rsid w:val="00CD7B7E"/>
    <w:rsid w:val="00CE0290"/>
    <w:rsid w:val="00CE0BF0"/>
    <w:rsid w:val="00CE0EF4"/>
    <w:rsid w:val="00CE0F9B"/>
    <w:rsid w:val="00CE0FA9"/>
    <w:rsid w:val="00CE1258"/>
    <w:rsid w:val="00CE1A74"/>
    <w:rsid w:val="00CE1BD7"/>
    <w:rsid w:val="00CE26D2"/>
    <w:rsid w:val="00CE2BEB"/>
    <w:rsid w:val="00CE316E"/>
    <w:rsid w:val="00CE3842"/>
    <w:rsid w:val="00CE430D"/>
    <w:rsid w:val="00CE4800"/>
    <w:rsid w:val="00CE518A"/>
    <w:rsid w:val="00CE51EE"/>
    <w:rsid w:val="00CE5722"/>
    <w:rsid w:val="00CE57AA"/>
    <w:rsid w:val="00CE7A93"/>
    <w:rsid w:val="00CE7EC6"/>
    <w:rsid w:val="00CE7F54"/>
    <w:rsid w:val="00CF0BB6"/>
    <w:rsid w:val="00CF0D53"/>
    <w:rsid w:val="00CF18E8"/>
    <w:rsid w:val="00CF1C98"/>
    <w:rsid w:val="00CF240A"/>
    <w:rsid w:val="00CF2BA3"/>
    <w:rsid w:val="00CF3423"/>
    <w:rsid w:val="00CF3938"/>
    <w:rsid w:val="00CF3B37"/>
    <w:rsid w:val="00CF4624"/>
    <w:rsid w:val="00CF4C38"/>
    <w:rsid w:val="00CF5063"/>
    <w:rsid w:val="00CF5546"/>
    <w:rsid w:val="00CF5D76"/>
    <w:rsid w:val="00CF6A74"/>
    <w:rsid w:val="00CF7BF8"/>
    <w:rsid w:val="00D001B2"/>
    <w:rsid w:val="00D00330"/>
    <w:rsid w:val="00D0089D"/>
    <w:rsid w:val="00D00BB5"/>
    <w:rsid w:val="00D00FD6"/>
    <w:rsid w:val="00D012B0"/>
    <w:rsid w:val="00D01725"/>
    <w:rsid w:val="00D017A6"/>
    <w:rsid w:val="00D01EC8"/>
    <w:rsid w:val="00D027E6"/>
    <w:rsid w:val="00D02E83"/>
    <w:rsid w:val="00D03079"/>
    <w:rsid w:val="00D03616"/>
    <w:rsid w:val="00D03F7E"/>
    <w:rsid w:val="00D052E1"/>
    <w:rsid w:val="00D05841"/>
    <w:rsid w:val="00D05BE1"/>
    <w:rsid w:val="00D05C16"/>
    <w:rsid w:val="00D05C27"/>
    <w:rsid w:val="00D05D30"/>
    <w:rsid w:val="00D05F8E"/>
    <w:rsid w:val="00D0699B"/>
    <w:rsid w:val="00D07BAC"/>
    <w:rsid w:val="00D07BB7"/>
    <w:rsid w:val="00D102DE"/>
    <w:rsid w:val="00D10BDF"/>
    <w:rsid w:val="00D110CF"/>
    <w:rsid w:val="00D11390"/>
    <w:rsid w:val="00D1186B"/>
    <w:rsid w:val="00D11A23"/>
    <w:rsid w:val="00D11C10"/>
    <w:rsid w:val="00D12DCB"/>
    <w:rsid w:val="00D13225"/>
    <w:rsid w:val="00D132FA"/>
    <w:rsid w:val="00D133B5"/>
    <w:rsid w:val="00D13A13"/>
    <w:rsid w:val="00D13DAE"/>
    <w:rsid w:val="00D144D9"/>
    <w:rsid w:val="00D14D40"/>
    <w:rsid w:val="00D1500E"/>
    <w:rsid w:val="00D15178"/>
    <w:rsid w:val="00D154D0"/>
    <w:rsid w:val="00D1582D"/>
    <w:rsid w:val="00D15D33"/>
    <w:rsid w:val="00D165BB"/>
    <w:rsid w:val="00D165C9"/>
    <w:rsid w:val="00D1664A"/>
    <w:rsid w:val="00D1749C"/>
    <w:rsid w:val="00D17F96"/>
    <w:rsid w:val="00D202A1"/>
    <w:rsid w:val="00D20CE3"/>
    <w:rsid w:val="00D20F75"/>
    <w:rsid w:val="00D214C1"/>
    <w:rsid w:val="00D217C1"/>
    <w:rsid w:val="00D219F0"/>
    <w:rsid w:val="00D2265F"/>
    <w:rsid w:val="00D228CE"/>
    <w:rsid w:val="00D22A32"/>
    <w:rsid w:val="00D22A74"/>
    <w:rsid w:val="00D22DDC"/>
    <w:rsid w:val="00D22EA3"/>
    <w:rsid w:val="00D23477"/>
    <w:rsid w:val="00D23754"/>
    <w:rsid w:val="00D23889"/>
    <w:rsid w:val="00D23D3E"/>
    <w:rsid w:val="00D24728"/>
    <w:rsid w:val="00D24A09"/>
    <w:rsid w:val="00D24C1E"/>
    <w:rsid w:val="00D25027"/>
    <w:rsid w:val="00D2524D"/>
    <w:rsid w:val="00D254BA"/>
    <w:rsid w:val="00D256CC"/>
    <w:rsid w:val="00D2585B"/>
    <w:rsid w:val="00D25A22"/>
    <w:rsid w:val="00D25E16"/>
    <w:rsid w:val="00D26466"/>
    <w:rsid w:val="00D265E8"/>
    <w:rsid w:val="00D26D59"/>
    <w:rsid w:val="00D2723C"/>
    <w:rsid w:val="00D27339"/>
    <w:rsid w:val="00D273B0"/>
    <w:rsid w:val="00D27785"/>
    <w:rsid w:val="00D279E8"/>
    <w:rsid w:val="00D27CBA"/>
    <w:rsid w:val="00D27F09"/>
    <w:rsid w:val="00D30154"/>
    <w:rsid w:val="00D305E7"/>
    <w:rsid w:val="00D30ED6"/>
    <w:rsid w:val="00D31298"/>
    <w:rsid w:val="00D31519"/>
    <w:rsid w:val="00D31BE8"/>
    <w:rsid w:val="00D31E7C"/>
    <w:rsid w:val="00D322E3"/>
    <w:rsid w:val="00D326BB"/>
    <w:rsid w:val="00D32C28"/>
    <w:rsid w:val="00D32D3A"/>
    <w:rsid w:val="00D3323B"/>
    <w:rsid w:val="00D3428F"/>
    <w:rsid w:val="00D34321"/>
    <w:rsid w:val="00D3493F"/>
    <w:rsid w:val="00D34982"/>
    <w:rsid w:val="00D34A43"/>
    <w:rsid w:val="00D34BB2"/>
    <w:rsid w:val="00D34D18"/>
    <w:rsid w:val="00D35071"/>
    <w:rsid w:val="00D36CF8"/>
    <w:rsid w:val="00D36F19"/>
    <w:rsid w:val="00D37008"/>
    <w:rsid w:val="00D37060"/>
    <w:rsid w:val="00D37B8F"/>
    <w:rsid w:val="00D37D8A"/>
    <w:rsid w:val="00D4021E"/>
    <w:rsid w:val="00D40574"/>
    <w:rsid w:val="00D40A8C"/>
    <w:rsid w:val="00D41A52"/>
    <w:rsid w:val="00D41FAE"/>
    <w:rsid w:val="00D42558"/>
    <w:rsid w:val="00D42EAC"/>
    <w:rsid w:val="00D431B3"/>
    <w:rsid w:val="00D44789"/>
    <w:rsid w:val="00D4575A"/>
    <w:rsid w:val="00D46800"/>
    <w:rsid w:val="00D46C7E"/>
    <w:rsid w:val="00D46D6E"/>
    <w:rsid w:val="00D46EAA"/>
    <w:rsid w:val="00D4786B"/>
    <w:rsid w:val="00D50252"/>
    <w:rsid w:val="00D50B41"/>
    <w:rsid w:val="00D50E0E"/>
    <w:rsid w:val="00D51054"/>
    <w:rsid w:val="00D51662"/>
    <w:rsid w:val="00D519B7"/>
    <w:rsid w:val="00D51D7E"/>
    <w:rsid w:val="00D52E2A"/>
    <w:rsid w:val="00D53475"/>
    <w:rsid w:val="00D5366B"/>
    <w:rsid w:val="00D5376A"/>
    <w:rsid w:val="00D53942"/>
    <w:rsid w:val="00D539DE"/>
    <w:rsid w:val="00D54C49"/>
    <w:rsid w:val="00D551C7"/>
    <w:rsid w:val="00D55598"/>
    <w:rsid w:val="00D557BF"/>
    <w:rsid w:val="00D5620E"/>
    <w:rsid w:val="00D56517"/>
    <w:rsid w:val="00D565F1"/>
    <w:rsid w:val="00D568B0"/>
    <w:rsid w:val="00D56BEC"/>
    <w:rsid w:val="00D56DD5"/>
    <w:rsid w:val="00D571B4"/>
    <w:rsid w:val="00D57D51"/>
    <w:rsid w:val="00D57DDC"/>
    <w:rsid w:val="00D60C9C"/>
    <w:rsid w:val="00D60D9D"/>
    <w:rsid w:val="00D61936"/>
    <w:rsid w:val="00D6195A"/>
    <w:rsid w:val="00D61AE1"/>
    <w:rsid w:val="00D61E11"/>
    <w:rsid w:val="00D62238"/>
    <w:rsid w:val="00D6289E"/>
    <w:rsid w:val="00D631F3"/>
    <w:rsid w:val="00D6337A"/>
    <w:rsid w:val="00D63591"/>
    <w:rsid w:val="00D63B84"/>
    <w:rsid w:val="00D63C8B"/>
    <w:rsid w:val="00D63CFD"/>
    <w:rsid w:val="00D63D98"/>
    <w:rsid w:val="00D63E52"/>
    <w:rsid w:val="00D63E80"/>
    <w:rsid w:val="00D641D6"/>
    <w:rsid w:val="00D6430B"/>
    <w:rsid w:val="00D64E5E"/>
    <w:rsid w:val="00D65008"/>
    <w:rsid w:val="00D65888"/>
    <w:rsid w:val="00D66212"/>
    <w:rsid w:val="00D66301"/>
    <w:rsid w:val="00D66644"/>
    <w:rsid w:val="00D66EBB"/>
    <w:rsid w:val="00D672B3"/>
    <w:rsid w:val="00D6767C"/>
    <w:rsid w:val="00D67EF6"/>
    <w:rsid w:val="00D700CF"/>
    <w:rsid w:val="00D701DD"/>
    <w:rsid w:val="00D7070E"/>
    <w:rsid w:val="00D70B1F"/>
    <w:rsid w:val="00D70B35"/>
    <w:rsid w:val="00D717AD"/>
    <w:rsid w:val="00D72659"/>
    <w:rsid w:val="00D72810"/>
    <w:rsid w:val="00D728A7"/>
    <w:rsid w:val="00D72C6E"/>
    <w:rsid w:val="00D72DDD"/>
    <w:rsid w:val="00D732EB"/>
    <w:rsid w:val="00D7419B"/>
    <w:rsid w:val="00D742B5"/>
    <w:rsid w:val="00D74CF5"/>
    <w:rsid w:val="00D763E0"/>
    <w:rsid w:val="00D7654E"/>
    <w:rsid w:val="00D77BD8"/>
    <w:rsid w:val="00D77E51"/>
    <w:rsid w:val="00D80209"/>
    <w:rsid w:val="00D8047B"/>
    <w:rsid w:val="00D807A4"/>
    <w:rsid w:val="00D807E6"/>
    <w:rsid w:val="00D80BD3"/>
    <w:rsid w:val="00D80E54"/>
    <w:rsid w:val="00D80E86"/>
    <w:rsid w:val="00D81445"/>
    <w:rsid w:val="00D8178B"/>
    <w:rsid w:val="00D82130"/>
    <w:rsid w:val="00D82162"/>
    <w:rsid w:val="00D82190"/>
    <w:rsid w:val="00D82509"/>
    <w:rsid w:val="00D825EA"/>
    <w:rsid w:val="00D82802"/>
    <w:rsid w:val="00D82A17"/>
    <w:rsid w:val="00D833B2"/>
    <w:rsid w:val="00D836E2"/>
    <w:rsid w:val="00D836FB"/>
    <w:rsid w:val="00D83995"/>
    <w:rsid w:val="00D83CC0"/>
    <w:rsid w:val="00D83D8F"/>
    <w:rsid w:val="00D83DAB"/>
    <w:rsid w:val="00D83DCE"/>
    <w:rsid w:val="00D84169"/>
    <w:rsid w:val="00D84171"/>
    <w:rsid w:val="00D84607"/>
    <w:rsid w:val="00D84901"/>
    <w:rsid w:val="00D852A2"/>
    <w:rsid w:val="00D85997"/>
    <w:rsid w:val="00D85ABD"/>
    <w:rsid w:val="00D85C76"/>
    <w:rsid w:val="00D85F7B"/>
    <w:rsid w:val="00D860AC"/>
    <w:rsid w:val="00D86250"/>
    <w:rsid w:val="00D8651C"/>
    <w:rsid w:val="00D86696"/>
    <w:rsid w:val="00D86879"/>
    <w:rsid w:val="00D86BAC"/>
    <w:rsid w:val="00D86F2A"/>
    <w:rsid w:val="00D87690"/>
    <w:rsid w:val="00D87904"/>
    <w:rsid w:val="00D87EFC"/>
    <w:rsid w:val="00D87FD8"/>
    <w:rsid w:val="00D90420"/>
    <w:rsid w:val="00D90493"/>
    <w:rsid w:val="00D90F16"/>
    <w:rsid w:val="00D90F17"/>
    <w:rsid w:val="00D90FF1"/>
    <w:rsid w:val="00D91113"/>
    <w:rsid w:val="00D915FF"/>
    <w:rsid w:val="00D91654"/>
    <w:rsid w:val="00D91847"/>
    <w:rsid w:val="00D91F4A"/>
    <w:rsid w:val="00D925B2"/>
    <w:rsid w:val="00D92E55"/>
    <w:rsid w:val="00D93148"/>
    <w:rsid w:val="00D93CB3"/>
    <w:rsid w:val="00D94BC3"/>
    <w:rsid w:val="00D95601"/>
    <w:rsid w:val="00D95665"/>
    <w:rsid w:val="00D96051"/>
    <w:rsid w:val="00D966D4"/>
    <w:rsid w:val="00D96D6A"/>
    <w:rsid w:val="00D96F97"/>
    <w:rsid w:val="00D972B8"/>
    <w:rsid w:val="00D97421"/>
    <w:rsid w:val="00D97481"/>
    <w:rsid w:val="00D977D7"/>
    <w:rsid w:val="00D97C66"/>
    <w:rsid w:val="00DA0079"/>
    <w:rsid w:val="00DA02AD"/>
    <w:rsid w:val="00DA10A4"/>
    <w:rsid w:val="00DA15A1"/>
    <w:rsid w:val="00DA1B90"/>
    <w:rsid w:val="00DA31BC"/>
    <w:rsid w:val="00DA3780"/>
    <w:rsid w:val="00DA42B5"/>
    <w:rsid w:val="00DA4398"/>
    <w:rsid w:val="00DA46A0"/>
    <w:rsid w:val="00DA57DA"/>
    <w:rsid w:val="00DA5B20"/>
    <w:rsid w:val="00DA5FF6"/>
    <w:rsid w:val="00DA662C"/>
    <w:rsid w:val="00DA67FD"/>
    <w:rsid w:val="00DA70B4"/>
    <w:rsid w:val="00DA78F5"/>
    <w:rsid w:val="00DA7922"/>
    <w:rsid w:val="00DB06B7"/>
    <w:rsid w:val="00DB0CC6"/>
    <w:rsid w:val="00DB0DC4"/>
    <w:rsid w:val="00DB11C2"/>
    <w:rsid w:val="00DB1D71"/>
    <w:rsid w:val="00DB32BF"/>
    <w:rsid w:val="00DB3ABE"/>
    <w:rsid w:val="00DB44C0"/>
    <w:rsid w:val="00DB5080"/>
    <w:rsid w:val="00DB5B03"/>
    <w:rsid w:val="00DB6078"/>
    <w:rsid w:val="00DB63A4"/>
    <w:rsid w:val="00DB6D6A"/>
    <w:rsid w:val="00DB7105"/>
    <w:rsid w:val="00DB71B1"/>
    <w:rsid w:val="00DB76D9"/>
    <w:rsid w:val="00DB7A60"/>
    <w:rsid w:val="00DC0E99"/>
    <w:rsid w:val="00DC1226"/>
    <w:rsid w:val="00DC12A6"/>
    <w:rsid w:val="00DC15EE"/>
    <w:rsid w:val="00DC162F"/>
    <w:rsid w:val="00DC2E09"/>
    <w:rsid w:val="00DC330A"/>
    <w:rsid w:val="00DC3549"/>
    <w:rsid w:val="00DC3833"/>
    <w:rsid w:val="00DC4A62"/>
    <w:rsid w:val="00DC4EBB"/>
    <w:rsid w:val="00DC5D12"/>
    <w:rsid w:val="00DC6559"/>
    <w:rsid w:val="00DC6563"/>
    <w:rsid w:val="00DC6A5E"/>
    <w:rsid w:val="00DC6B55"/>
    <w:rsid w:val="00DC7221"/>
    <w:rsid w:val="00DC7D62"/>
    <w:rsid w:val="00DD08F1"/>
    <w:rsid w:val="00DD0F62"/>
    <w:rsid w:val="00DD1C06"/>
    <w:rsid w:val="00DD2068"/>
    <w:rsid w:val="00DD20B7"/>
    <w:rsid w:val="00DD2199"/>
    <w:rsid w:val="00DD2228"/>
    <w:rsid w:val="00DD233A"/>
    <w:rsid w:val="00DD254F"/>
    <w:rsid w:val="00DD2820"/>
    <w:rsid w:val="00DD28A0"/>
    <w:rsid w:val="00DD312C"/>
    <w:rsid w:val="00DD3938"/>
    <w:rsid w:val="00DD3A4E"/>
    <w:rsid w:val="00DD3DC9"/>
    <w:rsid w:val="00DD3EB9"/>
    <w:rsid w:val="00DD54CA"/>
    <w:rsid w:val="00DD54E4"/>
    <w:rsid w:val="00DD5592"/>
    <w:rsid w:val="00DD57EB"/>
    <w:rsid w:val="00DD5869"/>
    <w:rsid w:val="00DD5DE3"/>
    <w:rsid w:val="00DD5F50"/>
    <w:rsid w:val="00DD5F8F"/>
    <w:rsid w:val="00DD6B35"/>
    <w:rsid w:val="00DD6BF0"/>
    <w:rsid w:val="00DD6DC9"/>
    <w:rsid w:val="00DD7206"/>
    <w:rsid w:val="00DD7D54"/>
    <w:rsid w:val="00DD7E9E"/>
    <w:rsid w:val="00DE04F8"/>
    <w:rsid w:val="00DE069B"/>
    <w:rsid w:val="00DE096C"/>
    <w:rsid w:val="00DE0FAA"/>
    <w:rsid w:val="00DE13E9"/>
    <w:rsid w:val="00DE150C"/>
    <w:rsid w:val="00DE1AAC"/>
    <w:rsid w:val="00DE1FFC"/>
    <w:rsid w:val="00DE2D03"/>
    <w:rsid w:val="00DE3202"/>
    <w:rsid w:val="00DE368D"/>
    <w:rsid w:val="00DE38DF"/>
    <w:rsid w:val="00DE3B47"/>
    <w:rsid w:val="00DE3D20"/>
    <w:rsid w:val="00DE3EC9"/>
    <w:rsid w:val="00DE4028"/>
    <w:rsid w:val="00DE4193"/>
    <w:rsid w:val="00DE43D9"/>
    <w:rsid w:val="00DE4EFA"/>
    <w:rsid w:val="00DE62D6"/>
    <w:rsid w:val="00DE6748"/>
    <w:rsid w:val="00DE6CFB"/>
    <w:rsid w:val="00DE7017"/>
    <w:rsid w:val="00DE76B9"/>
    <w:rsid w:val="00DF0540"/>
    <w:rsid w:val="00DF0EF5"/>
    <w:rsid w:val="00DF1356"/>
    <w:rsid w:val="00DF21BC"/>
    <w:rsid w:val="00DF2230"/>
    <w:rsid w:val="00DF2483"/>
    <w:rsid w:val="00DF28B3"/>
    <w:rsid w:val="00DF2FE1"/>
    <w:rsid w:val="00DF352C"/>
    <w:rsid w:val="00DF36DD"/>
    <w:rsid w:val="00DF395A"/>
    <w:rsid w:val="00DF47C1"/>
    <w:rsid w:val="00DF4FB3"/>
    <w:rsid w:val="00DF505B"/>
    <w:rsid w:val="00DF631B"/>
    <w:rsid w:val="00DF67F4"/>
    <w:rsid w:val="00DF6E72"/>
    <w:rsid w:val="00DF78FB"/>
    <w:rsid w:val="00DF7A40"/>
    <w:rsid w:val="00E005BB"/>
    <w:rsid w:val="00E006CC"/>
    <w:rsid w:val="00E00849"/>
    <w:rsid w:val="00E0153A"/>
    <w:rsid w:val="00E0183F"/>
    <w:rsid w:val="00E019D5"/>
    <w:rsid w:val="00E02095"/>
    <w:rsid w:val="00E0279C"/>
    <w:rsid w:val="00E027AE"/>
    <w:rsid w:val="00E0283C"/>
    <w:rsid w:val="00E02EBE"/>
    <w:rsid w:val="00E04566"/>
    <w:rsid w:val="00E04878"/>
    <w:rsid w:val="00E05350"/>
    <w:rsid w:val="00E05356"/>
    <w:rsid w:val="00E05851"/>
    <w:rsid w:val="00E05AD0"/>
    <w:rsid w:val="00E069D1"/>
    <w:rsid w:val="00E07138"/>
    <w:rsid w:val="00E07294"/>
    <w:rsid w:val="00E07518"/>
    <w:rsid w:val="00E075C5"/>
    <w:rsid w:val="00E07656"/>
    <w:rsid w:val="00E0799E"/>
    <w:rsid w:val="00E07B99"/>
    <w:rsid w:val="00E07FAF"/>
    <w:rsid w:val="00E10073"/>
    <w:rsid w:val="00E10136"/>
    <w:rsid w:val="00E11F9C"/>
    <w:rsid w:val="00E125C6"/>
    <w:rsid w:val="00E13ED9"/>
    <w:rsid w:val="00E14765"/>
    <w:rsid w:val="00E14B00"/>
    <w:rsid w:val="00E14B03"/>
    <w:rsid w:val="00E14C70"/>
    <w:rsid w:val="00E14F90"/>
    <w:rsid w:val="00E1565E"/>
    <w:rsid w:val="00E158A8"/>
    <w:rsid w:val="00E15D86"/>
    <w:rsid w:val="00E15FDA"/>
    <w:rsid w:val="00E162B6"/>
    <w:rsid w:val="00E16FA5"/>
    <w:rsid w:val="00E17340"/>
    <w:rsid w:val="00E1739F"/>
    <w:rsid w:val="00E175E3"/>
    <w:rsid w:val="00E1762B"/>
    <w:rsid w:val="00E1763D"/>
    <w:rsid w:val="00E179DC"/>
    <w:rsid w:val="00E20055"/>
    <w:rsid w:val="00E202AD"/>
    <w:rsid w:val="00E20610"/>
    <w:rsid w:val="00E206C3"/>
    <w:rsid w:val="00E21037"/>
    <w:rsid w:val="00E211E6"/>
    <w:rsid w:val="00E24601"/>
    <w:rsid w:val="00E246A9"/>
    <w:rsid w:val="00E24AAC"/>
    <w:rsid w:val="00E24CBF"/>
    <w:rsid w:val="00E25291"/>
    <w:rsid w:val="00E253FF"/>
    <w:rsid w:val="00E258BC"/>
    <w:rsid w:val="00E258BF"/>
    <w:rsid w:val="00E25EE0"/>
    <w:rsid w:val="00E25FA3"/>
    <w:rsid w:val="00E26F51"/>
    <w:rsid w:val="00E30C19"/>
    <w:rsid w:val="00E3116D"/>
    <w:rsid w:val="00E31383"/>
    <w:rsid w:val="00E31645"/>
    <w:rsid w:val="00E31D38"/>
    <w:rsid w:val="00E32E4B"/>
    <w:rsid w:val="00E3325F"/>
    <w:rsid w:val="00E33910"/>
    <w:rsid w:val="00E33B55"/>
    <w:rsid w:val="00E34D7F"/>
    <w:rsid w:val="00E34DD4"/>
    <w:rsid w:val="00E35D43"/>
    <w:rsid w:val="00E365FD"/>
    <w:rsid w:val="00E36CA1"/>
    <w:rsid w:val="00E37663"/>
    <w:rsid w:val="00E3787C"/>
    <w:rsid w:val="00E379FB"/>
    <w:rsid w:val="00E37E61"/>
    <w:rsid w:val="00E40464"/>
    <w:rsid w:val="00E40B7D"/>
    <w:rsid w:val="00E41A8C"/>
    <w:rsid w:val="00E42829"/>
    <w:rsid w:val="00E42EC8"/>
    <w:rsid w:val="00E433C7"/>
    <w:rsid w:val="00E43E68"/>
    <w:rsid w:val="00E43F69"/>
    <w:rsid w:val="00E444D4"/>
    <w:rsid w:val="00E44556"/>
    <w:rsid w:val="00E44803"/>
    <w:rsid w:val="00E448AB"/>
    <w:rsid w:val="00E44D46"/>
    <w:rsid w:val="00E454E2"/>
    <w:rsid w:val="00E458FF"/>
    <w:rsid w:val="00E45BF0"/>
    <w:rsid w:val="00E46472"/>
    <w:rsid w:val="00E46554"/>
    <w:rsid w:val="00E46564"/>
    <w:rsid w:val="00E46890"/>
    <w:rsid w:val="00E46E66"/>
    <w:rsid w:val="00E4787F"/>
    <w:rsid w:val="00E50516"/>
    <w:rsid w:val="00E50592"/>
    <w:rsid w:val="00E50A96"/>
    <w:rsid w:val="00E50E04"/>
    <w:rsid w:val="00E50ECC"/>
    <w:rsid w:val="00E51925"/>
    <w:rsid w:val="00E523AE"/>
    <w:rsid w:val="00E52E80"/>
    <w:rsid w:val="00E52E82"/>
    <w:rsid w:val="00E52F76"/>
    <w:rsid w:val="00E53599"/>
    <w:rsid w:val="00E537FF"/>
    <w:rsid w:val="00E5491E"/>
    <w:rsid w:val="00E54B5B"/>
    <w:rsid w:val="00E54DCD"/>
    <w:rsid w:val="00E5511C"/>
    <w:rsid w:val="00E551F9"/>
    <w:rsid w:val="00E556FA"/>
    <w:rsid w:val="00E557C1"/>
    <w:rsid w:val="00E565FB"/>
    <w:rsid w:val="00E56885"/>
    <w:rsid w:val="00E56A46"/>
    <w:rsid w:val="00E56AC9"/>
    <w:rsid w:val="00E56F60"/>
    <w:rsid w:val="00E577BF"/>
    <w:rsid w:val="00E57927"/>
    <w:rsid w:val="00E57B39"/>
    <w:rsid w:val="00E57D05"/>
    <w:rsid w:val="00E60DC6"/>
    <w:rsid w:val="00E61319"/>
    <w:rsid w:val="00E61CCC"/>
    <w:rsid w:val="00E62147"/>
    <w:rsid w:val="00E623BF"/>
    <w:rsid w:val="00E6262B"/>
    <w:rsid w:val="00E63693"/>
    <w:rsid w:val="00E63F90"/>
    <w:rsid w:val="00E644CF"/>
    <w:rsid w:val="00E64986"/>
    <w:rsid w:val="00E658DB"/>
    <w:rsid w:val="00E65DDE"/>
    <w:rsid w:val="00E66710"/>
    <w:rsid w:val="00E669C4"/>
    <w:rsid w:val="00E66EAD"/>
    <w:rsid w:val="00E66EC9"/>
    <w:rsid w:val="00E66FA8"/>
    <w:rsid w:val="00E6740C"/>
    <w:rsid w:val="00E67A48"/>
    <w:rsid w:val="00E7030A"/>
    <w:rsid w:val="00E70DF0"/>
    <w:rsid w:val="00E70E21"/>
    <w:rsid w:val="00E70FCB"/>
    <w:rsid w:val="00E71027"/>
    <w:rsid w:val="00E71691"/>
    <w:rsid w:val="00E7176A"/>
    <w:rsid w:val="00E71BC2"/>
    <w:rsid w:val="00E71D99"/>
    <w:rsid w:val="00E71F23"/>
    <w:rsid w:val="00E71FB7"/>
    <w:rsid w:val="00E7210B"/>
    <w:rsid w:val="00E72466"/>
    <w:rsid w:val="00E725B6"/>
    <w:rsid w:val="00E72ED0"/>
    <w:rsid w:val="00E73565"/>
    <w:rsid w:val="00E73ED7"/>
    <w:rsid w:val="00E743A3"/>
    <w:rsid w:val="00E744D7"/>
    <w:rsid w:val="00E759AB"/>
    <w:rsid w:val="00E75ACD"/>
    <w:rsid w:val="00E760AE"/>
    <w:rsid w:val="00E76ADF"/>
    <w:rsid w:val="00E80A86"/>
    <w:rsid w:val="00E81A5C"/>
    <w:rsid w:val="00E81AA1"/>
    <w:rsid w:val="00E821BF"/>
    <w:rsid w:val="00E821C6"/>
    <w:rsid w:val="00E82590"/>
    <w:rsid w:val="00E835E9"/>
    <w:rsid w:val="00E839CB"/>
    <w:rsid w:val="00E83BC0"/>
    <w:rsid w:val="00E83D06"/>
    <w:rsid w:val="00E83F87"/>
    <w:rsid w:val="00E840AA"/>
    <w:rsid w:val="00E840F2"/>
    <w:rsid w:val="00E84189"/>
    <w:rsid w:val="00E84856"/>
    <w:rsid w:val="00E8489C"/>
    <w:rsid w:val="00E8503A"/>
    <w:rsid w:val="00E85252"/>
    <w:rsid w:val="00E85665"/>
    <w:rsid w:val="00E858C0"/>
    <w:rsid w:val="00E85988"/>
    <w:rsid w:val="00E86757"/>
    <w:rsid w:val="00E8692D"/>
    <w:rsid w:val="00E8692E"/>
    <w:rsid w:val="00E86944"/>
    <w:rsid w:val="00E87299"/>
    <w:rsid w:val="00E909DF"/>
    <w:rsid w:val="00E90EE0"/>
    <w:rsid w:val="00E92647"/>
    <w:rsid w:val="00E9271E"/>
    <w:rsid w:val="00E932FC"/>
    <w:rsid w:val="00E93ACB"/>
    <w:rsid w:val="00E93BAE"/>
    <w:rsid w:val="00E93D99"/>
    <w:rsid w:val="00E93E93"/>
    <w:rsid w:val="00E940B0"/>
    <w:rsid w:val="00E943A3"/>
    <w:rsid w:val="00E944DD"/>
    <w:rsid w:val="00E9497E"/>
    <w:rsid w:val="00E94EE6"/>
    <w:rsid w:val="00E950BC"/>
    <w:rsid w:val="00E95510"/>
    <w:rsid w:val="00E9586C"/>
    <w:rsid w:val="00E95F22"/>
    <w:rsid w:val="00E95FC7"/>
    <w:rsid w:val="00E9653F"/>
    <w:rsid w:val="00E9684A"/>
    <w:rsid w:val="00E96B10"/>
    <w:rsid w:val="00E96F61"/>
    <w:rsid w:val="00E9723A"/>
    <w:rsid w:val="00E9756F"/>
    <w:rsid w:val="00E97A53"/>
    <w:rsid w:val="00EA0491"/>
    <w:rsid w:val="00EA0571"/>
    <w:rsid w:val="00EA0C29"/>
    <w:rsid w:val="00EA0DB0"/>
    <w:rsid w:val="00EA120A"/>
    <w:rsid w:val="00EA1480"/>
    <w:rsid w:val="00EA169B"/>
    <w:rsid w:val="00EA1DEC"/>
    <w:rsid w:val="00EA236F"/>
    <w:rsid w:val="00EA2ABA"/>
    <w:rsid w:val="00EA2E7A"/>
    <w:rsid w:val="00EA304C"/>
    <w:rsid w:val="00EA3BAC"/>
    <w:rsid w:val="00EA4B05"/>
    <w:rsid w:val="00EA4DD9"/>
    <w:rsid w:val="00EA5046"/>
    <w:rsid w:val="00EA546C"/>
    <w:rsid w:val="00EA5653"/>
    <w:rsid w:val="00EA5B26"/>
    <w:rsid w:val="00EA5B42"/>
    <w:rsid w:val="00EA64AE"/>
    <w:rsid w:val="00EA6B15"/>
    <w:rsid w:val="00EA6D05"/>
    <w:rsid w:val="00EA70FF"/>
    <w:rsid w:val="00EA76AE"/>
    <w:rsid w:val="00EA7911"/>
    <w:rsid w:val="00EA7993"/>
    <w:rsid w:val="00EA7C36"/>
    <w:rsid w:val="00EA7DD9"/>
    <w:rsid w:val="00EB191A"/>
    <w:rsid w:val="00EB1EB7"/>
    <w:rsid w:val="00EB2232"/>
    <w:rsid w:val="00EB264B"/>
    <w:rsid w:val="00EB30C9"/>
    <w:rsid w:val="00EB31F4"/>
    <w:rsid w:val="00EB37BB"/>
    <w:rsid w:val="00EB3A6C"/>
    <w:rsid w:val="00EB4370"/>
    <w:rsid w:val="00EB4900"/>
    <w:rsid w:val="00EB4A33"/>
    <w:rsid w:val="00EB4CC9"/>
    <w:rsid w:val="00EB5A71"/>
    <w:rsid w:val="00EB5E6F"/>
    <w:rsid w:val="00EB5EA3"/>
    <w:rsid w:val="00EB6163"/>
    <w:rsid w:val="00EB688A"/>
    <w:rsid w:val="00EB6D0C"/>
    <w:rsid w:val="00EB6D36"/>
    <w:rsid w:val="00EB6D60"/>
    <w:rsid w:val="00EB7464"/>
    <w:rsid w:val="00EC00F8"/>
    <w:rsid w:val="00EC0224"/>
    <w:rsid w:val="00EC0823"/>
    <w:rsid w:val="00EC26B0"/>
    <w:rsid w:val="00EC3897"/>
    <w:rsid w:val="00EC3DA2"/>
    <w:rsid w:val="00EC3E42"/>
    <w:rsid w:val="00EC3E4C"/>
    <w:rsid w:val="00EC4745"/>
    <w:rsid w:val="00EC4FED"/>
    <w:rsid w:val="00EC568D"/>
    <w:rsid w:val="00EC5A36"/>
    <w:rsid w:val="00EC5AD0"/>
    <w:rsid w:val="00EC5F0E"/>
    <w:rsid w:val="00EC6B24"/>
    <w:rsid w:val="00EC7073"/>
    <w:rsid w:val="00EC7600"/>
    <w:rsid w:val="00EC76A9"/>
    <w:rsid w:val="00ED1578"/>
    <w:rsid w:val="00ED188D"/>
    <w:rsid w:val="00ED23D1"/>
    <w:rsid w:val="00ED265E"/>
    <w:rsid w:val="00ED2746"/>
    <w:rsid w:val="00ED288C"/>
    <w:rsid w:val="00ED2F08"/>
    <w:rsid w:val="00ED2FC7"/>
    <w:rsid w:val="00ED3388"/>
    <w:rsid w:val="00ED440C"/>
    <w:rsid w:val="00ED4B9D"/>
    <w:rsid w:val="00ED5BA2"/>
    <w:rsid w:val="00ED766C"/>
    <w:rsid w:val="00ED7795"/>
    <w:rsid w:val="00ED7D19"/>
    <w:rsid w:val="00ED7DFA"/>
    <w:rsid w:val="00EE0F81"/>
    <w:rsid w:val="00EE14FA"/>
    <w:rsid w:val="00EE15CE"/>
    <w:rsid w:val="00EE1C69"/>
    <w:rsid w:val="00EE1F45"/>
    <w:rsid w:val="00EE2A01"/>
    <w:rsid w:val="00EE2BC4"/>
    <w:rsid w:val="00EE2F06"/>
    <w:rsid w:val="00EE31F6"/>
    <w:rsid w:val="00EE3379"/>
    <w:rsid w:val="00EE3E6E"/>
    <w:rsid w:val="00EE41CA"/>
    <w:rsid w:val="00EE4556"/>
    <w:rsid w:val="00EE4B64"/>
    <w:rsid w:val="00EE4F60"/>
    <w:rsid w:val="00EE52D6"/>
    <w:rsid w:val="00EE598B"/>
    <w:rsid w:val="00EE6C9E"/>
    <w:rsid w:val="00EE6F20"/>
    <w:rsid w:val="00EE77F7"/>
    <w:rsid w:val="00EE795F"/>
    <w:rsid w:val="00EE7DB4"/>
    <w:rsid w:val="00EF0435"/>
    <w:rsid w:val="00EF05B0"/>
    <w:rsid w:val="00EF06E4"/>
    <w:rsid w:val="00EF0DD0"/>
    <w:rsid w:val="00EF11AE"/>
    <w:rsid w:val="00EF1969"/>
    <w:rsid w:val="00EF2589"/>
    <w:rsid w:val="00EF25EC"/>
    <w:rsid w:val="00EF348C"/>
    <w:rsid w:val="00EF34B9"/>
    <w:rsid w:val="00EF383F"/>
    <w:rsid w:val="00EF388A"/>
    <w:rsid w:val="00EF3DA4"/>
    <w:rsid w:val="00EF5378"/>
    <w:rsid w:val="00EF56A4"/>
    <w:rsid w:val="00EF573C"/>
    <w:rsid w:val="00EF6541"/>
    <w:rsid w:val="00EF6550"/>
    <w:rsid w:val="00EF6B69"/>
    <w:rsid w:val="00EF6C64"/>
    <w:rsid w:val="00EF7854"/>
    <w:rsid w:val="00EF7DA7"/>
    <w:rsid w:val="00F009C1"/>
    <w:rsid w:val="00F0165D"/>
    <w:rsid w:val="00F016DC"/>
    <w:rsid w:val="00F02A95"/>
    <w:rsid w:val="00F02B7B"/>
    <w:rsid w:val="00F0372D"/>
    <w:rsid w:val="00F03C9C"/>
    <w:rsid w:val="00F042E4"/>
    <w:rsid w:val="00F0450E"/>
    <w:rsid w:val="00F0470A"/>
    <w:rsid w:val="00F049AB"/>
    <w:rsid w:val="00F04E40"/>
    <w:rsid w:val="00F0678A"/>
    <w:rsid w:val="00F06BD8"/>
    <w:rsid w:val="00F074BF"/>
    <w:rsid w:val="00F077A8"/>
    <w:rsid w:val="00F07808"/>
    <w:rsid w:val="00F07B5E"/>
    <w:rsid w:val="00F07F51"/>
    <w:rsid w:val="00F102CD"/>
    <w:rsid w:val="00F1048B"/>
    <w:rsid w:val="00F10951"/>
    <w:rsid w:val="00F10B61"/>
    <w:rsid w:val="00F11D18"/>
    <w:rsid w:val="00F11D57"/>
    <w:rsid w:val="00F128A1"/>
    <w:rsid w:val="00F12C54"/>
    <w:rsid w:val="00F131C6"/>
    <w:rsid w:val="00F132A8"/>
    <w:rsid w:val="00F1394D"/>
    <w:rsid w:val="00F13AF2"/>
    <w:rsid w:val="00F13D9A"/>
    <w:rsid w:val="00F142FD"/>
    <w:rsid w:val="00F15947"/>
    <w:rsid w:val="00F15AA2"/>
    <w:rsid w:val="00F16045"/>
    <w:rsid w:val="00F16420"/>
    <w:rsid w:val="00F16AC3"/>
    <w:rsid w:val="00F174D5"/>
    <w:rsid w:val="00F177C2"/>
    <w:rsid w:val="00F201B9"/>
    <w:rsid w:val="00F205C6"/>
    <w:rsid w:val="00F20916"/>
    <w:rsid w:val="00F20B89"/>
    <w:rsid w:val="00F218B7"/>
    <w:rsid w:val="00F21A48"/>
    <w:rsid w:val="00F22684"/>
    <w:rsid w:val="00F230B3"/>
    <w:rsid w:val="00F2448D"/>
    <w:rsid w:val="00F24E6F"/>
    <w:rsid w:val="00F25A8F"/>
    <w:rsid w:val="00F25BBC"/>
    <w:rsid w:val="00F26294"/>
    <w:rsid w:val="00F26754"/>
    <w:rsid w:val="00F26ABE"/>
    <w:rsid w:val="00F27702"/>
    <w:rsid w:val="00F27869"/>
    <w:rsid w:val="00F308F6"/>
    <w:rsid w:val="00F31BDD"/>
    <w:rsid w:val="00F325E9"/>
    <w:rsid w:val="00F327FB"/>
    <w:rsid w:val="00F33550"/>
    <w:rsid w:val="00F338E7"/>
    <w:rsid w:val="00F33973"/>
    <w:rsid w:val="00F34508"/>
    <w:rsid w:val="00F34C6F"/>
    <w:rsid w:val="00F353D6"/>
    <w:rsid w:val="00F35F68"/>
    <w:rsid w:val="00F35F8B"/>
    <w:rsid w:val="00F35FF2"/>
    <w:rsid w:val="00F3718A"/>
    <w:rsid w:val="00F3765A"/>
    <w:rsid w:val="00F378DF"/>
    <w:rsid w:val="00F40413"/>
    <w:rsid w:val="00F40E31"/>
    <w:rsid w:val="00F4114B"/>
    <w:rsid w:val="00F4165A"/>
    <w:rsid w:val="00F41687"/>
    <w:rsid w:val="00F41958"/>
    <w:rsid w:val="00F4205D"/>
    <w:rsid w:val="00F42522"/>
    <w:rsid w:val="00F429E0"/>
    <w:rsid w:val="00F42E3D"/>
    <w:rsid w:val="00F43B23"/>
    <w:rsid w:val="00F43FC9"/>
    <w:rsid w:val="00F4416C"/>
    <w:rsid w:val="00F44191"/>
    <w:rsid w:val="00F44CC6"/>
    <w:rsid w:val="00F44DC1"/>
    <w:rsid w:val="00F457D8"/>
    <w:rsid w:val="00F46246"/>
    <w:rsid w:val="00F464C1"/>
    <w:rsid w:val="00F46679"/>
    <w:rsid w:val="00F46BDC"/>
    <w:rsid w:val="00F46F5D"/>
    <w:rsid w:val="00F47E15"/>
    <w:rsid w:val="00F4ACE7"/>
    <w:rsid w:val="00F4F6F1"/>
    <w:rsid w:val="00F502E8"/>
    <w:rsid w:val="00F5030C"/>
    <w:rsid w:val="00F52C95"/>
    <w:rsid w:val="00F52CFB"/>
    <w:rsid w:val="00F533B6"/>
    <w:rsid w:val="00F5367B"/>
    <w:rsid w:val="00F5387B"/>
    <w:rsid w:val="00F53B16"/>
    <w:rsid w:val="00F53B76"/>
    <w:rsid w:val="00F540F6"/>
    <w:rsid w:val="00F5415B"/>
    <w:rsid w:val="00F5417E"/>
    <w:rsid w:val="00F541F0"/>
    <w:rsid w:val="00F5433D"/>
    <w:rsid w:val="00F5467E"/>
    <w:rsid w:val="00F549EB"/>
    <w:rsid w:val="00F54BA5"/>
    <w:rsid w:val="00F54BE0"/>
    <w:rsid w:val="00F54DF5"/>
    <w:rsid w:val="00F54FF0"/>
    <w:rsid w:val="00F55142"/>
    <w:rsid w:val="00F55213"/>
    <w:rsid w:val="00F5552D"/>
    <w:rsid w:val="00F561BC"/>
    <w:rsid w:val="00F565A7"/>
    <w:rsid w:val="00F56612"/>
    <w:rsid w:val="00F56C40"/>
    <w:rsid w:val="00F57609"/>
    <w:rsid w:val="00F57CFE"/>
    <w:rsid w:val="00F600E9"/>
    <w:rsid w:val="00F607CB"/>
    <w:rsid w:val="00F60A49"/>
    <w:rsid w:val="00F60F45"/>
    <w:rsid w:val="00F61B20"/>
    <w:rsid w:val="00F63864"/>
    <w:rsid w:val="00F63A55"/>
    <w:rsid w:val="00F63B93"/>
    <w:rsid w:val="00F6407E"/>
    <w:rsid w:val="00F6440D"/>
    <w:rsid w:val="00F6448C"/>
    <w:rsid w:val="00F649AD"/>
    <w:rsid w:val="00F64AEE"/>
    <w:rsid w:val="00F64E49"/>
    <w:rsid w:val="00F65B6D"/>
    <w:rsid w:val="00F65BB4"/>
    <w:rsid w:val="00F65C01"/>
    <w:rsid w:val="00F6643A"/>
    <w:rsid w:val="00F66D2D"/>
    <w:rsid w:val="00F670D0"/>
    <w:rsid w:val="00F672C6"/>
    <w:rsid w:val="00F672E8"/>
    <w:rsid w:val="00F6735A"/>
    <w:rsid w:val="00F674E2"/>
    <w:rsid w:val="00F677B4"/>
    <w:rsid w:val="00F679CC"/>
    <w:rsid w:val="00F71596"/>
    <w:rsid w:val="00F717D4"/>
    <w:rsid w:val="00F7399D"/>
    <w:rsid w:val="00F73E5E"/>
    <w:rsid w:val="00F74C40"/>
    <w:rsid w:val="00F76033"/>
    <w:rsid w:val="00F7618B"/>
    <w:rsid w:val="00F766F5"/>
    <w:rsid w:val="00F7699A"/>
    <w:rsid w:val="00F76A0F"/>
    <w:rsid w:val="00F773B4"/>
    <w:rsid w:val="00F77B6E"/>
    <w:rsid w:val="00F8012C"/>
    <w:rsid w:val="00F80F41"/>
    <w:rsid w:val="00F81D95"/>
    <w:rsid w:val="00F820E8"/>
    <w:rsid w:val="00F8252F"/>
    <w:rsid w:val="00F8391F"/>
    <w:rsid w:val="00F83B13"/>
    <w:rsid w:val="00F84339"/>
    <w:rsid w:val="00F846A9"/>
    <w:rsid w:val="00F848F9"/>
    <w:rsid w:val="00F84DE2"/>
    <w:rsid w:val="00F851AA"/>
    <w:rsid w:val="00F8549C"/>
    <w:rsid w:val="00F8554C"/>
    <w:rsid w:val="00F856E9"/>
    <w:rsid w:val="00F85F2D"/>
    <w:rsid w:val="00F862D0"/>
    <w:rsid w:val="00F86355"/>
    <w:rsid w:val="00F863A7"/>
    <w:rsid w:val="00F86420"/>
    <w:rsid w:val="00F8657A"/>
    <w:rsid w:val="00F869A4"/>
    <w:rsid w:val="00F86D4B"/>
    <w:rsid w:val="00F90909"/>
    <w:rsid w:val="00F90E50"/>
    <w:rsid w:val="00F92005"/>
    <w:rsid w:val="00F9212D"/>
    <w:rsid w:val="00F92970"/>
    <w:rsid w:val="00F92D9C"/>
    <w:rsid w:val="00F935B9"/>
    <w:rsid w:val="00F93B5C"/>
    <w:rsid w:val="00F94116"/>
    <w:rsid w:val="00F94177"/>
    <w:rsid w:val="00F95126"/>
    <w:rsid w:val="00F953E6"/>
    <w:rsid w:val="00F95B7B"/>
    <w:rsid w:val="00F95D6A"/>
    <w:rsid w:val="00F962F3"/>
    <w:rsid w:val="00F96371"/>
    <w:rsid w:val="00F96718"/>
    <w:rsid w:val="00F96947"/>
    <w:rsid w:val="00FA00CD"/>
    <w:rsid w:val="00FA0178"/>
    <w:rsid w:val="00FA02CA"/>
    <w:rsid w:val="00FA04AD"/>
    <w:rsid w:val="00FA0FCA"/>
    <w:rsid w:val="00FA11FB"/>
    <w:rsid w:val="00FA1276"/>
    <w:rsid w:val="00FA1364"/>
    <w:rsid w:val="00FA1985"/>
    <w:rsid w:val="00FA19CC"/>
    <w:rsid w:val="00FA1DBF"/>
    <w:rsid w:val="00FA1DC6"/>
    <w:rsid w:val="00FA2035"/>
    <w:rsid w:val="00FA296B"/>
    <w:rsid w:val="00FA2C37"/>
    <w:rsid w:val="00FA396A"/>
    <w:rsid w:val="00FA40DB"/>
    <w:rsid w:val="00FA41CF"/>
    <w:rsid w:val="00FA467D"/>
    <w:rsid w:val="00FA48CC"/>
    <w:rsid w:val="00FA48E2"/>
    <w:rsid w:val="00FA5B5F"/>
    <w:rsid w:val="00FA5D6F"/>
    <w:rsid w:val="00FA5FB8"/>
    <w:rsid w:val="00FA60E4"/>
    <w:rsid w:val="00FA64AA"/>
    <w:rsid w:val="00FA69A5"/>
    <w:rsid w:val="00FA6B86"/>
    <w:rsid w:val="00FA7066"/>
    <w:rsid w:val="00FA759D"/>
    <w:rsid w:val="00FA7775"/>
    <w:rsid w:val="00FA7B8C"/>
    <w:rsid w:val="00FA7F53"/>
    <w:rsid w:val="00FB03E5"/>
    <w:rsid w:val="00FB053E"/>
    <w:rsid w:val="00FB0CFE"/>
    <w:rsid w:val="00FB1D72"/>
    <w:rsid w:val="00FB2C32"/>
    <w:rsid w:val="00FB2FC5"/>
    <w:rsid w:val="00FB34B8"/>
    <w:rsid w:val="00FB37FF"/>
    <w:rsid w:val="00FB451A"/>
    <w:rsid w:val="00FB4EA2"/>
    <w:rsid w:val="00FB4EBB"/>
    <w:rsid w:val="00FB5436"/>
    <w:rsid w:val="00FB561D"/>
    <w:rsid w:val="00FB57A6"/>
    <w:rsid w:val="00FB5905"/>
    <w:rsid w:val="00FB5CC6"/>
    <w:rsid w:val="00FB5D0C"/>
    <w:rsid w:val="00FB661E"/>
    <w:rsid w:val="00FB7E14"/>
    <w:rsid w:val="00FC0D89"/>
    <w:rsid w:val="00FC0E97"/>
    <w:rsid w:val="00FC0FA3"/>
    <w:rsid w:val="00FC1E77"/>
    <w:rsid w:val="00FC248A"/>
    <w:rsid w:val="00FC2704"/>
    <w:rsid w:val="00FC4118"/>
    <w:rsid w:val="00FC41C1"/>
    <w:rsid w:val="00FC433E"/>
    <w:rsid w:val="00FC4360"/>
    <w:rsid w:val="00FC51D5"/>
    <w:rsid w:val="00FC5795"/>
    <w:rsid w:val="00FC6328"/>
    <w:rsid w:val="00FC6407"/>
    <w:rsid w:val="00FC6C06"/>
    <w:rsid w:val="00FC6FB3"/>
    <w:rsid w:val="00FC7073"/>
    <w:rsid w:val="00FC7804"/>
    <w:rsid w:val="00FC7871"/>
    <w:rsid w:val="00FC7E9D"/>
    <w:rsid w:val="00FD083E"/>
    <w:rsid w:val="00FD0AC2"/>
    <w:rsid w:val="00FD0B7B"/>
    <w:rsid w:val="00FD1787"/>
    <w:rsid w:val="00FD1F6F"/>
    <w:rsid w:val="00FD20F9"/>
    <w:rsid w:val="00FD2772"/>
    <w:rsid w:val="00FD312B"/>
    <w:rsid w:val="00FD31FF"/>
    <w:rsid w:val="00FD35C4"/>
    <w:rsid w:val="00FD367E"/>
    <w:rsid w:val="00FD3AE2"/>
    <w:rsid w:val="00FD3B74"/>
    <w:rsid w:val="00FD472C"/>
    <w:rsid w:val="00FD4C9F"/>
    <w:rsid w:val="00FD557F"/>
    <w:rsid w:val="00FD610D"/>
    <w:rsid w:val="00FD618C"/>
    <w:rsid w:val="00FD6E26"/>
    <w:rsid w:val="00FD74DE"/>
    <w:rsid w:val="00FD74EE"/>
    <w:rsid w:val="00FD7B9A"/>
    <w:rsid w:val="00FE00B5"/>
    <w:rsid w:val="00FE027F"/>
    <w:rsid w:val="00FE0455"/>
    <w:rsid w:val="00FE057C"/>
    <w:rsid w:val="00FE0906"/>
    <w:rsid w:val="00FE146E"/>
    <w:rsid w:val="00FE2D80"/>
    <w:rsid w:val="00FE2EE5"/>
    <w:rsid w:val="00FE2FEF"/>
    <w:rsid w:val="00FE32C0"/>
    <w:rsid w:val="00FE58C2"/>
    <w:rsid w:val="00FE66D2"/>
    <w:rsid w:val="00FE6F63"/>
    <w:rsid w:val="00FE71B9"/>
    <w:rsid w:val="00FE76F1"/>
    <w:rsid w:val="00FF01BC"/>
    <w:rsid w:val="00FF0AC1"/>
    <w:rsid w:val="00FF15AD"/>
    <w:rsid w:val="00FF1BB7"/>
    <w:rsid w:val="00FF2413"/>
    <w:rsid w:val="00FF245B"/>
    <w:rsid w:val="00FF2778"/>
    <w:rsid w:val="00FF2972"/>
    <w:rsid w:val="00FF2BC5"/>
    <w:rsid w:val="00FF2D1D"/>
    <w:rsid w:val="00FF307B"/>
    <w:rsid w:val="00FF313A"/>
    <w:rsid w:val="00FF3188"/>
    <w:rsid w:val="00FF31E6"/>
    <w:rsid w:val="00FF320C"/>
    <w:rsid w:val="00FF33E4"/>
    <w:rsid w:val="00FF3F39"/>
    <w:rsid w:val="00FF3FF0"/>
    <w:rsid w:val="00FF438A"/>
    <w:rsid w:val="00FF4AE2"/>
    <w:rsid w:val="00FF4DC0"/>
    <w:rsid w:val="00FF50FC"/>
    <w:rsid w:val="00FF6828"/>
    <w:rsid w:val="00FF7058"/>
    <w:rsid w:val="00FF71FA"/>
    <w:rsid w:val="00FF738C"/>
    <w:rsid w:val="00FF7B28"/>
    <w:rsid w:val="00FF7DEE"/>
    <w:rsid w:val="010A2236"/>
    <w:rsid w:val="01123B7E"/>
    <w:rsid w:val="011E1980"/>
    <w:rsid w:val="017C00B3"/>
    <w:rsid w:val="019B53F8"/>
    <w:rsid w:val="01B80D72"/>
    <w:rsid w:val="01F23266"/>
    <w:rsid w:val="01FBDAC1"/>
    <w:rsid w:val="02010DCD"/>
    <w:rsid w:val="0208F3B7"/>
    <w:rsid w:val="022219AD"/>
    <w:rsid w:val="0233601C"/>
    <w:rsid w:val="026B2C1C"/>
    <w:rsid w:val="02735CFD"/>
    <w:rsid w:val="02918820"/>
    <w:rsid w:val="029ABD5E"/>
    <w:rsid w:val="02C00EA1"/>
    <w:rsid w:val="02C28736"/>
    <w:rsid w:val="02C79A26"/>
    <w:rsid w:val="02D01C39"/>
    <w:rsid w:val="02F0C0BF"/>
    <w:rsid w:val="02F3383F"/>
    <w:rsid w:val="0318DA8B"/>
    <w:rsid w:val="03212318"/>
    <w:rsid w:val="03CFC830"/>
    <w:rsid w:val="03D855AB"/>
    <w:rsid w:val="0424FBBC"/>
    <w:rsid w:val="04290869"/>
    <w:rsid w:val="046D73A5"/>
    <w:rsid w:val="049AC867"/>
    <w:rsid w:val="049E2F4B"/>
    <w:rsid w:val="051C3FA9"/>
    <w:rsid w:val="0521496C"/>
    <w:rsid w:val="052BFC32"/>
    <w:rsid w:val="05314176"/>
    <w:rsid w:val="054DD48F"/>
    <w:rsid w:val="0578BCD3"/>
    <w:rsid w:val="0592D523"/>
    <w:rsid w:val="05C5A5BA"/>
    <w:rsid w:val="05DBA311"/>
    <w:rsid w:val="05DBE5AC"/>
    <w:rsid w:val="05F1C522"/>
    <w:rsid w:val="05FED2A0"/>
    <w:rsid w:val="060950BC"/>
    <w:rsid w:val="0623701A"/>
    <w:rsid w:val="064039ED"/>
    <w:rsid w:val="06457867"/>
    <w:rsid w:val="06600001"/>
    <w:rsid w:val="0670DC35"/>
    <w:rsid w:val="06748697"/>
    <w:rsid w:val="069030F4"/>
    <w:rsid w:val="06A609F9"/>
    <w:rsid w:val="06CA8F44"/>
    <w:rsid w:val="06D61512"/>
    <w:rsid w:val="06EA1095"/>
    <w:rsid w:val="07522058"/>
    <w:rsid w:val="076CEC8D"/>
    <w:rsid w:val="076E6D4F"/>
    <w:rsid w:val="07710B79"/>
    <w:rsid w:val="07C7567D"/>
    <w:rsid w:val="07CA8DF3"/>
    <w:rsid w:val="07D74525"/>
    <w:rsid w:val="07E5C013"/>
    <w:rsid w:val="07F33E09"/>
    <w:rsid w:val="07FA270E"/>
    <w:rsid w:val="080DA36B"/>
    <w:rsid w:val="081BE4A3"/>
    <w:rsid w:val="08337034"/>
    <w:rsid w:val="08367422"/>
    <w:rsid w:val="0838ACA6"/>
    <w:rsid w:val="083FA69A"/>
    <w:rsid w:val="084A14AF"/>
    <w:rsid w:val="0866E179"/>
    <w:rsid w:val="08704F51"/>
    <w:rsid w:val="08722B81"/>
    <w:rsid w:val="08E465C9"/>
    <w:rsid w:val="090008D6"/>
    <w:rsid w:val="090BC454"/>
    <w:rsid w:val="0942FE0C"/>
    <w:rsid w:val="09444420"/>
    <w:rsid w:val="094708E6"/>
    <w:rsid w:val="094F7261"/>
    <w:rsid w:val="095CE5FF"/>
    <w:rsid w:val="0971C968"/>
    <w:rsid w:val="098CC7EE"/>
    <w:rsid w:val="0999E32A"/>
    <w:rsid w:val="09BF96F7"/>
    <w:rsid w:val="09EFB77D"/>
    <w:rsid w:val="09F713D2"/>
    <w:rsid w:val="0A195F2A"/>
    <w:rsid w:val="0A266643"/>
    <w:rsid w:val="0A2FBC43"/>
    <w:rsid w:val="0A315897"/>
    <w:rsid w:val="0A57E055"/>
    <w:rsid w:val="0A84E92D"/>
    <w:rsid w:val="0ABEAD6A"/>
    <w:rsid w:val="0AC9000F"/>
    <w:rsid w:val="0ACBBC1A"/>
    <w:rsid w:val="0B5DD37F"/>
    <w:rsid w:val="0B7CAFF1"/>
    <w:rsid w:val="0B9645B2"/>
    <w:rsid w:val="0BC38A45"/>
    <w:rsid w:val="0BD11B1A"/>
    <w:rsid w:val="0BD1F318"/>
    <w:rsid w:val="0BDE009D"/>
    <w:rsid w:val="0BE3FFE8"/>
    <w:rsid w:val="0C2AB32A"/>
    <w:rsid w:val="0C549B33"/>
    <w:rsid w:val="0C8A4BC1"/>
    <w:rsid w:val="0C971772"/>
    <w:rsid w:val="0C9AD2A8"/>
    <w:rsid w:val="0D052B17"/>
    <w:rsid w:val="0D846939"/>
    <w:rsid w:val="0DB8DF21"/>
    <w:rsid w:val="0DEACC6C"/>
    <w:rsid w:val="0DF7706D"/>
    <w:rsid w:val="0E0BA14D"/>
    <w:rsid w:val="0E2538D1"/>
    <w:rsid w:val="0E5D2B62"/>
    <w:rsid w:val="0E65B234"/>
    <w:rsid w:val="0E6E69BB"/>
    <w:rsid w:val="0EA4A9EC"/>
    <w:rsid w:val="0EB22DB1"/>
    <w:rsid w:val="0ECD4007"/>
    <w:rsid w:val="0EDD5E3C"/>
    <w:rsid w:val="0EE414F2"/>
    <w:rsid w:val="0EEB6A68"/>
    <w:rsid w:val="0EEBE3EB"/>
    <w:rsid w:val="0EEC11A7"/>
    <w:rsid w:val="0EF87D59"/>
    <w:rsid w:val="0EFC557A"/>
    <w:rsid w:val="0F1DCBB9"/>
    <w:rsid w:val="0F28A304"/>
    <w:rsid w:val="0F4116CB"/>
    <w:rsid w:val="0F4D9E38"/>
    <w:rsid w:val="0F4DCA20"/>
    <w:rsid w:val="0F5ED051"/>
    <w:rsid w:val="0F82D96C"/>
    <w:rsid w:val="0F8EEA69"/>
    <w:rsid w:val="0F977ADF"/>
    <w:rsid w:val="101BB0F1"/>
    <w:rsid w:val="10252588"/>
    <w:rsid w:val="10261F09"/>
    <w:rsid w:val="10394411"/>
    <w:rsid w:val="10570DB2"/>
    <w:rsid w:val="106B65BF"/>
    <w:rsid w:val="106E0FCB"/>
    <w:rsid w:val="1076BBA0"/>
    <w:rsid w:val="1076E9F7"/>
    <w:rsid w:val="10A73173"/>
    <w:rsid w:val="10B729B9"/>
    <w:rsid w:val="10B9F2E7"/>
    <w:rsid w:val="10BF1F4D"/>
    <w:rsid w:val="10ECC305"/>
    <w:rsid w:val="111EA9CD"/>
    <w:rsid w:val="114E398D"/>
    <w:rsid w:val="115F63FB"/>
    <w:rsid w:val="1162BD01"/>
    <w:rsid w:val="11958BFE"/>
    <w:rsid w:val="11C12A1D"/>
    <w:rsid w:val="11C28980"/>
    <w:rsid w:val="11F2FBC7"/>
    <w:rsid w:val="12045314"/>
    <w:rsid w:val="1222AECA"/>
    <w:rsid w:val="124318F8"/>
    <w:rsid w:val="1298A4BC"/>
    <w:rsid w:val="12C12F36"/>
    <w:rsid w:val="12C20C24"/>
    <w:rsid w:val="12F2234C"/>
    <w:rsid w:val="1314EC54"/>
    <w:rsid w:val="131737E3"/>
    <w:rsid w:val="1339AF6C"/>
    <w:rsid w:val="13859ED4"/>
    <w:rsid w:val="138AA0FA"/>
    <w:rsid w:val="138D710F"/>
    <w:rsid w:val="141C3A83"/>
    <w:rsid w:val="142DB04B"/>
    <w:rsid w:val="143268B2"/>
    <w:rsid w:val="143802F0"/>
    <w:rsid w:val="1478937C"/>
    <w:rsid w:val="147E971E"/>
    <w:rsid w:val="14879E59"/>
    <w:rsid w:val="148E3850"/>
    <w:rsid w:val="148E78D0"/>
    <w:rsid w:val="149643CD"/>
    <w:rsid w:val="149E8210"/>
    <w:rsid w:val="14C7F125"/>
    <w:rsid w:val="14D219F0"/>
    <w:rsid w:val="151A0A84"/>
    <w:rsid w:val="151C0448"/>
    <w:rsid w:val="153C82E4"/>
    <w:rsid w:val="1554F524"/>
    <w:rsid w:val="157D2FD9"/>
    <w:rsid w:val="157F3E9D"/>
    <w:rsid w:val="15A7F3D0"/>
    <w:rsid w:val="15B70285"/>
    <w:rsid w:val="15D8433F"/>
    <w:rsid w:val="15D9DF07"/>
    <w:rsid w:val="15E1FA1D"/>
    <w:rsid w:val="161BEEFB"/>
    <w:rsid w:val="16203495"/>
    <w:rsid w:val="162B8D6E"/>
    <w:rsid w:val="16318263"/>
    <w:rsid w:val="16476F54"/>
    <w:rsid w:val="165E2F7E"/>
    <w:rsid w:val="1661753D"/>
    <w:rsid w:val="167C7837"/>
    <w:rsid w:val="1689C3CD"/>
    <w:rsid w:val="168E72BF"/>
    <w:rsid w:val="16AA84FC"/>
    <w:rsid w:val="16D1A5A4"/>
    <w:rsid w:val="16D66B01"/>
    <w:rsid w:val="16E1647F"/>
    <w:rsid w:val="16E8DDFD"/>
    <w:rsid w:val="17463EF5"/>
    <w:rsid w:val="177293EF"/>
    <w:rsid w:val="17885E33"/>
    <w:rsid w:val="17FD96E4"/>
    <w:rsid w:val="183D19A0"/>
    <w:rsid w:val="18538A78"/>
    <w:rsid w:val="1881E044"/>
    <w:rsid w:val="1884F4C0"/>
    <w:rsid w:val="188627D9"/>
    <w:rsid w:val="18A1D2D5"/>
    <w:rsid w:val="18A22C2F"/>
    <w:rsid w:val="190418D8"/>
    <w:rsid w:val="190BA6E4"/>
    <w:rsid w:val="1923A051"/>
    <w:rsid w:val="192FB491"/>
    <w:rsid w:val="1938B488"/>
    <w:rsid w:val="193B8E2B"/>
    <w:rsid w:val="194C50A2"/>
    <w:rsid w:val="1957FDEF"/>
    <w:rsid w:val="1962CB11"/>
    <w:rsid w:val="19BBED4D"/>
    <w:rsid w:val="19DF6F8F"/>
    <w:rsid w:val="19E2E07D"/>
    <w:rsid w:val="19F365DD"/>
    <w:rsid w:val="19FC68C2"/>
    <w:rsid w:val="1A3EF85E"/>
    <w:rsid w:val="1A50B1FC"/>
    <w:rsid w:val="1A56B8CA"/>
    <w:rsid w:val="1A6024D2"/>
    <w:rsid w:val="1A6181B6"/>
    <w:rsid w:val="1A799AA0"/>
    <w:rsid w:val="1AE9DEFD"/>
    <w:rsid w:val="1AEB781F"/>
    <w:rsid w:val="1AED2CEA"/>
    <w:rsid w:val="1B0F7272"/>
    <w:rsid w:val="1B234154"/>
    <w:rsid w:val="1B599BCB"/>
    <w:rsid w:val="1B73A739"/>
    <w:rsid w:val="1B94E049"/>
    <w:rsid w:val="1BB3B0C2"/>
    <w:rsid w:val="1BB71A69"/>
    <w:rsid w:val="1C3CA3D8"/>
    <w:rsid w:val="1C410847"/>
    <w:rsid w:val="1C5617EF"/>
    <w:rsid w:val="1C5C47E6"/>
    <w:rsid w:val="1CA91C81"/>
    <w:rsid w:val="1CCA2343"/>
    <w:rsid w:val="1CF41D79"/>
    <w:rsid w:val="1D2F03B3"/>
    <w:rsid w:val="1D30D2D1"/>
    <w:rsid w:val="1D310AB9"/>
    <w:rsid w:val="1D340984"/>
    <w:rsid w:val="1D4DC983"/>
    <w:rsid w:val="1D6E2BF9"/>
    <w:rsid w:val="1D7867BE"/>
    <w:rsid w:val="1D7C2EDC"/>
    <w:rsid w:val="1D819731"/>
    <w:rsid w:val="1D8EC509"/>
    <w:rsid w:val="1D921F3B"/>
    <w:rsid w:val="1DBF63E5"/>
    <w:rsid w:val="1DDF3F45"/>
    <w:rsid w:val="1DE8D9BC"/>
    <w:rsid w:val="1DF6D9FF"/>
    <w:rsid w:val="1E5C6609"/>
    <w:rsid w:val="1E663AA5"/>
    <w:rsid w:val="1E85B495"/>
    <w:rsid w:val="1E85B91C"/>
    <w:rsid w:val="1F380416"/>
    <w:rsid w:val="1F530109"/>
    <w:rsid w:val="1F8B87B8"/>
    <w:rsid w:val="1F971010"/>
    <w:rsid w:val="1FA1C561"/>
    <w:rsid w:val="1FB91629"/>
    <w:rsid w:val="1FC39445"/>
    <w:rsid w:val="1FFF46A0"/>
    <w:rsid w:val="2000AF12"/>
    <w:rsid w:val="2016DC46"/>
    <w:rsid w:val="204B790A"/>
    <w:rsid w:val="2057674A"/>
    <w:rsid w:val="20A8705A"/>
    <w:rsid w:val="20B3B594"/>
    <w:rsid w:val="20BE703F"/>
    <w:rsid w:val="20C9A27E"/>
    <w:rsid w:val="20EC73AF"/>
    <w:rsid w:val="20EE7A10"/>
    <w:rsid w:val="2111C49A"/>
    <w:rsid w:val="21129ECB"/>
    <w:rsid w:val="21590D71"/>
    <w:rsid w:val="21783247"/>
    <w:rsid w:val="217C492A"/>
    <w:rsid w:val="219328CB"/>
    <w:rsid w:val="21C6FDDC"/>
    <w:rsid w:val="21CA68AB"/>
    <w:rsid w:val="21CFA680"/>
    <w:rsid w:val="22287255"/>
    <w:rsid w:val="227A7DE9"/>
    <w:rsid w:val="22966C8F"/>
    <w:rsid w:val="22AB2884"/>
    <w:rsid w:val="22B4B5F1"/>
    <w:rsid w:val="22BACD4D"/>
    <w:rsid w:val="22C321F1"/>
    <w:rsid w:val="22C9189C"/>
    <w:rsid w:val="237B0BCE"/>
    <w:rsid w:val="2383018E"/>
    <w:rsid w:val="23B910D3"/>
    <w:rsid w:val="23D3851D"/>
    <w:rsid w:val="23D623BD"/>
    <w:rsid w:val="23ED9793"/>
    <w:rsid w:val="243459A7"/>
    <w:rsid w:val="24590A78"/>
    <w:rsid w:val="247852C4"/>
    <w:rsid w:val="24B1CA19"/>
    <w:rsid w:val="24BBD2BE"/>
    <w:rsid w:val="24F6C108"/>
    <w:rsid w:val="252D04D0"/>
    <w:rsid w:val="256F557E"/>
    <w:rsid w:val="2575A9BF"/>
    <w:rsid w:val="25AD1551"/>
    <w:rsid w:val="25C38A5C"/>
    <w:rsid w:val="25CA3861"/>
    <w:rsid w:val="25CE699F"/>
    <w:rsid w:val="26301CFA"/>
    <w:rsid w:val="263423B7"/>
    <w:rsid w:val="2635BA1F"/>
    <w:rsid w:val="26419FC6"/>
    <w:rsid w:val="26448C3E"/>
    <w:rsid w:val="266D18B2"/>
    <w:rsid w:val="26974E09"/>
    <w:rsid w:val="2699B4E6"/>
    <w:rsid w:val="26AC5DB1"/>
    <w:rsid w:val="26E25AC2"/>
    <w:rsid w:val="26FB81DC"/>
    <w:rsid w:val="270DA24D"/>
    <w:rsid w:val="27103B4E"/>
    <w:rsid w:val="27341A9E"/>
    <w:rsid w:val="273D141A"/>
    <w:rsid w:val="2745696C"/>
    <w:rsid w:val="2770008F"/>
    <w:rsid w:val="277711C3"/>
    <w:rsid w:val="278C15D8"/>
    <w:rsid w:val="27944E04"/>
    <w:rsid w:val="27A6B6E1"/>
    <w:rsid w:val="27C686CE"/>
    <w:rsid w:val="27D4D7E0"/>
    <w:rsid w:val="27D75EBD"/>
    <w:rsid w:val="27DF7C5A"/>
    <w:rsid w:val="27FC3334"/>
    <w:rsid w:val="28647EA7"/>
    <w:rsid w:val="286E23F6"/>
    <w:rsid w:val="286E4C65"/>
    <w:rsid w:val="28728E70"/>
    <w:rsid w:val="28757038"/>
    <w:rsid w:val="287DACB1"/>
    <w:rsid w:val="2884FA12"/>
    <w:rsid w:val="28A226F7"/>
    <w:rsid w:val="28B4E5B9"/>
    <w:rsid w:val="28C81F2C"/>
    <w:rsid w:val="28F7D563"/>
    <w:rsid w:val="290B4F24"/>
    <w:rsid w:val="295B66C3"/>
    <w:rsid w:val="299423C6"/>
    <w:rsid w:val="29A4AC5D"/>
    <w:rsid w:val="29A6031A"/>
    <w:rsid w:val="29E366FB"/>
    <w:rsid w:val="2A549747"/>
    <w:rsid w:val="2A6AC92D"/>
    <w:rsid w:val="2A75D5DC"/>
    <w:rsid w:val="2A7962D6"/>
    <w:rsid w:val="2A81505C"/>
    <w:rsid w:val="2A8C97C6"/>
    <w:rsid w:val="2AC02F65"/>
    <w:rsid w:val="2B18A538"/>
    <w:rsid w:val="2B1FBD71"/>
    <w:rsid w:val="2B291ADF"/>
    <w:rsid w:val="2B56B118"/>
    <w:rsid w:val="2B6388D4"/>
    <w:rsid w:val="2B674D08"/>
    <w:rsid w:val="2B78088C"/>
    <w:rsid w:val="2B94CF73"/>
    <w:rsid w:val="2B998BD3"/>
    <w:rsid w:val="2B9C812B"/>
    <w:rsid w:val="2BA76BD0"/>
    <w:rsid w:val="2BAEC209"/>
    <w:rsid w:val="2BC1810D"/>
    <w:rsid w:val="2BCE1139"/>
    <w:rsid w:val="2BCF7D9C"/>
    <w:rsid w:val="2BD3FCC9"/>
    <w:rsid w:val="2C0201FD"/>
    <w:rsid w:val="2C128FF8"/>
    <w:rsid w:val="2C1FDDD4"/>
    <w:rsid w:val="2C3B404D"/>
    <w:rsid w:val="2C3D5726"/>
    <w:rsid w:val="2C3DAB23"/>
    <w:rsid w:val="2C60A723"/>
    <w:rsid w:val="2C83D85B"/>
    <w:rsid w:val="2C936C2C"/>
    <w:rsid w:val="2C951413"/>
    <w:rsid w:val="2CA8E24A"/>
    <w:rsid w:val="2CAD9303"/>
    <w:rsid w:val="2CFB3BEC"/>
    <w:rsid w:val="2D107F46"/>
    <w:rsid w:val="2D60DD67"/>
    <w:rsid w:val="2D6B7531"/>
    <w:rsid w:val="2D93D136"/>
    <w:rsid w:val="2D9AE1B8"/>
    <w:rsid w:val="2DBE2F62"/>
    <w:rsid w:val="2DECDF0C"/>
    <w:rsid w:val="2DFC89AF"/>
    <w:rsid w:val="2E151731"/>
    <w:rsid w:val="2E29E875"/>
    <w:rsid w:val="2E702595"/>
    <w:rsid w:val="2E773731"/>
    <w:rsid w:val="2EA4DCB9"/>
    <w:rsid w:val="2EF0166E"/>
    <w:rsid w:val="2F14F064"/>
    <w:rsid w:val="2F240A82"/>
    <w:rsid w:val="2F2EB29C"/>
    <w:rsid w:val="2F454C15"/>
    <w:rsid w:val="2F8B0C9D"/>
    <w:rsid w:val="2FBDC0FD"/>
    <w:rsid w:val="2FF5F8F7"/>
    <w:rsid w:val="30207E23"/>
    <w:rsid w:val="30637AFC"/>
    <w:rsid w:val="3069402B"/>
    <w:rsid w:val="306E281E"/>
    <w:rsid w:val="307C3C4D"/>
    <w:rsid w:val="30A8F27A"/>
    <w:rsid w:val="30E7BAB6"/>
    <w:rsid w:val="310BD983"/>
    <w:rsid w:val="310D2871"/>
    <w:rsid w:val="310FBA02"/>
    <w:rsid w:val="31465FDF"/>
    <w:rsid w:val="3150C71A"/>
    <w:rsid w:val="31603259"/>
    <w:rsid w:val="3179E9A9"/>
    <w:rsid w:val="317A8F80"/>
    <w:rsid w:val="317D7E89"/>
    <w:rsid w:val="3184A3CB"/>
    <w:rsid w:val="31BBE2DF"/>
    <w:rsid w:val="31CD276B"/>
    <w:rsid w:val="31F3A2E4"/>
    <w:rsid w:val="31FE2020"/>
    <w:rsid w:val="321092A4"/>
    <w:rsid w:val="32275289"/>
    <w:rsid w:val="322B9260"/>
    <w:rsid w:val="322F0EA0"/>
    <w:rsid w:val="323970BC"/>
    <w:rsid w:val="3243170F"/>
    <w:rsid w:val="3256CD7E"/>
    <w:rsid w:val="326C16A7"/>
    <w:rsid w:val="32A6A776"/>
    <w:rsid w:val="331146FF"/>
    <w:rsid w:val="33247D2E"/>
    <w:rsid w:val="33269D09"/>
    <w:rsid w:val="3352C210"/>
    <w:rsid w:val="337B5EAE"/>
    <w:rsid w:val="3381FDF0"/>
    <w:rsid w:val="33885008"/>
    <w:rsid w:val="339AAF37"/>
    <w:rsid w:val="33A81816"/>
    <w:rsid w:val="33B0903A"/>
    <w:rsid w:val="33B23C5F"/>
    <w:rsid w:val="33BBFFAD"/>
    <w:rsid w:val="33CEAA77"/>
    <w:rsid w:val="33F79F93"/>
    <w:rsid w:val="340A841F"/>
    <w:rsid w:val="34127276"/>
    <w:rsid w:val="342CC04B"/>
    <w:rsid w:val="345E9A94"/>
    <w:rsid w:val="348E423E"/>
    <w:rsid w:val="34C0F5B6"/>
    <w:rsid w:val="34D79DA7"/>
    <w:rsid w:val="34F9CC83"/>
    <w:rsid w:val="3509B960"/>
    <w:rsid w:val="350FF1B6"/>
    <w:rsid w:val="351D0327"/>
    <w:rsid w:val="3526FABB"/>
    <w:rsid w:val="35289EF1"/>
    <w:rsid w:val="3573B52A"/>
    <w:rsid w:val="3575A004"/>
    <w:rsid w:val="35EFD195"/>
    <w:rsid w:val="36000D48"/>
    <w:rsid w:val="36289E53"/>
    <w:rsid w:val="362C3BE1"/>
    <w:rsid w:val="36477B7C"/>
    <w:rsid w:val="369BE586"/>
    <w:rsid w:val="36AC4B76"/>
    <w:rsid w:val="36C71407"/>
    <w:rsid w:val="36F67B35"/>
    <w:rsid w:val="370B0264"/>
    <w:rsid w:val="371236B7"/>
    <w:rsid w:val="3725987D"/>
    <w:rsid w:val="37303E67"/>
    <w:rsid w:val="374C9856"/>
    <w:rsid w:val="376AEE8C"/>
    <w:rsid w:val="376FA2BE"/>
    <w:rsid w:val="377580DB"/>
    <w:rsid w:val="37959844"/>
    <w:rsid w:val="37C1C686"/>
    <w:rsid w:val="37DAFB3E"/>
    <w:rsid w:val="37DF3416"/>
    <w:rsid w:val="37E5616C"/>
    <w:rsid w:val="37F28303"/>
    <w:rsid w:val="38164F4E"/>
    <w:rsid w:val="3849347D"/>
    <w:rsid w:val="385CFD21"/>
    <w:rsid w:val="3863D05B"/>
    <w:rsid w:val="38706E09"/>
    <w:rsid w:val="3887E8EC"/>
    <w:rsid w:val="38AB8F65"/>
    <w:rsid w:val="38B61FF6"/>
    <w:rsid w:val="38BF106D"/>
    <w:rsid w:val="39208B34"/>
    <w:rsid w:val="3935BBA1"/>
    <w:rsid w:val="393D99BE"/>
    <w:rsid w:val="393F3B51"/>
    <w:rsid w:val="3949161C"/>
    <w:rsid w:val="395DBFE0"/>
    <w:rsid w:val="3963A2DC"/>
    <w:rsid w:val="39720A89"/>
    <w:rsid w:val="397627FB"/>
    <w:rsid w:val="3977F8B2"/>
    <w:rsid w:val="39BC1BBA"/>
    <w:rsid w:val="39C6A663"/>
    <w:rsid w:val="39DFD638"/>
    <w:rsid w:val="39F3BDB6"/>
    <w:rsid w:val="39F50B33"/>
    <w:rsid w:val="3A07DD16"/>
    <w:rsid w:val="3AA38E96"/>
    <w:rsid w:val="3AE8AB7B"/>
    <w:rsid w:val="3AEBC101"/>
    <w:rsid w:val="3AF5F8F3"/>
    <w:rsid w:val="3AF9B539"/>
    <w:rsid w:val="3B166DF0"/>
    <w:rsid w:val="3B248D68"/>
    <w:rsid w:val="3B40698D"/>
    <w:rsid w:val="3B4973CB"/>
    <w:rsid w:val="3B622017"/>
    <w:rsid w:val="3B7972C1"/>
    <w:rsid w:val="3B8635C9"/>
    <w:rsid w:val="3BA37141"/>
    <w:rsid w:val="3BAC3392"/>
    <w:rsid w:val="3BBC2192"/>
    <w:rsid w:val="3BE13666"/>
    <w:rsid w:val="3BF74A17"/>
    <w:rsid w:val="3C1D5F75"/>
    <w:rsid w:val="3C1E3B95"/>
    <w:rsid w:val="3C30B2C1"/>
    <w:rsid w:val="3C52D65D"/>
    <w:rsid w:val="3C613111"/>
    <w:rsid w:val="3C6C4F2B"/>
    <w:rsid w:val="3C7A2CEA"/>
    <w:rsid w:val="3C7E9AFB"/>
    <w:rsid w:val="3C99513E"/>
    <w:rsid w:val="3CF58114"/>
    <w:rsid w:val="3CF6FE25"/>
    <w:rsid w:val="3CF7F16C"/>
    <w:rsid w:val="3D18B451"/>
    <w:rsid w:val="3D3ECEF6"/>
    <w:rsid w:val="3D65C3EB"/>
    <w:rsid w:val="3D7168F7"/>
    <w:rsid w:val="3DAC817C"/>
    <w:rsid w:val="3DB19848"/>
    <w:rsid w:val="3DE462BF"/>
    <w:rsid w:val="3E1F6791"/>
    <w:rsid w:val="3E1FF6CF"/>
    <w:rsid w:val="3E2339B2"/>
    <w:rsid w:val="3E4161AC"/>
    <w:rsid w:val="3E48814D"/>
    <w:rsid w:val="3E677B16"/>
    <w:rsid w:val="3E9F8920"/>
    <w:rsid w:val="3EB1B0DF"/>
    <w:rsid w:val="3EB7C469"/>
    <w:rsid w:val="3ED7F2A9"/>
    <w:rsid w:val="3EFE14B5"/>
    <w:rsid w:val="3F093070"/>
    <w:rsid w:val="3F0E27BE"/>
    <w:rsid w:val="3F5AA691"/>
    <w:rsid w:val="3F7FB68D"/>
    <w:rsid w:val="3F871A07"/>
    <w:rsid w:val="3F9153C1"/>
    <w:rsid w:val="3FC6AF99"/>
    <w:rsid w:val="3FE965AA"/>
    <w:rsid w:val="3FF9B2AB"/>
    <w:rsid w:val="40688EE0"/>
    <w:rsid w:val="40718D51"/>
    <w:rsid w:val="4075D840"/>
    <w:rsid w:val="407B1577"/>
    <w:rsid w:val="409FDF8A"/>
    <w:rsid w:val="40A63180"/>
    <w:rsid w:val="40C13279"/>
    <w:rsid w:val="40EBD979"/>
    <w:rsid w:val="4109FBD7"/>
    <w:rsid w:val="4114EFCB"/>
    <w:rsid w:val="413F0439"/>
    <w:rsid w:val="4140E8AD"/>
    <w:rsid w:val="41494EB9"/>
    <w:rsid w:val="41881EBC"/>
    <w:rsid w:val="418BA647"/>
    <w:rsid w:val="4198C3C4"/>
    <w:rsid w:val="41CE8720"/>
    <w:rsid w:val="41D7CF23"/>
    <w:rsid w:val="41EE3C88"/>
    <w:rsid w:val="423C3385"/>
    <w:rsid w:val="424CB8EC"/>
    <w:rsid w:val="426EFB99"/>
    <w:rsid w:val="42702C94"/>
    <w:rsid w:val="42A22D45"/>
    <w:rsid w:val="42E31374"/>
    <w:rsid w:val="42F2FFF2"/>
    <w:rsid w:val="42F6A8EA"/>
    <w:rsid w:val="430B2C30"/>
    <w:rsid w:val="430C65B8"/>
    <w:rsid w:val="4323259D"/>
    <w:rsid w:val="4325E904"/>
    <w:rsid w:val="433D848A"/>
    <w:rsid w:val="433E96E6"/>
    <w:rsid w:val="4348A24F"/>
    <w:rsid w:val="434924DD"/>
    <w:rsid w:val="434A05E9"/>
    <w:rsid w:val="4366E1DF"/>
    <w:rsid w:val="439B4DFE"/>
    <w:rsid w:val="43D9DE2C"/>
    <w:rsid w:val="43ED17D1"/>
    <w:rsid w:val="440D97F8"/>
    <w:rsid w:val="4414098D"/>
    <w:rsid w:val="442367A7"/>
    <w:rsid w:val="44331AB9"/>
    <w:rsid w:val="444B9FCC"/>
    <w:rsid w:val="448A45FF"/>
    <w:rsid w:val="44B63848"/>
    <w:rsid w:val="44E58AB9"/>
    <w:rsid w:val="44E7DD9D"/>
    <w:rsid w:val="44F219A3"/>
    <w:rsid w:val="45029514"/>
    <w:rsid w:val="4523150F"/>
    <w:rsid w:val="4546E71F"/>
    <w:rsid w:val="4587FB54"/>
    <w:rsid w:val="45A38A98"/>
    <w:rsid w:val="45A9753D"/>
    <w:rsid w:val="45AB1E33"/>
    <w:rsid w:val="45C387E9"/>
    <w:rsid w:val="45D76EDE"/>
    <w:rsid w:val="45E82E36"/>
    <w:rsid w:val="45F2EB63"/>
    <w:rsid w:val="4615B0C6"/>
    <w:rsid w:val="461A08E4"/>
    <w:rsid w:val="463D6CD1"/>
    <w:rsid w:val="465BA03B"/>
    <w:rsid w:val="465D69E6"/>
    <w:rsid w:val="46C1C968"/>
    <w:rsid w:val="46D26921"/>
    <w:rsid w:val="46E2BE27"/>
    <w:rsid w:val="4716E65B"/>
    <w:rsid w:val="4730D9E1"/>
    <w:rsid w:val="473D1F49"/>
    <w:rsid w:val="473DB227"/>
    <w:rsid w:val="47464DB7"/>
    <w:rsid w:val="4775F50F"/>
    <w:rsid w:val="4776BA06"/>
    <w:rsid w:val="4782476F"/>
    <w:rsid w:val="47C1DF69"/>
    <w:rsid w:val="47E52CCE"/>
    <w:rsid w:val="47EF1BD2"/>
    <w:rsid w:val="47FC256B"/>
    <w:rsid w:val="48013E8C"/>
    <w:rsid w:val="48044EAF"/>
    <w:rsid w:val="48268A7A"/>
    <w:rsid w:val="48324C2B"/>
    <w:rsid w:val="48BA1F4A"/>
    <w:rsid w:val="48CEAC56"/>
    <w:rsid w:val="48D0C120"/>
    <w:rsid w:val="49017BAC"/>
    <w:rsid w:val="49548C7D"/>
    <w:rsid w:val="49643AAF"/>
    <w:rsid w:val="49BB6A6F"/>
    <w:rsid w:val="49D60637"/>
    <w:rsid w:val="49E2EC04"/>
    <w:rsid w:val="49E8208E"/>
    <w:rsid w:val="49EF8061"/>
    <w:rsid w:val="49F75CEB"/>
    <w:rsid w:val="4A0A26F6"/>
    <w:rsid w:val="4A1B5BD2"/>
    <w:rsid w:val="4A5E9C27"/>
    <w:rsid w:val="4A6490A8"/>
    <w:rsid w:val="4A6DDEE5"/>
    <w:rsid w:val="4A9934F0"/>
    <w:rsid w:val="4A9C7D2A"/>
    <w:rsid w:val="4ADC6221"/>
    <w:rsid w:val="4AE1F6F8"/>
    <w:rsid w:val="4AE6EEF5"/>
    <w:rsid w:val="4AF15FEF"/>
    <w:rsid w:val="4B01D417"/>
    <w:rsid w:val="4B3BEF71"/>
    <w:rsid w:val="4B788BAB"/>
    <w:rsid w:val="4B7A7894"/>
    <w:rsid w:val="4B8228AF"/>
    <w:rsid w:val="4BA3579A"/>
    <w:rsid w:val="4BBFA2D0"/>
    <w:rsid w:val="4BC7CE90"/>
    <w:rsid w:val="4BC8CDF5"/>
    <w:rsid w:val="4BD09BFA"/>
    <w:rsid w:val="4BF4B41D"/>
    <w:rsid w:val="4C07FF12"/>
    <w:rsid w:val="4C1188EC"/>
    <w:rsid w:val="4C12650F"/>
    <w:rsid w:val="4C30ACDD"/>
    <w:rsid w:val="4C3E5F30"/>
    <w:rsid w:val="4C7B9B6A"/>
    <w:rsid w:val="4C9E3A31"/>
    <w:rsid w:val="4CFF8AA2"/>
    <w:rsid w:val="4D3C2504"/>
    <w:rsid w:val="4D643559"/>
    <w:rsid w:val="4D6688B0"/>
    <w:rsid w:val="4DA3AE72"/>
    <w:rsid w:val="4DBE3DAF"/>
    <w:rsid w:val="4DC125B5"/>
    <w:rsid w:val="4DD7660C"/>
    <w:rsid w:val="4E6E38A3"/>
    <w:rsid w:val="4E91A6D6"/>
    <w:rsid w:val="4E9EC8F8"/>
    <w:rsid w:val="4EAC3F08"/>
    <w:rsid w:val="4ECDAF7C"/>
    <w:rsid w:val="4EED56D7"/>
    <w:rsid w:val="4EF9321E"/>
    <w:rsid w:val="4EFC43B4"/>
    <w:rsid w:val="4F0C65E3"/>
    <w:rsid w:val="4F3A021B"/>
    <w:rsid w:val="4F422CAB"/>
    <w:rsid w:val="4F6DADC5"/>
    <w:rsid w:val="4F9F8F25"/>
    <w:rsid w:val="4FBD492E"/>
    <w:rsid w:val="4FC43C26"/>
    <w:rsid w:val="4FC7766D"/>
    <w:rsid w:val="4FEF8797"/>
    <w:rsid w:val="50250774"/>
    <w:rsid w:val="50653FC6"/>
    <w:rsid w:val="50804EFE"/>
    <w:rsid w:val="5084AFAE"/>
    <w:rsid w:val="50956021"/>
    <w:rsid w:val="50B14A6A"/>
    <w:rsid w:val="50BB28D1"/>
    <w:rsid w:val="50C013E0"/>
    <w:rsid w:val="50C66C1E"/>
    <w:rsid w:val="50CF080D"/>
    <w:rsid w:val="5115B717"/>
    <w:rsid w:val="51291E6C"/>
    <w:rsid w:val="515DED1E"/>
    <w:rsid w:val="516B59D9"/>
    <w:rsid w:val="51771FE9"/>
    <w:rsid w:val="5180EC0C"/>
    <w:rsid w:val="5193F7E9"/>
    <w:rsid w:val="51C7EFBF"/>
    <w:rsid w:val="51C898D1"/>
    <w:rsid w:val="51D045C0"/>
    <w:rsid w:val="5220DBFF"/>
    <w:rsid w:val="523356F5"/>
    <w:rsid w:val="52422C75"/>
    <w:rsid w:val="52625720"/>
    <w:rsid w:val="5263B277"/>
    <w:rsid w:val="526729FC"/>
    <w:rsid w:val="52679DE3"/>
    <w:rsid w:val="5269C5D8"/>
    <w:rsid w:val="52822B3F"/>
    <w:rsid w:val="528BF126"/>
    <w:rsid w:val="52928CE0"/>
    <w:rsid w:val="5293DAA7"/>
    <w:rsid w:val="529C3776"/>
    <w:rsid w:val="52D93C75"/>
    <w:rsid w:val="52E403D0"/>
    <w:rsid w:val="52F8E504"/>
    <w:rsid w:val="535A3244"/>
    <w:rsid w:val="536C5AE0"/>
    <w:rsid w:val="53B2BBBF"/>
    <w:rsid w:val="53D6DBF7"/>
    <w:rsid w:val="53E22437"/>
    <w:rsid w:val="53FF804D"/>
    <w:rsid w:val="540821B3"/>
    <w:rsid w:val="54159E6D"/>
    <w:rsid w:val="545F3E78"/>
    <w:rsid w:val="546FEF47"/>
    <w:rsid w:val="5472D7FB"/>
    <w:rsid w:val="54A3B41A"/>
    <w:rsid w:val="54A791C4"/>
    <w:rsid w:val="54AD1B30"/>
    <w:rsid w:val="54E7AFE3"/>
    <w:rsid w:val="54F9B8B7"/>
    <w:rsid w:val="5500D840"/>
    <w:rsid w:val="550DD000"/>
    <w:rsid w:val="5513F691"/>
    <w:rsid w:val="55197E80"/>
    <w:rsid w:val="55302AE0"/>
    <w:rsid w:val="5569214C"/>
    <w:rsid w:val="5571DE9D"/>
    <w:rsid w:val="5587D823"/>
    <w:rsid w:val="55912F2C"/>
    <w:rsid w:val="55D1CB6E"/>
    <w:rsid w:val="560AAB81"/>
    <w:rsid w:val="5646FE04"/>
    <w:rsid w:val="565E21E1"/>
    <w:rsid w:val="566E819C"/>
    <w:rsid w:val="567482F4"/>
    <w:rsid w:val="568B9C72"/>
    <w:rsid w:val="56AC5C60"/>
    <w:rsid w:val="56B52501"/>
    <w:rsid w:val="56EA7A91"/>
    <w:rsid w:val="56F0FF39"/>
    <w:rsid w:val="56F25F7C"/>
    <w:rsid w:val="57234AA5"/>
    <w:rsid w:val="5725A41A"/>
    <w:rsid w:val="57E18D0D"/>
    <w:rsid w:val="580B2C54"/>
    <w:rsid w:val="583FB7B3"/>
    <w:rsid w:val="58628D05"/>
    <w:rsid w:val="586398F8"/>
    <w:rsid w:val="589EAF17"/>
    <w:rsid w:val="58A723F7"/>
    <w:rsid w:val="58E4E754"/>
    <w:rsid w:val="58E61640"/>
    <w:rsid w:val="591A01BD"/>
    <w:rsid w:val="591D6E1D"/>
    <w:rsid w:val="591F6836"/>
    <w:rsid w:val="592CE387"/>
    <w:rsid w:val="59539763"/>
    <w:rsid w:val="598E3AF7"/>
    <w:rsid w:val="59B44A9C"/>
    <w:rsid w:val="59D496E6"/>
    <w:rsid w:val="59E0A6BE"/>
    <w:rsid w:val="59E7981D"/>
    <w:rsid w:val="5A1765A8"/>
    <w:rsid w:val="5A4ACD4F"/>
    <w:rsid w:val="5A4EEF10"/>
    <w:rsid w:val="5A5D186B"/>
    <w:rsid w:val="5A5F3CFF"/>
    <w:rsid w:val="5A611655"/>
    <w:rsid w:val="5A63D34C"/>
    <w:rsid w:val="5AC45848"/>
    <w:rsid w:val="5AC4CBE5"/>
    <w:rsid w:val="5AF4F8F9"/>
    <w:rsid w:val="5AFDAAEB"/>
    <w:rsid w:val="5AFE5577"/>
    <w:rsid w:val="5B287C57"/>
    <w:rsid w:val="5B2C86D6"/>
    <w:rsid w:val="5B4AA426"/>
    <w:rsid w:val="5B5709BF"/>
    <w:rsid w:val="5B8BBC16"/>
    <w:rsid w:val="5B8C6073"/>
    <w:rsid w:val="5BBFB51A"/>
    <w:rsid w:val="5C18E837"/>
    <w:rsid w:val="5C46BABA"/>
    <w:rsid w:val="5C4EE2D5"/>
    <w:rsid w:val="5C6F670C"/>
    <w:rsid w:val="5C7A4909"/>
    <w:rsid w:val="5C7C5917"/>
    <w:rsid w:val="5C9BAA0E"/>
    <w:rsid w:val="5CEDE88B"/>
    <w:rsid w:val="5CF2C1C8"/>
    <w:rsid w:val="5D019AB8"/>
    <w:rsid w:val="5D038A7C"/>
    <w:rsid w:val="5D14E4C4"/>
    <w:rsid w:val="5D201B82"/>
    <w:rsid w:val="5D4474AD"/>
    <w:rsid w:val="5D4F2AC6"/>
    <w:rsid w:val="5D6B221D"/>
    <w:rsid w:val="5D93DBA9"/>
    <w:rsid w:val="5DEB5175"/>
    <w:rsid w:val="5DF5EF2F"/>
    <w:rsid w:val="5E07488A"/>
    <w:rsid w:val="5E259A9C"/>
    <w:rsid w:val="5E264E51"/>
    <w:rsid w:val="5E314483"/>
    <w:rsid w:val="5E38EE47"/>
    <w:rsid w:val="5E3D184F"/>
    <w:rsid w:val="5E4F87D3"/>
    <w:rsid w:val="5E8E9229"/>
    <w:rsid w:val="5E923C09"/>
    <w:rsid w:val="5EA6E990"/>
    <w:rsid w:val="5EF4CE86"/>
    <w:rsid w:val="5F0801EA"/>
    <w:rsid w:val="5F08421B"/>
    <w:rsid w:val="5F4236FD"/>
    <w:rsid w:val="5F4500D5"/>
    <w:rsid w:val="5F526B5E"/>
    <w:rsid w:val="5F82C9DD"/>
    <w:rsid w:val="5FC52859"/>
    <w:rsid w:val="5FC897B5"/>
    <w:rsid w:val="5FD0E7DA"/>
    <w:rsid w:val="5FE06D74"/>
    <w:rsid w:val="5FF9B652"/>
    <w:rsid w:val="60413D21"/>
    <w:rsid w:val="60A50EF4"/>
    <w:rsid w:val="60AEB736"/>
    <w:rsid w:val="60CB3692"/>
    <w:rsid w:val="60E6B763"/>
    <w:rsid w:val="60F12825"/>
    <w:rsid w:val="610B5D71"/>
    <w:rsid w:val="6129DDA4"/>
    <w:rsid w:val="6148A53E"/>
    <w:rsid w:val="619158F8"/>
    <w:rsid w:val="61A48DE8"/>
    <w:rsid w:val="61B14351"/>
    <w:rsid w:val="61B6D4FE"/>
    <w:rsid w:val="61BE567A"/>
    <w:rsid w:val="61E1F3A6"/>
    <w:rsid w:val="61EE0F85"/>
    <w:rsid w:val="6201AE7E"/>
    <w:rsid w:val="62071882"/>
    <w:rsid w:val="625C2EF5"/>
    <w:rsid w:val="6266C3CA"/>
    <w:rsid w:val="627CC9BE"/>
    <w:rsid w:val="628CD2C9"/>
    <w:rsid w:val="629BAA28"/>
    <w:rsid w:val="62CF58C5"/>
    <w:rsid w:val="62E8ECC3"/>
    <w:rsid w:val="630A4E4B"/>
    <w:rsid w:val="631C19C8"/>
    <w:rsid w:val="63326A02"/>
    <w:rsid w:val="6343D0AD"/>
    <w:rsid w:val="6387DC21"/>
    <w:rsid w:val="63D4818D"/>
    <w:rsid w:val="63D4C230"/>
    <w:rsid w:val="63F4ED47"/>
    <w:rsid w:val="640FE14B"/>
    <w:rsid w:val="645F6100"/>
    <w:rsid w:val="646FD397"/>
    <w:rsid w:val="649169D9"/>
    <w:rsid w:val="64976A27"/>
    <w:rsid w:val="649A7DD1"/>
    <w:rsid w:val="64A48D31"/>
    <w:rsid w:val="64B39F30"/>
    <w:rsid w:val="64E04E86"/>
    <w:rsid w:val="64E19249"/>
    <w:rsid w:val="64E38CF9"/>
    <w:rsid w:val="64EBD5EA"/>
    <w:rsid w:val="652ED322"/>
    <w:rsid w:val="659A0EE8"/>
    <w:rsid w:val="65AFAB51"/>
    <w:rsid w:val="65C70718"/>
    <w:rsid w:val="65D9366A"/>
    <w:rsid w:val="66066950"/>
    <w:rsid w:val="662A5CE5"/>
    <w:rsid w:val="664946B4"/>
    <w:rsid w:val="665D4237"/>
    <w:rsid w:val="669C764D"/>
    <w:rsid w:val="66CF01E7"/>
    <w:rsid w:val="66E22E63"/>
    <w:rsid w:val="671C1BD8"/>
    <w:rsid w:val="672603AB"/>
    <w:rsid w:val="6748AB92"/>
    <w:rsid w:val="67754EED"/>
    <w:rsid w:val="678036A8"/>
    <w:rsid w:val="67857605"/>
    <w:rsid w:val="6791A832"/>
    <w:rsid w:val="67B53644"/>
    <w:rsid w:val="67BF6DEF"/>
    <w:rsid w:val="67D13EF0"/>
    <w:rsid w:val="6839E8C5"/>
    <w:rsid w:val="684CBCE6"/>
    <w:rsid w:val="6856687B"/>
    <w:rsid w:val="68569114"/>
    <w:rsid w:val="6859F804"/>
    <w:rsid w:val="687100CC"/>
    <w:rsid w:val="68FA0F56"/>
    <w:rsid w:val="695C76B4"/>
    <w:rsid w:val="695CB2C0"/>
    <w:rsid w:val="695F934A"/>
    <w:rsid w:val="696A8EEB"/>
    <w:rsid w:val="696AD518"/>
    <w:rsid w:val="6994F70C"/>
    <w:rsid w:val="69AA891E"/>
    <w:rsid w:val="69B1131C"/>
    <w:rsid w:val="69C4185B"/>
    <w:rsid w:val="69C72100"/>
    <w:rsid w:val="69CFB896"/>
    <w:rsid w:val="69D7405F"/>
    <w:rsid w:val="6A0470CD"/>
    <w:rsid w:val="6A33107B"/>
    <w:rsid w:val="6A498F0A"/>
    <w:rsid w:val="6A715594"/>
    <w:rsid w:val="6AD3576B"/>
    <w:rsid w:val="6AEF9F44"/>
    <w:rsid w:val="6AF9389C"/>
    <w:rsid w:val="6B18AEEA"/>
    <w:rsid w:val="6B500BC0"/>
    <w:rsid w:val="6B7E611D"/>
    <w:rsid w:val="6B8D7F17"/>
    <w:rsid w:val="6B91960D"/>
    <w:rsid w:val="6B9537A7"/>
    <w:rsid w:val="6BBC64A6"/>
    <w:rsid w:val="6C0BA3B6"/>
    <w:rsid w:val="6C161617"/>
    <w:rsid w:val="6C90DBF8"/>
    <w:rsid w:val="6C954201"/>
    <w:rsid w:val="6CAF65AC"/>
    <w:rsid w:val="6CB5377F"/>
    <w:rsid w:val="6CB6B153"/>
    <w:rsid w:val="6CFEA832"/>
    <w:rsid w:val="6D046920"/>
    <w:rsid w:val="6D0A92F4"/>
    <w:rsid w:val="6D353C1B"/>
    <w:rsid w:val="6D495C64"/>
    <w:rsid w:val="6D6BE3A1"/>
    <w:rsid w:val="6DAF397D"/>
    <w:rsid w:val="6DB78D71"/>
    <w:rsid w:val="6DEB4AF7"/>
    <w:rsid w:val="6E36667D"/>
    <w:rsid w:val="6E489DB1"/>
    <w:rsid w:val="6E6B7D8C"/>
    <w:rsid w:val="6E6C845F"/>
    <w:rsid w:val="6E743328"/>
    <w:rsid w:val="6E79A51E"/>
    <w:rsid w:val="6EAC1DF1"/>
    <w:rsid w:val="6EAFE3E3"/>
    <w:rsid w:val="6ECD0D5F"/>
    <w:rsid w:val="6EFECCA4"/>
    <w:rsid w:val="6F0CA518"/>
    <w:rsid w:val="6F0E3E64"/>
    <w:rsid w:val="6F2A223F"/>
    <w:rsid w:val="6F3F8BB6"/>
    <w:rsid w:val="6F90498A"/>
    <w:rsid w:val="6FCB8CC5"/>
    <w:rsid w:val="700A4CFE"/>
    <w:rsid w:val="7020751A"/>
    <w:rsid w:val="70253F6F"/>
    <w:rsid w:val="702589B9"/>
    <w:rsid w:val="7053A506"/>
    <w:rsid w:val="7060F03A"/>
    <w:rsid w:val="7066D655"/>
    <w:rsid w:val="7097F400"/>
    <w:rsid w:val="70AE914A"/>
    <w:rsid w:val="70DC7C2D"/>
    <w:rsid w:val="70FC14A5"/>
    <w:rsid w:val="711B20EA"/>
    <w:rsid w:val="712FD546"/>
    <w:rsid w:val="713588DE"/>
    <w:rsid w:val="713E67BD"/>
    <w:rsid w:val="7160B412"/>
    <w:rsid w:val="71928220"/>
    <w:rsid w:val="719D249B"/>
    <w:rsid w:val="71A42521"/>
    <w:rsid w:val="71C43B8C"/>
    <w:rsid w:val="71CF3397"/>
    <w:rsid w:val="71DC0228"/>
    <w:rsid w:val="7204AE21"/>
    <w:rsid w:val="72204F75"/>
    <w:rsid w:val="723B78AF"/>
    <w:rsid w:val="724C2774"/>
    <w:rsid w:val="724D18B4"/>
    <w:rsid w:val="726F40B0"/>
    <w:rsid w:val="7271297C"/>
    <w:rsid w:val="729F6D70"/>
    <w:rsid w:val="72C7CEE4"/>
    <w:rsid w:val="72D546D9"/>
    <w:rsid w:val="72DBAD05"/>
    <w:rsid w:val="730C3DAD"/>
    <w:rsid w:val="7374E007"/>
    <w:rsid w:val="73825B9C"/>
    <w:rsid w:val="73F60B7E"/>
    <w:rsid w:val="74107211"/>
    <w:rsid w:val="74279AAC"/>
    <w:rsid w:val="7428DDAC"/>
    <w:rsid w:val="74714D5B"/>
    <w:rsid w:val="74AD8315"/>
    <w:rsid w:val="74DD3A92"/>
    <w:rsid w:val="74DDBE21"/>
    <w:rsid w:val="75099EB8"/>
    <w:rsid w:val="750C1DF2"/>
    <w:rsid w:val="7534615D"/>
    <w:rsid w:val="7582AFB0"/>
    <w:rsid w:val="7589EF54"/>
    <w:rsid w:val="758C87C7"/>
    <w:rsid w:val="75ADA842"/>
    <w:rsid w:val="75CA9832"/>
    <w:rsid w:val="75D42196"/>
    <w:rsid w:val="764B2DDC"/>
    <w:rsid w:val="7658DF3C"/>
    <w:rsid w:val="765E6EE2"/>
    <w:rsid w:val="76850EBD"/>
    <w:rsid w:val="7697ACAF"/>
    <w:rsid w:val="76A08E94"/>
    <w:rsid w:val="76B07BDD"/>
    <w:rsid w:val="76D81F44"/>
    <w:rsid w:val="77001746"/>
    <w:rsid w:val="77484BBA"/>
    <w:rsid w:val="775172CF"/>
    <w:rsid w:val="776ADA81"/>
    <w:rsid w:val="7784FFCB"/>
    <w:rsid w:val="778D71C8"/>
    <w:rsid w:val="779B16E2"/>
    <w:rsid w:val="77B15508"/>
    <w:rsid w:val="77B57B01"/>
    <w:rsid w:val="77FCFE6D"/>
    <w:rsid w:val="78337F46"/>
    <w:rsid w:val="784190B9"/>
    <w:rsid w:val="78650461"/>
    <w:rsid w:val="786898EF"/>
    <w:rsid w:val="7869FBAF"/>
    <w:rsid w:val="7873EFA5"/>
    <w:rsid w:val="7898E972"/>
    <w:rsid w:val="78ABCA75"/>
    <w:rsid w:val="78ACAA0A"/>
    <w:rsid w:val="78C677F5"/>
    <w:rsid w:val="78D44FFB"/>
    <w:rsid w:val="78D9EE2A"/>
    <w:rsid w:val="791DA92D"/>
    <w:rsid w:val="791EE519"/>
    <w:rsid w:val="792FD8DE"/>
    <w:rsid w:val="7930CC98"/>
    <w:rsid w:val="7937A586"/>
    <w:rsid w:val="793EB2C2"/>
    <w:rsid w:val="7959B6DB"/>
    <w:rsid w:val="795B26F3"/>
    <w:rsid w:val="7974EDC6"/>
    <w:rsid w:val="79842306"/>
    <w:rsid w:val="79B1F72F"/>
    <w:rsid w:val="79C6AEA0"/>
    <w:rsid w:val="79FFE2CE"/>
    <w:rsid w:val="7A1A5024"/>
    <w:rsid w:val="7A50006B"/>
    <w:rsid w:val="7A5BB21A"/>
    <w:rsid w:val="7A89630B"/>
    <w:rsid w:val="7AA2C818"/>
    <w:rsid w:val="7AA3076A"/>
    <w:rsid w:val="7ABD1C17"/>
    <w:rsid w:val="7ABD279E"/>
    <w:rsid w:val="7ADE0047"/>
    <w:rsid w:val="7AF03388"/>
    <w:rsid w:val="7B3827F6"/>
    <w:rsid w:val="7BA74BA4"/>
    <w:rsid w:val="7BA9629E"/>
    <w:rsid w:val="7BB8CB95"/>
    <w:rsid w:val="7C014D55"/>
    <w:rsid w:val="7C0B51FB"/>
    <w:rsid w:val="7C1A814E"/>
    <w:rsid w:val="7C37EBD0"/>
    <w:rsid w:val="7C6839A9"/>
    <w:rsid w:val="7C7A44BC"/>
    <w:rsid w:val="7C7C1982"/>
    <w:rsid w:val="7C997F1B"/>
    <w:rsid w:val="7CA18017"/>
    <w:rsid w:val="7CBD0450"/>
    <w:rsid w:val="7CF7458C"/>
    <w:rsid w:val="7D02813B"/>
    <w:rsid w:val="7D075E41"/>
    <w:rsid w:val="7D1FE3FD"/>
    <w:rsid w:val="7D264926"/>
    <w:rsid w:val="7D26ACED"/>
    <w:rsid w:val="7D286D13"/>
    <w:rsid w:val="7D2AEF34"/>
    <w:rsid w:val="7D6DDE0C"/>
    <w:rsid w:val="7D6E3303"/>
    <w:rsid w:val="7D77D016"/>
    <w:rsid w:val="7D83BFF3"/>
    <w:rsid w:val="7D973505"/>
    <w:rsid w:val="7DA1EA79"/>
    <w:rsid w:val="7DA5D769"/>
    <w:rsid w:val="7DE33EB1"/>
    <w:rsid w:val="7DE50953"/>
    <w:rsid w:val="7DFCB34C"/>
    <w:rsid w:val="7DFEA6B9"/>
    <w:rsid w:val="7E3AE1D1"/>
    <w:rsid w:val="7E65F294"/>
    <w:rsid w:val="7E7B21F9"/>
    <w:rsid w:val="7E7D3217"/>
    <w:rsid w:val="7E7DE06E"/>
    <w:rsid w:val="7EB9203A"/>
    <w:rsid w:val="7EB95616"/>
    <w:rsid w:val="7ECA08CC"/>
    <w:rsid w:val="7ED79A5F"/>
    <w:rsid w:val="7EF0DD1E"/>
    <w:rsid w:val="7F155E90"/>
    <w:rsid w:val="7F1F319A"/>
    <w:rsid w:val="7F2AC8CB"/>
    <w:rsid w:val="7F2C47CB"/>
    <w:rsid w:val="7F41BDB7"/>
    <w:rsid w:val="7F5D1066"/>
    <w:rsid w:val="7F659A47"/>
    <w:rsid w:val="7FA107B0"/>
    <w:rsid w:val="7FA8D599"/>
    <w:rsid w:val="7FAE120E"/>
    <w:rsid w:val="7FD64508"/>
    <w:rsid w:val="7FD83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782FBBC9-9DA6-4E64-A7A4-FB24A79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2D7FDC"/>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C861D8"/>
    <w:pPr>
      <w:keepNext/>
      <w:keepLines/>
      <w:numPr>
        <w:numId w:val="12"/>
      </w:numPr>
      <w:ind w:hanging="54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45624F"/>
    <w:pPr>
      <w:keepNext/>
      <w:keepLines/>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0F35E3"/>
    <w:pPr>
      <w:keepNext/>
      <w:keepLines/>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7FDC"/>
    <w:rPr>
      <w:b/>
      <w:bCs/>
      <w:sz w:val="28"/>
      <w:szCs w:val="28"/>
    </w:rPr>
  </w:style>
  <w:style w:type="character" w:customStyle="1" w:styleId="Heading2Char">
    <w:name w:val="Heading 2 Char"/>
    <w:basedOn w:val="DefaultParagraphFont"/>
    <w:link w:val="Heading2"/>
    <w:uiPriority w:val="99"/>
    <w:locked/>
    <w:rsid w:val="002D09AF"/>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45624F"/>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6B1BC5"/>
    <w:pPr>
      <w:tabs>
        <w:tab w:val="right" w:leader="dot" w:pos="9530"/>
      </w:tabs>
      <w:spacing w:before="240"/>
      <w:ind w:left="450" w:hanging="45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65C01"/>
    <w:pPr>
      <w:tabs>
        <w:tab w:val="right" w:leader="dot" w:pos="9530"/>
      </w:tabs>
      <w:ind w:firstLine="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0F35E3"/>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6B1BC5"/>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1A1FF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f01">
    <w:name w:val="cf01"/>
    <w:basedOn w:val="DefaultParagraphFont"/>
    <w:rsid w:val="008B5707"/>
    <w:rPr>
      <w:rFonts w:ascii="Segoe UI" w:hAnsi="Segoe UI" w:cs="Segoe UI" w:hint="default"/>
      <w:sz w:val="18"/>
      <w:szCs w:val="18"/>
    </w:rPr>
  </w:style>
  <w:style w:type="character" w:styleId="Emphasis">
    <w:name w:val="Emphasis"/>
    <w:basedOn w:val="DefaultParagraphFont"/>
    <w:uiPriority w:val="20"/>
    <w:qFormat/>
    <w:locked/>
    <w:rsid w:val="005F734A"/>
    <w:rPr>
      <w:i/>
      <w:iCs/>
    </w:rPr>
  </w:style>
  <w:style w:type="character" w:styleId="Mention">
    <w:name w:val="Mention"/>
    <w:basedOn w:val="DefaultParagraphFont"/>
    <w:uiPriority w:val="99"/>
    <w:unhideWhenUsed/>
    <w:rsid w:val="006847C7"/>
    <w:rPr>
      <w:color w:val="2B579A"/>
      <w:shd w:val="clear" w:color="auto" w:fill="E1DFDD"/>
    </w:rPr>
  </w:style>
  <w:style w:type="table" w:styleId="PlainTable1">
    <w:name w:val="Plain Table 1"/>
    <w:basedOn w:val="TableNormal"/>
    <w:uiPriority w:val="41"/>
    <w:rsid w:val="00CD66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18">
      <w:bodyDiv w:val="1"/>
      <w:marLeft w:val="0"/>
      <w:marRight w:val="0"/>
      <w:marTop w:val="0"/>
      <w:marBottom w:val="0"/>
      <w:divBdr>
        <w:top w:val="none" w:sz="0" w:space="0" w:color="auto"/>
        <w:left w:val="none" w:sz="0" w:space="0" w:color="auto"/>
        <w:bottom w:val="none" w:sz="0" w:space="0" w:color="auto"/>
        <w:right w:val="none" w:sz="0" w:space="0" w:color="auto"/>
      </w:divBdr>
    </w:div>
    <w:div w:id="237634550">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390617572">
      <w:bodyDiv w:val="1"/>
      <w:marLeft w:val="0"/>
      <w:marRight w:val="0"/>
      <w:marTop w:val="0"/>
      <w:marBottom w:val="0"/>
      <w:divBdr>
        <w:top w:val="none" w:sz="0" w:space="0" w:color="auto"/>
        <w:left w:val="none" w:sz="0" w:space="0" w:color="auto"/>
        <w:bottom w:val="none" w:sz="0" w:space="0" w:color="auto"/>
        <w:right w:val="none" w:sz="0" w:space="0" w:color="auto"/>
      </w:divBdr>
    </w:div>
    <w:div w:id="471336995">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78861991">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70888827">
      <w:bodyDiv w:val="1"/>
      <w:marLeft w:val="0"/>
      <w:marRight w:val="0"/>
      <w:marTop w:val="0"/>
      <w:marBottom w:val="0"/>
      <w:divBdr>
        <w:top w:val="none" w:sz="0" w:space="0" w:color="auto"/>
        <w:left w:val="none" w:sz="0" w:space="0" w:color="auto"/>
        <w:bottom w:val="none" w:sz="0" w:space="0" w:color="auto"/>
        <w:right w:val="none" w:sz="0" w:space="0" w:color="auto"/>
      </w:divBdr>
    </w:div>
    <w:div w:id="1684625553">
      <w:bodyDiv w:val="1"/>
      <w:marLeft w:val="0"/>
      <w:marRight w:val="0"/>
      <w:marTop w:val="0"/>
      <w:marBottom w:val="0"/>
      <w:divBdr>
        <w:top w:val="none" w:sz="0" w:space="0" w:color="auto"/>
        <w:left w:val="none" w:sz="0" w:space="0" w:color="auto"/>
        <w:bottom w:val="none" w:sz="0" w:space="0" w:color="auto"/>
        <w:right w:val="none" w:sz="0" w:space="0" w:color="auto"/>
      </w:divBdr>
    </w:div>
    <w:div w:id="17428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5f527-c7ed-4337-9c3b-d3541cbb08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00E495FDC05346A392541EA9DB2049" ma:contentTypeVersion="11" ma:contentTypeDescription="Create a new document." ma:contentTypeScope="" ma:versionID="e18edfab064cf82e38d0b947a8d1abbd">
  <xsd:schema xmlns:xsd="http://www.w3.org/2001/XMLSchema" xmlns:xs="http://www.w3.org/2001/XMLSchema" xmlns:p="http://schemas.microsoft.com/office/2006/metadata/properties" xmlns:ns2="0c15f527-c7ed-4337-9c3b-d3541cbb08fe" targetNamespace="http://schemas.microsoft.com/office/2006/metadata/properties" ma:root="true" ma:fieldsID="b4b97ff6f58bbb68b903082ff2f00008" ns2:_="">
    <xsd:import namespace="0c15f527-c7ed-4337-9c3b-d3541cbb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f527-c7ed-4337-9c3b-d3541cbb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C7E5C-31AC-471A-8482-EC893DA471A4}">
  <ds:schemaRefs>
    <ds:schemaRef ds:uri="http://schemas.microsoft.com/sharepoint/v3/contenttype/forms"/>
  </ds:schemaRefs>
</ds:datastoreItem>
</file>

<file path=customXml/itemProps2.xml><?xml version="1.0" encoding="utf-8"?>
<ds:datastoreItem xmlns:ds="http://schemas.openxmlformats.org/officeDocument/2006/customXml" ds:itemID="{1771312A-A3EC-476F-8FF5-1901408DDCA9}">
  <ds:schemaRefs>
    <ds:schemaRef ds:uri="http://schemas.openxmlformats.org/officeDocument/2006/bibliography"/>
  </ds:schemaRefs>
</ds:datastoreItem>
</file>

<file path=customXml/itemProps3.xml><?xml version="1.0" encoding="utf-8"?>
<ds:datastoreItem xmlns:ds="http://schemas.openxmlformats.org/officeDocument/2006/customXml" ds:itemID="{228F5600-066F-4F93-94AC-D998170A5D65}">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0c15f527-c7ed-4337-9c3b-d3541cbb08fe"/>
    <ds:schemaRef ds:uri="http://schemas.microsoft.com/office/2006/metadata/properties"/>
  </ds:schemaRefs>
</ds:datastoreItem>
</file>

<file path=customXml/itemProps4.xml><?xml version="1.0" encoding="utf-8"?>
<ds:datastoreItem xmlns:ds="http://schemas.openxmlformats.org/officeDocument/2006/customXml" ds:itemID="{AA21C4B1-C86E-45A0-B20A-2B7A9746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f527-c7ed-4337-9c3b-d3541cbb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7429</Words>
  <Characters>41395</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Tanner, Paul - OSHA</cp:lastModifiedBy>
  <cp:revision>2</cp:revision>
  <cp:lastPrinted>2017-07-11T15:59:00Z</cp:lastPrinted>
  <dcterms:created xsi:type="dcterms:W3CDTF">2025-06-11T11:56:00Z</dcterms:created>
  <dcterms:modified xsi:type="dcterms:W3CDTF">2025-06-11T11:56:00Z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0x0101004F00E495FDC05346A392541EA9DB2049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