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D7AB" w14:textId="35BE782E" w:rsidR="000A134A" w:rsidRPr="005B7B8D" w:rsidRDefault="002511E9" w:rsidP="00B81E74">
      <w:pPr>
        <w:pStyle w:val="Heading1"/>
      </w:pPr>
      <w:bookmarkStart w:id="0" w:name="_Toc118900169"/>
      <w:bookmarkStart w:id="1" w:name="_Toc118905008"/>
      <w:r w:rsidRPr="005B7B8D">
        <w:rPr>
          <w:iCs/>
        </w:rPr>
        <w:t>FY 20</w:t>
      </w:r>
      <w:r w:rsidR="00185C7D" w:rsidRPr="005B7B8D">
        <w:rPr>
          <w:iCs/>
        </w:rPr>
        <w:t>22</w:t>
      </w:r>
      <w:r w:rsidR="001C1E47" w:rsidRPr="005B7B8D">
        <w:rPr>
          <w:iCs/>
        </w:rPr>
        <w:t xml:space="preserve"> </w:t>
      </w:r>
      <w:r w:rsidR="000A134A" w:rsidRPr="005B7B8D">
        <w:rPr>
          <w:iCs/>
        </w:rPr>
        <w:t xml:space="preserve">Follow-up </w:t>
      </w:r>
      <w:r w:rsidR="00626033" w:rsidRPr="005B7B8D">
        <w:t>Federal Annual Monitoring</w:t>
      </w:r>
      <w:r w:rsidR="000A134A" w:rsidRPr="005B7B8D">
        <w:t xml:space="preserve"> Evaluation (FAME) Report</w:t>
      </w:r>
      <w:bookmarkEnd w:id="0"/>
      <w:bookmarkEnd w:id="1"/>
    </w:p>
    <w:p w14:paraId="5D01BB79" w14:textId="77777777" w:rsidR="000A134A" w:rsidRPr="005B7B8D" w:rsidRDefault="000A134A" w:rsidP="0061177B">
      <w:pPr>
        <w:widowControl/>
        <w:autoSpaceDE/>
        <w:autoSpaceDN/>
        <w:adjustRightInd/>
        <w:rPr>
          <w:rFonts w:cs="Calibri"/>
          <w:bCs/>
          <w:iCs/>
          <w:sz w:val="28"/>
          <w:szCs w:val="28"/>
        </w:rPr>
      </w:pPr>
    </w:p>
    <w:p w14:paraId="2681F091" w14:textId="77777777" w:rsidR="000A134A" w:rsidRPr="005B7B8D" w:rsidRDefault="000A134A" w:rsidP="007A71AC">
      <w:pPr>
        <w:widowControl/>
        <w:autoSpaceDE/>
        <w:autoSpaceDN/>
        <w:adjustRightInd/>
        <w:jc w:val="center"/>
        <w:rPr>
          <w:rFonts w:cs="Calibri"/>
          <w:sz w:val="28"/>
          <w:szCs w:val="28"/>
        </w:rPr>
      </w:pPr>
      <w:r w:rsidRPr="005B7B8D">
        <w:rPr>
          <w:rFonts w:cs="Calibri"/>
          <w:sz w:val="28"/>
          <w:szCs w:val="28"/>
        </w:rPr>
        <w:t xml:space="preserve"> </w:t>
      </w:r>
    </w:p>
    <w:p w14:paraId="61F6BBD2" w14:textId="77777777" w:rsidR="000A134A" w:rsidRPr="005B7B8D" w:rsidRDefault="000A134A" w:rsidP="0061177B">
      <w:pPr>
        <w:widowControl/>
        <w:autoSpaceDE/>
        <w:autoSpaceDN/>
        <w:adjustRightInd/>
        <w:rPr>
          <w:rFonts w:cs="Calibri"/>
          <w:b/>
          <w:sz w:val="28"/>
          <w:szCs w:val="28"/>
        </w:rPr>
      </w:pPr>
    </w:p>
    <w:p w14:paraId="053814A0" w14:textId="77777777" w:rsidR="00844315" w:rsidRPr="005B7B8D" w:rsidRDefault="00844315" w:rsidP="00D27319">
      <w:pPr>
        <w:widowControl/>
        <w:autoSpaceDE/>
        <w:autoSpaceDN/>
        <w:adjustRightInd/>
        <w:rPr>
          <w:rFonts w:cs="Calibri"/>
          <w:b/>
          <w:sz w:val="28"/>
          <w:szCs w:val="28"/>
        </w:rPr>
      </w:pPr>
      <w:r w:rsidRPr="005B7B8D">
        <w:rPr>
          <w:rFonts w:cs="Calibri"/>
          <w:b/>
          <w:sz w:val="28"/>
          <w:szCs w:val="28"/>
        </w:rPr>
        <w:t>Iowa Workforce Development</w:t>
      </w:r>
    </w:p>
    <w:p w14:paraId="2D7D3EFE" w14:textId="77777777" w:rsidR="00844315" w:rsidRPr="005B7B8D" w:rsidRDefault="00844315" w:rsidP="00D27319">
      <w:pPr>
        <w:widowControl/>
        <w:autoSpaceDE/>
        <w:autoSpaceDN/>
        <w:adjustRightInd/>
        <w:rPr>
          <w:rFonts w:cs="Calibri"/>
          <w:b/>
          <w:sz w:val="28"/>
          <w:szCs w:val="28"/>
        </w:rPr>
      </w:pPr>
      <w:r w:rsidRPr="005B7B8D">
        <w:rPr>
          <w:rFonts w:cs="Calibri"/>
          <w:b/>
          <w:sz w:val="28"/>
          <w:szCs w:val="28"/>
        </w:rPr>
        <w:t>Iowa Division of Labor</w:t>
      </w:r>
    </w:p>
    <w:p w14:paraId="51905CA0" w14:textId="264A3B17" w:rsidR="000A134A" w:rsidRPr="005B7B8D" w:rsidRDefault="00844315" w:rsidP="00D27319">
      <w:pPr>
        <w:widowControl/>
        <w:autoSpaceDE/>
        <w:autoSpaceDN/>
        <w:adjustRightInd/>
        <w:rPr>
          <w:rFonts w:cs="Calibri"/>
          <w:b/>
          <w:color w:val="0070C0"/>
          <w:sz w:val="28"/>
          <w:szCs w:val="28"/>
        </w:rPr>
      </w:pPr>
      <w:r w:rsidRPr="005B7B8D">
        <w:rPr>
          <w:rFonts w:cs="Calibri"/>
          <w:b/>
          <w:sz w:val="28"/>
          <w:szCs w:val="28"/>
        </w:rPr>
        <w:t>Iowa Occupational Safety and Health Administration</w:t>
      </w:r>
    </w:p>
    <w:p w14:paraId="2A3E5133" w14:textId="77777777" w:rsidR="000A134A" w:rsidRPr="005B7B8D" w:rsidRDefault="000A134A" w:rsidP="00D27319">
      <w:pPr>
        <w:widowControl/>
        <w:autoSpaceDE/>
        <w:autoSpaceDN/>
        <w:adjustRightInd/>
        <w:rPr>
          <w:rFonts w:cs="Calibri"/>
          <w:bCs/>
          <w:sz w:val="28"/>
          <w:szCs w:val="28"/>
        </w:rPr>
      </w:pPr>
    </w:p>
    <w:p w14:paraId="33BDDAA9" w14:textId="053E7821" w:rsidR="000A134A" w:rsidRPr="001C1E47" w:rsidRDefault="00FB2B44" w:rsidP="00D27319">
      <w:pPr>
        <w:widowControl/>
        <w:autoSpaceDE/>
        <w:autoSpaceDN/>
        <w:adjustRightInd/>
        <w:rPr>
          <w:rFonts w:cs="Calibri"/>
          <w:bCs/>
        </w:rPr>
      </w:pPr>
      <w:r>
        <w:rPr>
          <w:noProof/>
        </w:rPr>
        <w:drawing>
          <wp:inline distT="0" distB="0" distL="0" distR="0" wp14:anchorId="11F86884" wp14:editId="5A887132">
            <wp:extent cx="2103120" cy="1409700"/>
            <wp:effectExtent l="0" t="0" r="0" b="0"/>
            <wp:docPr id="1" name="image1.jpeg" descr="Logo, state flag of Iowa. Blue, white, red vertical stripes with eagle located in the white str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state flag of Iowa. Blue, white, red vertical stripes with eagle located in the white stripe."/>
                    <pic:cNvPicPr/>
                  </pic:nvPicPr>
                  <pic:blipFill>
                    <a:blip r:embed="rId8" cstate="print"/>
                    <a:stretch>
                      <a:fillRect/>
                    </a:stretch>
                  </pic:blipFill>
                  <pic:spPr>
                    <a:xfrm>
                      <a:off x="0" y="0"/>
                      <a:ext cx="2103120" cy="1409700"/>
                    </a:xfrm>
                    <a:prstGeom prst="rect">
                      <a:avLst/>
                    </a:prstGeom>
                  </pic:spPr>
                </pic:pic>
              </a:graphicData>
            </a:graphic>
          </wp:inline>
        </w:drawing>
      </w:r>
      <w:r w:rsidR="000E62AE">
        <w:rPr>
          <w:rFonts w:cs="Calibri"/>
          <w:bCs/>
        </w:rPr>
        <w:br w:type="textWrapping" w:clear="all"/>
      </w:r>
    </w:p>
    <w:p w14:paraId="157A43AA" w14:textId="43D3F164" w:rsidR="000A134A" w:rsidRPr="00C53328" w:rsidRDefault="000A134A" w:rsidP="001C1E47">
      <w:pPr>
        <w:widowControl/>
        <w:autoSpaceDE/>
        <w:autoSpaceDN/>
        <w:adjustRightInd/>
        <w:rPr>
          <w:rFonts w:cs="Calibri"/>
          <w:bCs/>
          <w:color w:val="0070C0"/>
        </w:rPr>
      </w:pPr>
    </w:p>
    <w:p w14:paraId="6CB8AD27" w14:textId="7356AD48" w:rsidR="000A134A" w:rsidRPr="005B7B8D" w:rsidRDefault="000A134A" w:rsidP="001C1E47">
      <w:pPr>
        <w:widowControl/>
        <w:tabs>
          <w:tab w:val="left" w:pos="720"/>
          <w:tab w:val="left" w:pos="1440"/>
          <w:tab w:val="left" w:pos="2160"/>
        </w:tabs>
        <w:autoSpaceDE/>
        <w:autoSpaceDN/>
        <w:adjustRightInd/>
        <w:rPr>
          <w:rFonts w:eastAsia="Batang" w:cs="Calibri"/>
          <w:b/>
          <w:sz w:val="28"/>
          <w:szCs w:val="28"/>
        </w:rPr>
      </w:pPr>
      <w:r w:rsidRPr="005B7B8D">
        <w:rPr>
          <w:rFonts w:eastAsia="Batang" w:cs="Calibri"/>
          <w:b/>
          <w:sz w:val="28"/>
          <w:szCs w:val="28"/>
        </w:rPr>
        <w:t>Ev</w:t>
      </w:r>
      <w:r w:rsidR="00882F2B" w:rsidRPr="005B7B8D">
        <w:rPr>
          <w:rFonts w:eastAsia="Batang" w:cs="Calibri"/>
          <w:b/>
          <w:sz w:val="28"/>
          <w:szCs w:val="28"/>
        </w:rPr>
        <w:t>aluation Period: October 1, 20</w:t>
      </w:r>
      <w:r w:rsidR="00F54BE0" w:rsidRPr="005B7B8D">
        <w:rPr>
          <w:rFonts w:eastAsia="Batang" w:cs="Calibri"/>
          <w:b/>
          <w:sz w:val="28"/>
          <w:szCs w:val="28"/>
        </w:rPr>
        <w:t>21</w:t>
      </w:r>
      <w:r w:rsidRPr="005B7B8D">
        <w:rPr>
          <w:rFonts w:eastAsia="Batang" w:cs="Calibri"/>
          <w:b/>
          <w:sz w:val="28"/>
          <w:szCs w:val="28"/>
        </w:rPr>
        <w:t xml:space="preserve"> –</w:t>
      </w:r>
      <w:r w:rsidR="00882F2B" w:rsidRPr="005B7B8D">
        <w:rPr>
          <w:rFonts w:eastAsia="Batang" w:cs="Calibri"/>
          <w:b/>
          <w:sz w:val="28"/>
          <w:szCs w:val="28"/>
        </w:rPr>
        <w:t xml:space="preserve"> September 30, 20</w:t>
      </w:r>
      <w:r w:rsidR="00F54BE0" w:rsidRPr="005B7B8D">
        <w:rPr>
          <w:rFonts w:eastAsia="Batang" w:cs="Calibri"/>
          <w:b/>
          <w:sz w:val="28"/>
          <w:szCs w:val="28"/>
        </w:rPr>
        <w:t>22</w:t>
      </w:r>
    </w:p>
    <w:p w14:paraId="03D79AE5" w14:textId="77777777" w:rsidR="000A134A" w:rsidRPr="005B7B8D" w:rsidRDefault="000A134A" w:rsidP="007A71AC">
      <w:pPr>
        <w:widowControl/>
        <w:autoSpaceDE/>
        <w:autoSpaceDN/>
        <w:adjustRightInd/>
        <w:jc w:val="center"/>
        <w:rPr>
          <w:rFonts w:cs="Calibri"/>
          <w:sz w:val="28"/>
          <w:szCs w:val="28"/>
        </w:rPr>
      </w:pPr>
    </w:p>
    <w:p w14:paraId="0E81BC24"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221B5785"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rPr>
      </w:pPr>
    </w:p>
    <w:p w14:paraId="0DF94F44" w14:textId="5BE36828" w:rsidR="000A134A" w:rsidRPr="00AE69BE"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sz w:val="28"/>
          <w:szCs w:val="28"/>
        </w:rPr>
      </w:pPr>
      <w:r w:rsidRPr="00AE69BE">
        <w:rPr>
          <w:rFonts w:eastAsia="Batang" w:cs="Calibri"/>
          <w:b/>
          <w:sz w:val="28"/>
          <w:szCs w:val="28"/>
        </w:rPr>
        <w:t xml:space="preserve">Initial Approval Date:  </w:t>
      </w:r>
      <w:r w:rsidR="00844315" w:rsidRPr="00AE69BE">
        <w:rPr>
          <w:rFonts w:eastAsia="Batang" w:cs="Calibri"/>
          <w:b/>
          <w:sz w:val="28"/>
          <w:szCs w:val="28"/>
        </w:rPr>
        <w:t xml:space="preserve">July 20, </w:t>
      </w:r>
      <w:r w:rsidR="00C43C55" w:rsidRPr="00AE69BE">
        <w:rPr>
          <w:rFonts w:eastAsia="Batang" w:cs="Calibri"/>
          <w:b/>
          <w:sz w:val="28"/>
          <w:szCs w:val="28"/>
        </w:rPr>
        <w:t>1973</w:t>
      </w:r>
    </w:p>
    <w:p w14:paraId="3062998A" w14:textId="4AEC3404" w:rsidR="000A134A" w:rsidRPr="00AE69BE"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sz w:val="28"/>
          <w:szCs w:val="28"/>
        </w:rPr>
      </w:pPr>
      <w:r w:rsidRPr="00AE69BE">
        <w:rPr>
          <w:rFonts w:eastAsia="Batang" w:cs="Calibri"/>
          <w:b/>
          <w:sz w:val="28"/>
          <w:szCs w:val="28"/>
        </w:rPr>
        <w:t xml:space="preserve">Program Certification Date: </w:t>
      </w:r>
      <w:r w:rsidR="00C43C55" w:rsidRPr="00AE69BE">
        <w:rPr>
          <w:rFonts w:eastAsia="Batang" w:cs="Calibri"/>
          <w:b/>
          <w:sz w:val="28"/>
          <w:szCs w:val="28"/>
        </w:rPr>
        <w:t>September 14, 1976</w:t>
      </w:r>
    </w:p>
    <w:p w14:paraId="51A91D4F" w14:textId="3888EE0F" w:rsidR="000A134A" w:rsidRPr="00AE69BE"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sz w:val="28"/>
          <w:szCs w:val="28"/>
        </w:rPr>
      </w:pPr>
      <w:r w:rsidRPr="00AE69BE">
        <w:rPr>
          <w:rFonts w:eastAsia="Batang" w:cs="Calibri"/>
          <w:b/>
          <w:sz w:val="28"/>
          <w:szCs w:val="28"/>
        </w:rPr>
        <w:t xml:space="preserve">Final Approval Date: </w:t>
      </w:r>
      <w:r w:rsidR="00C43C55" w:rsidRPr="00AE69BE">
        <w:rPr>
          <w:rFonts w:eastAsia="Batang" w:cs="Calibri"/>
          <w:b/>
          <w:sz w:val="28"/>
          <w:szCs w:val="28"/>
        </w:rPr>
        <w:t>July 2, 1985</w:t>
      </w:r>
    </w:p>
    <w:p w14:paraId="78217A3B" w14:textId="77777777" w:rsidR="00C43C55" w:rsidRPr="00AE69BE" w:rsidRDefault="00C43C55"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b/>
          <w:sz w:val="28"/>
          <w:szCs w:val="28"/>
        </w:rPr>
      </w:pPr>
    </w:p>
    <w:p w14:paraId="19E2F8B5" w14:textId="77777777" w:rsidR="000A134A" w:rsidRPr="00AE69BE" w:rsidRDefault="000A134A" w:rsidP="0061177B">
      <w:pPr>
        <w:widowControl/>
        <w:autoSpaceDE/>
        <w:autoSpaceDN/>
        <w:adjustRightInd/>
        <w:rPr>
          <w:rFonts w:cs="Calibri"/>
          <w:bCs/>
          <w:iCs/>
          <w:sz w:val="28"/>
          <w:szCs w:val="28"/>
        </w:rPr>
      </w:pPr>
    </w:p>
    <w:p w14:paraId="336BF8F1" w14:textId="685BEDA1" w:rsidR="000A134A" w:rsidRPr="00AE69BE" w:rsidRDefault="000A134A" w:rsidP="00C53328">
      <w:pPr>
        <w:widowControl/>
        <w:autoSpaceDE/>
        <w:autoSpaceDN/>
        <w:adjustRightInd/>
        <w:rPr>
          <w:rFonts w:cs="Calibri"/>
          <w:b/>
          <w:sz w:val="28"/>
          <w:szCs w:val="28"/>
        </w:rPr>
      </w:pPr>
      <w:r w:rsidRPr="00AE69BE">
        <w:rPr>
          <w:rFonts w:cs="Calibri"/>
          <w:b/>
          <w:sz w:val="28"/>
          <w:szCs w:val="28"/>
        </w:rPr>
        <w:t>Prepared by:</w:t>
      </w:r>
      <w:r w:rsidR="00C43C55" w:rsidRPr="00AE69BE">
        <w:rPr>
          <w:rFonts w:cs="Calibri"/>
          <w:b/>
          <w:sz w:val="28"/>
          <w:szCs w:val="28"/>
        </w:rPr>
        <w:t xml:space="preserve"> </w:t>
      </w:r>
    </w:p>
    <w:p w14:paraId="503A1070" w14:textId="77777777" w:rsidR="000A134A" w:rsidRPr="00AE69BE" w:rsidRDefault="000A134A" w:rsidP="00C53328">
      <w:pPr>
        <w:widowControl/>
        <w:autoSpaceDE/>
        <w:autoSpaceDN/>
        <w:adjustRightInd/>
        <w:rPr>
          <w:rFonts w:cs="Calibri"/>
          <w:b/>
          <w:sz w:val="28"/>
          <w:szCs w:val="28"/>
        </w:rPr>
      </w:pPr>
      <w:r w:rsidRPr="00AE69BE">
        <w:rPr>
          <w:rFonts w:cs="Calibri"/>
          <w:b/>
          <w:sz w:val="28"/>
          <w:szCs w:val="28"/>
        </w:rPr>
        <w:t xml:space="preserve">U. S. Department of Labor </w:t>
      </w:r>
    </w:p>
    <w:p w14:paraId="5E957F30" w14:textId="77777777" w:rsidR="000A134A" w:rsidRPr="00AE69BE" w:rsidRDefault="000A134A" w:rsidP="00C53328">
      <w:pPr>
        <w:widowControl/>
        <w:autoSpaceDE/>
        <w:autoSpaceDN/>
        <w:adjustRightInd/>
        <w:rPr>
          <w:rFonts w:cs="Calibri"/>
          <w:b/>
          <w:sz w:val="28"/>
          <w:szCs w:val="28"/>
        </w:rPr>
      </w:pPr>
      <w:r w:rsidRPr="00AE69BE">
        <w:rPr>
          <w:rFonts w:cs="Calibri"/>
          <w:b/>
          <w:sz w:val="28"/>
          <w:szCs w:val="28"/>
        </w:rPr>
        <w:t>Occupational Safety and Health Administration</w:t>
      </w:r>
    </w:p>
    <w:p w14:paraId="283D40DC" w14:textId="5A907DE7" w:rsidR="000A134A" w:rsidRPr="00AE69BE" w:rsidRDefault="000A134A" w:rsidP="00C53328">
      <w:pPr>
        <w:widowControl/>
        <w:autoSpaceDE/>
        <w:autoSpaceDN/>
        <w:adjustRightInd/>
        <w:rPr>
          <w:rFonts w:cs="Calibri"/>
          <w:b/>
          <w:sz w:val="28"/>
          <w:szCs w:val="28"/>
        </w:rPr>
      </w:pPr>
      <w:r w:rsidRPr="00AE69BE">
        <w:rPr>
          <w:rFonts w:cs="Calibri"/>
          <w:b/>
          <w:sz w:val="28"/>
          <w:szCs w:val="28"/>
        </w:rPr>
        <w:t xml:space="preserve">Region </w:t>
      </w:r>
      <w:r w:rsidR="00C43C55" w:rsidRPr="00AE69BE">
        <w:rPr>
          <w:rFonts w:cs="Calibri"/>
          <w:b/>
          <w:sz w:val="28"/>
          <w:szCs w:val="28"/>
        </w:rPr>
        <w:t>7</w:t>
      </w:r>
    </w:p>
    <w:p w14:paraId="2A63637C" w14:textId="39428914" w:rsidR="000A134A" w:rsidRDefault="00C43C55" w:rsidP="00C43C55">
      <w:pPr>
        <w:widowControl/>
        <w:autoSpaceDE/>
        <w:autoSpaceDN/>
        <w:adjustRightInd/>
        <w:rPr>
          <w:rFonts w:cs="Calibri"/>
          <w:b/>
          <w:sz w:val="28"/>
          <w:szCs w:val="28"/>
        </w:rPr>
      </w:pPr>
      <w:r w:rsidRPr="00AE69BE">
        <w:rPr>
          <w:rFonts w:cs="Calibri"/>
          <w:b/>
          <w:sz w:val="28"/>
          <w:szCs w:val="28"/>
        </w:rPr>
        <w:t>Kansas City, MO</w:t>
      </w:r>
    </w:p>
    <w:p w14:paraId="48918681" w14:textId="77777777" w:rsidR="00862DC5" w:rsidRPr="00AE69BE" w:rsidRDefault="00862DC5" w:rsidP="00C43C55">
      <w:pPr>
        <w:widowControl/>
        <w:autoSpaceDE/>
        <w:autoSpaceDN/>
        <w:adjustRightInd/>
        <w:rPr>
          <w:rFonts w:cs="Calibri"/>
          <w:b/>
          <w:sz w:val="28"/>
          <w:szCs w:val="28"/>
        </w:rPr>
      </w:pPr>
    </w:p>
    <w:p w14:paraId="26D1C94C" w14:textId="375B1FE5" w:rsidR="00F43B23" w:rsidRDefault="000A134A" w:rsidP="00C43C55">
      <w:pPr>
        <w:widowControl/>
        <w:autoSpaceDE/>
        <w:autoSpaceDN/>
        <w:adjustRightInd/>
        <w:jc w:val="center"/>
        <w:rPr>
          <w:rFonts w:cs="Calibri"/>
          <w:b/>
          <w:sz w:val="40"/>
          <w:szCs w:val="40"/>
        </w:rPr>
      </w:pPr>
      <w:r w:rsidRPr="001C1E47">
        <w:rPr>
          <w:rFonts w:cs="Calibri"/>
          <w:noProof/>
        </w:rPr>
        <w:drawing>
          <wp:inline distT="0" distB="0" distL="0" distR="0" wp14:anchorId="1D849888" wp14:editId="4EFC1304">
            <wp:extent cx="1583770" cy="855552"/>
            <wp:effectExtent l="0" t="0" r="0" b="1905"/>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817" cy="924723"/>
                    </a:xfrm>
                    <a:prstGeom prst="rect">
                      <a:avLst/>
                    </a:prstGeom>
                    <a:noFill/>
                    <a:ln>
                      <a:noFill/>
                    </a:ln>
                  </pic:spPr>
                </pic:pic>
              </a:graphicData>
            </a:graphic>
          </wp:inline>
        </w:drawing>
      </w:r>
      <w:r w:rsidR="00F43B23">
        <w:rPr>
          <w:rFonts w:cs="Calibri"/>
          <w:b/>
          <w:sz w:val="40"/>
          <w:szCs w:val="40"/>
        </w:rPr>
        <w:br w:type="page"/>
      </w:r>
    </w:p>
    <w:p w14:paraId="253E64F1" w14:textId="2FAB4601" w:rsidR="002A6CAA" w:rsidRPr="00F43B23" w:rsidRDefault="00F43B23">
      <w:pPr>
        <w:widowControl/>
        <w:autoSpaceDE/>
        <w:autoSpaceDN/>
        <w:adjustRightInd/>
        <w:rPr>
          <w:rFonts w:cs="Calibri"/>
          <w:b/>
          <w:sz w:val="28"/>
          <w:szCs w:val="28"/>
        </w:rPr>
      </w:pPr>
      <w:bookmarkStart w:id="2" w:name="_Hlk129157544"/>
      <w:r w:rsidRPr="00F43B23">
        <w:rPr>
          <w:rFonts w:cs="Calibri"/>
          <w:b/>
          <w:sz w:val="28"/>
          <w:szCs w:val="28"/>
        </w:rPr>
        <w:lastRenderedPageBreak/>
        <w:t>Table of Contents</w:t>
      </w:r>
    </w:p>
    <w:p w14:paraId="06E70E68" w14:textId="78D7A600" w:rsidR="00264BB5" w:rsidRDefault="000F63C1">
      <w:pPr>
        <w:pStyle w:val="TOC2"/>
        <w:tabs>
          <w:tab w:val="left" w:pos="480"/>
          <w:tab w:val="right" w:leader="dot" w:pos="9530"/>
        </w:tabs>
        <w:rPr>
          <w:rFonts w:eastAsiaTheme="minorEastAsia" w:cstheme="minorBidi"/>
          <w:bCs w:val="0"/>
          <w:noProof/>
          <w:sz w:val="22"/>
          <w:szCs w:val="22"/>
        </w:rPr>
      </w:pPr>
      <w:r>
        <w:fldChar w:fldCharType="begin"/>
      </w:r>
      <w:r>
        <w:instrText xml:space="preserve"> TOC \o "2-3" \h \z \u \t "Level 1,1" </w:instrText>
      </w:r>
      <w:r>
        <w:fldChar w:fldCharType="separate"/>
      </w:r>
      <w:hyperlink w:anchor="_Toc129699003" w:history="1">
        <w:r w:rsidR="00264BB5" w:rsidRPr="00CC23EE">
          <w:rPr>
            <w:rStyle w:val="Hyperlink"/>
            <w:noProof/>
          </w:rPr>
          <w:t>I.</w:t>
        </w:r>
        <w:r w:rsidR="00264BB5">
          <w:rPr>
            <w:rFonts w:eastAsiaTheme="minorEastAsia" w:cstheme="minorBidi"/>
            <w:bCs w:val="0"/>
            <w:noProof/>
            <w:sz w:val="22"/>
            <w:szCs w:val="22"/>
          </w:rPr>
          <w:tab/>
        </w:r>
        <w:r w:rsidR="00264BB5" w:rsidRPr="00CC23EE">
          <w:rPr>
            <w:rStyle w:val="Hyperlink"/>
            <w:noProof/>
          </w:rPr>
          <w:t>Executive Summary</w:t>
        </w:r>
        <w:r w:rsidR="00264BB5">
          <w:rPr>
            <w:noProof/>
            <w:webHidden/>
          </w:rPr>
          <w:tab/>
        </w:r>
        <w:r w:rsidR="00264BB5">
          <w:rPr>
            <w:noProof/>
            <w:webHidden/>
          </w:rPr>
          <w:fldChar w:fldCharType="begin"/>
        </w:r>
        <w:r w:rsidR="00264BB5">
          <w:rPr>
            <w:noProof/>
            <w:webHidden/>
          </w:rPr>
          <w:instrText xml:space="preserve"> PAGEREF _Toc129699003 \h </w:instrText>
        </w:r>
        <w:r w:rsidR="00264BB5">
          <w:rPr>
            <w:noProof/>
            <w:webHidden/>
          </w:rPr>
        </w:r>
        <w:r w:rsidR="00264BB5">
          <w:rPr>
            <w:noProof/>
            <w:webHidden/>
          </w:rPr>
          <w:fldChar w:fldCharType="separate"/>
        </w:r>
        <w:r w:rsidR="00370890">
          <w:rPr>
            <w:noProof/>
            <w:webHidden/>
          </w:rPr>
          <w:t>3</w:t>
        </w:r>
        <w:r w:rsidR="00264BB5">
          <w:rPr>
            <w:noProof/>
            <w:webHidden/>
          </w:rPr>
          <w:fldChar w:fldCharType="end"/>
        </w:r>
      </w:hyperlink>
    </w:p>
    <w:p w14:paraId="692070A3" w14:textId="72328B6D" w:rsidR="00264BB5" w:rsidRDefault="00000000">
      <w:pPr>
        <w:pStyle w:val="TOC2"/>
        <w:tabs>
          <w:tab w:val="left" w:pos="480"/>
          <w:tab w:val="right" w:leader="dot" w:pos="9530"/>
        </w:tabs>
        <w:rPr>
          <w:rFonts w:eastAsiaTheme="minorEastAsia" w:cstheme="minorBidi"/>
          <w:bCs w:val="0"/>
          <w:noProof/>
          <w:sz w:val="22"/>
          <w:szCs w:val="22"/>
        </w:rPr>
      </w:pPr>
      <w:hyperlink w:anchor="_Toc129699004" w:history="1">
        <w:r w:rsidR="00264BB5" w:rsidRPr="00CC23EE">
          <w:rPr>
            <w:rStyle w:val="Hyperlink"/>
            <w:noProof/>
          </w:rPr>
          <w:t>II.</w:t>
        </w:r>
        <w:r w:rsidR="00264BB5">
          <w:rPr>
            <w:rFonts w:eastAsiaTheme="minorEastAsia" w:cstheme="minorBidi"/>
            <w:bCs w:val="0"/>
            <w:noProof/>
            <w:sz w:val="22"/>
            <w:szCs w:val="22"/>
          </w:rPr>
          <w:tab/>
        </w:r>
        <w:r w:rsidR="00264BB5" w:rsidRPr="00CC23EE">
          <w:rPr>
            <w:rStyle w:val="Hyperlink"/>
            <w:noProof/>
          </w:rPr>
          <w:t>State Plan Background</w:t>
        </w:r>
        <w:r w:rsidR="00264BB5">
          <w:rPr>
            <w:noProof/>
            <w:webHidden/>
          </w:rPr>
          <w:tab/>
        </w:r>
        <w:r w:rsidR="00264BB5">
          <w:rPr>
            <w:noProof/>
            <w:webHidden/>
          </w:rPr>
          <w:fldChar w:fldCharType="begin"/>
        </w:r>
        <w:r w:rsidR="00264BB5">
          <w:rPr>
            <w:noProof/>
            <w:webHidden/>
          </w:rPr>
          <w:instrText xml:space="preserve"> PAGEREF _Toc129699004 \h </w:instrText>
        </w:r>
        <w:r w:rsidR="00264BB5">
          <w:rPr>
            <w:noProof/>
            <w:webHidden/>
          </w:rPr>
        </w:r>
        <w:r w:rsidR="00264BB5">
          <w:rPr>
            <w:noProof/>
            <w:webHidden/>
          </w:rPr>
          <w:fldChar w:fldCharType="separate"/>
        </w:r>
        <w:r w:rsidR="00370890">
          <w:rPr>
            <w:noProof/>
            <w:webHidden/>
          </w:rPr>
          <w:t>4</w:t>
        </w:r>
        <w:r w:rsidR="00264BB5">
          <w:rPr>
            <w:noProof/>
            <w:webHidden/>
          </w:rPr>
          <w:fldChar w:fldCharType="end"/>
        </w:r>
      </w:hyperlink>
    </w:p>
    <w:p w14:paraId="1C8E1AA6" w14:textId="41D1D831" w:rsidR="00264BB5" w:rsidRDefault="007A7A2C">
      <w:pPr>
        <w:pStyle w:val="TOC2"/>
        <w:tabs>
          <w:tab w:val="left" w:pos="720"/>
          <w:tab w:val="right" w:leader="dot" w:pos="9530"/>
        </w:tabs>
        <w:rPr>
          <w:rFonts w:eastAsiaTheme="minorEastAsia" w:cstheme="minorBidi"/>
          <w:bCs w:val="0"/>
          <w:noProof/>
          <w:sz w:val="22"/>
          <w:szCs w:val="22"/>
        </w:rPr>
      </w:pPr>
      <w:hyperlink w:anchor="_Toc129699005" w:history="1">
        <w:r w:rsidR="00264BB5" w:rsidRPr="00CC23EE">
          <w:rPr>
            <w:rStyle w:val="Hyperlink"/>
            <w:noProof/>
          </w:rPr>
          <w:t>III.</w:t>
        </w:r>
        <w:r w:rsidR="00DC1DF6">
          <w:rPr>
            <w:rStyle w:val="Hyperlink"/>
            <w:noProof/>
          </w:rPr>
          <w:t xml:space="preserve">    </w:t>
        </w:r>
        <w:r w:rsidR="00264BB5" w:rsidRPr="00CC23EE">
          <w:rPr>
            <w:rStyle w:val="Hyperlink"/>
            <w:noProof/>
          </w:rPr>
          <w:t>Assessment of State Plan Progress and Performance</w:t>
        </w:r>
        <w:r w:rsidR="00264BB5">
          <w:rPr>
            <w:noProof/>
            <w:webHidden/>
          </w:rPr>
          <w:tab/>
        </w:r>
        <w:r w:rsidR="00264BB5">
          <w:rPr>
            <w:noProof/>
            <w:webHidden/>
          </w:rPr>
          <w:fldChar w:fldCharType="begin"/>
        </w:r>
        <w:r w:rsidR="00264BB5">
          <w:rPr>
            <w:noProof/>
            <w:webHidden/>
          </w:rPr>
          <w:instrText xml:space="preserve"> PAGEREF _Toc129699005 \h </w:instrText>
        </w:r>
        <w:r w:rsidR="00264BB5">
          <w:rPr>
            <w:noProof/>
            <w:webHidden/>
          </w:rPr>
        </w:r>
        <w:r w:rsidR="00264BB5">
          <w:rPr>
            <w:noProof/>
            <w:webHidden/>
          </w:rPr>
          <w:fldChar w:fldCharType="separate"/>
        </w:r>
        <w:r w:rsidR="00370890">
          <w:rPr>
            <w:noProof/>
            <w:webHidden/>
          </w:rPr>
          <w:t>5</w:t>
        </w:r>
        <w:r w:rsidR="00264BB5">
          <w:rPr>
            <w:noProof/>
            <w:webHidden/>
          </w:rPr>
          <w:fldChar w:fldCharType="end"/>
        </w:r>
      </w:hyperlink>
    </w:p>
    <w:p w14:paraId="12A10855" w14:textId="74C30040" w:rsidR="00264BB5" w:rsidRDefault="007A7A2C" w:rsidP="00DC1DF6">
      <w:pPr>
        <w:pStyle w:val="TOC3"/>
        <w:rPr>
          <w:rFonts w:eastAsiaTheme="minorEastAsia" w:cstheme="minorBidi"/>
          <w:noProof/>
          <w:sz w:val="22"/>
          <w:szCs w:val="22"/>
        </w:rPr>
      </w:pPr>
      <w:hyperlink w:anchor="_Toc129699006" w:history="1">
        <w:r w:rsidR="00264BB5" w:rsidRPr="00CC23EE">
          <w:rPr>
            <w:rStyle w:val="Hyperlink"/>
            <w:rFonts w:ascii="Calibri" w:hAnsi="Calibri"/>
            <w:noProof/>
          </w:rPr>
          <w:t>A.</w:t>
        </w:r>
        <w:r w:rsidR="00264BB5">
          <w:rPr>
            <w:rFonts w:eastAsiaTheme="minorEastAsia" w:cstheme="minorBidi"/>
            <w:noProof/>
            <w:sz w:val="22"/>
            <w:szCs w:val="22"/>
          </w:rPr>
          <w:tab/>
        </w:r>
        <w:r w:rsidR="00264BB5" w:rsidRPr="00CC23EE">
          <w:rPr>
            <w:rStyle w:val="Hyperlink"/>
            <w:noProof/>
          </w:rPr>
          <w:t>Data and Methodology</w:t>
        </w:r>
        <w:r w:rsidR="00DC1DF6">
          <w:rPr>
            <w:rStyle w:val="Hyperlink"/>
            <w:noProof/>
          </w:rPr>
          <w:t>……………………………………………………………………………………….............</w:t>
        </w:r>
        <w:r w:rsidR="00DC1DF6">
          <w:rPr>
            <w:noProof/>
            <w:webHidden/>
          </w:rPr>
          <w:t>…</w:t>
        </w:r>
        <w:r w:rsidR="00264BB5">
          <w:rPr>
            <w:noProof/>
            <w:webHidden/>
          </w:rPr>
          <w:fldChar w:fldCharType="begin"/>
        </w:r>
        <w:r w:rsidR="00264BB5">
          <w:rPr>
            <w:noProof/>
            <w:webHidden/>
          </w:rPr>
          <w:instrText xml:space="preserve"> PAGEREF _Toc129699006 \h </w:instrText>
        </w:r>
        <w:r w:rsidR="00264BB5">
          <w:rPr>
            <w:noProof/>
            <w:webHidden/>
          </w:rPr>
        </w:r>
        <w:r w:rsidR="00264BB5">
          <w:rPr>
            <w:noProof/>
            <w:webHidden/>
          </w:rPr>
          <w:fldChar w:fldCharType="separate"/>
        </w:r>
        <w:r w:rsidR="00370890">
          <w:rPr>
            <w:noProof/>
            <w:webHidden/>
          </w:rPr>
          <w:t>5</w:t>
        </w:r>
        <w:r w:rsidR="00264BB5">
          <w:rPr>
            <w:noProof/>
            <w:webHidden/>
          </w:rPr>
          <w:fldChar w:fldCharType="end"/>
        </w:r>
      </w:hyperlink>
    </w:p>
    <w:p w14:paraId="46C956EE" w14:textId="27255242" w:rsidR="00264BB5" w:rsidRDefault="007A7A2C" w:rsidP="00DC1DF6">
      <w:pPr>
        <w:pStyle w:val="TOC3"/>
        <w:rPr>
          <w:rFonts w:eastAsiaTheme="minorEastAsia" w:cstheme="minorBidi"/>
          <w:noProof/>
          <w:sz w:val="22"/>
          <w:szCs w:val="22"/>
        </w:rPr>
      </w:pPr>
      <w:hyperlink w:anchor="_Toc129699007" w:history="1">
        <w:r w:rsidR="00264BB5" w:rsidRPr="00CC23EE">
          <w:rPr>
            <w:rStyle w:val="Hyperlink"/>
            <w:rFonts w:ascii="Calibri" w:hAnsi="Calibri"/>
            <w:noProof/>
          </w:rPr>
          <w:t>B.</w:t>
        </w:r>
        <w:r w:rsidR="00264BB5">
          <w:rPr>
            <w:rFonts w:eastAsiaTheme="minorEastAsia" w:cstheme="minorBidi"/>
            <w:noProof/>
            <w:sz w:val="22"/>
            <w:szCs w:val="22"/>
          </w:rPr>
          <w:tab/>
        </w:r>
        <w:r w:rsidR="00264BB5" w:rsidRPr="00CC23EE">
          <w:rPr>
            <w:rStyle w:val="Hyperlink"/>
            <w:noProof/>
          </w:rPr>
          <w:t>Findings and Observations</w:t>
        </w:r>
        <w:r w:rsidR="00DC1DF6">
          <w:rPr>
            <w:noProof/>
            <w:webHidden/>
          </w:rPr>
          <w:t>……………………………………………………………………………………</w:t>
        </w:r>
        <w:r w:rsidR="005D6416">
          <w:rPr>
            <w:noProof/>
            <w:webHidden/>
          </w:rPr>
          <w:t>…..</w:t>
        </w:r>
        <w:r w:rsidR="00DC1DF6">
          <w:rPr>
            <w:noProof/>
            <w:webHidden/>
          </w:rPr>
          <w:t>………</w:t>
        </w:r>
        <w:r w:rsidR="00264BB5">
          <w:rPr>
            <w:noProof/>
            <w:webHidden/>
          </w:rPr>
          <w:fldChar w:fldCharType="begin"/>
        </w:r>
        <w:r w:rsidR="00264BB5">
          <w:rPr>
            <w:noProof/>
            <w:webHidden/>
          </w:rPr>
          <w:instrText xml:space="preserve"> PAGEREF _Toc129699007 \h </w:instrText>
        </w:r>
        <w:r w:rsidR="00264BB5">
          <w:rPr>
            <w:noProof/>
            <w:webHidden/>
          </w:rPr>
        </w:r>
        <w:r w:rsidR="00264BB5">
          <w:rPr>
            <w:noProof/>
            <w:webHidden/>
          </w:rPr>
          <w:fldChar w:fldCharType="separate"/>
        </w:r>
        <w:r w:rsidR="00370890">
          <w:rPr>
            <w:noProof/>
            <w:webHidden/>
          </w:rPr>
          <w:t>5</w:t>
        </w:r>
        <w:r w:rsidR="00264BB5">
          <w:rPr>
            <w:noProof/>
            <w:webHidden/>
          </w:rPr>
          <w:fldChar w:fldCharType="end"/>
        </w:r>
      </w:hyperlink>
    </w:p>
    <w:p w14:paraId="3518CF30" w14:textId="1AE9C95C" w:rsidR="00264BB5" w:rsidRDefault="007A7A2C" w:rsidP="00DC1DF6">
      <w:pPr>
        <w:pStyle w:val="TOC3"/>
        <w:rPr>
          <w:rFonts w:eastAsiaTheme="minorEastAsia" w:cstheme="minorBidi"/>
          <w:noProof/>
          <w:sz w:val="22"/>
          <w:szCs w:val="22"/>
        </w:rPr>
      </w:pPr>
      <w:hyperlink w:anchor="_Toc129699008" w:history="1">
        <w:r w:rsidR="00264BB5" w:rsidRPr="00CC23EE">
          <w:rPr>
            <w:rStyle w:val="Hyperlink"/>
            <w:rFonts w:ascii="Calibri" w:hAnsi="Calibri"/>
            <w:noProof/>
          </w:rPr>
          <w:t>C.</w:t>
        </w:r>
        <w:r w:rsidR="00264BB5">
          <w:rPr>
            <w:rFonts w:eastAsiaTheme="minorEastAsia" w:cstheme="minorBidi"/>
            <w:noProof/>
            <w:sz w:val="22"/>
            <w:szCs w:val="22"/>
          </w:rPr>
          <w:tab/>
        </w:r>
        <w:r w:rsidR="00264BB5" w:rsidRPr="00CC23EE">
          <w:rPr>
            <w:rStyle w:val="Hyperlink"/>
            <w:noProof/>
          </w:rPr>
          <w:t>State Activity Mandated Measures (SAMM) Highlights</w:t>
        </w:r>
        <w:r w:rsidR="00DC1DF6">
          <w:rPr>
            <w:noProof/>
            <w:webHidden/>
          </w:rPr>
          <w:t>………………………………………</w:t>
        </w:r>
        <w:r w:rsidR="005D6416">
          <w:rPr>
            <w:noProof/>
            <w:webHidden/>
          </w:rPr>
          <w:t>.</w:t>
        </w:r>
        <w:r w:rsidR="00DC1DF6">
          <w:rPr>
            <w:noProof/>
            <w:webHidden/>
          </w:rPr>
          <w:t>……………</w:t>
        </w:r>
        <w:r w:rsidR="00222900">
          <w:rPr>
            <w:noProof/>
            <w:webHidden/>
          </w:rPr>
          <w:t>.</w:t>
        </w:r>
        <w:r w:rsidR="00264BB5">
          <w:rPr>
            <w:noProof/>
            <w:webHidden/>
          </w:rPr>
          <w:fldChar w:fldCharType="begin"/>
        </w:r>
        <w:r w:rsidR="00264BB5">
          <w:rPr>
            <w:noProof/>
            <w:webHidden/>
          </w:rPr>
          <w:instrText xml:space="preserve"> PAGEREF _Toc129699008 \h </w:instrText>
        </w:r>
        <w:r w:rsidR="00264BB5">
          <w:rPr>
            <w:noProof/>
            <w:webHidden/>
          </w:rPr>
        </w:r>
        <w:r w:rsidR="00264BB5">
          <w:rPr>
            <w:noProof/>
            <w:webHidden/>
          </w:rPr>
          <w:fldChar w:fldCharType="separate"/>
        </w:r>
        <w:r w:rsidR="00370890">
          <w:rPr>
            <w:noProof/>
            <w:webHidden/>
          </w:rPr>
          <w:t>7</w:t>
        </w:r>
        <w:r w:rsidR="00264BB5">
          <w:rPr>
            <w:noProof/>
            <w:webHidden/>
          </w:rPr>
          <w:fldChar w:fldCharType="end"/>
        </w:r>
      </w:hyperlink>
    </w:p>
    <w:p w14:paraId="13D13F67" w14:textId="4269AD3A" w:rsidR="00264BB5" w:rsidRDefault="007A7A2C" w:rsidP="00DC1DF6">
      <w:pPr>
        <w:pStyle w:val="TOC3"/>
        <w:rPr>
          <w:rFonts w:eastAsiaTheme="minorEastAsia" w:cstheme="minorBidi"/>
          <w:noProof/>
          <w:sz w:val="22"/>
          <w:szCs w:val="22"/>
        </w:rPr>
      </w:pPr>
      <w:hyperlink w:anchor="_Toc129699009" w:history="1">
        <w:r w:rsidR="00264BB5" w:rsidRPr="00CC23EE">
          <w:rPr>
            <w:rStyle w:val="Hyperlink"/>
            <w:noProof/>
          </w:rPr>
          <w:t>Appendix A – New and Continued Findings and Recommendations</w:t>
        </w:r>
        <w:r w:rsidR="00DC1DF6">
          <w:rPr>
            <w:noProof/>
            <w:webHidden/>
          </w:rPr>
          <w:t>……………………………………</w:t>
        </w:r>
        <w:r w:rsidR="000F51C9">
          <w:rPr>
            <w:noProof/>
            <w:webHidden/>
          </w:rPr>
          <w:t>.</w:t>
        </w:r>
        <w:r w:rsidR="00DC1DF6">
          <w:rPr>
            <w:noProof/>
            <w:webHidden/>
          </w:rPr>
          <w:t>….</w:t>
        </w:r>
        <w:r w:rsidR="00264BB5">
          <w:rPr>
            <w:noProof/>
            <w:webHidden/>
          </w:rPr>
          <w:fldChar w:fldCharType="begin"/>
        </w:r>
        <w:r w:rsidR="00264BB5">
          <w:rPr>
            <w:noProof/>
            <w:webHidden/>
          </w:rPr>
          <w:instrText xml:space="preserve"> PAGEREF _Toc129699009 \h </w:instrText>
        </w:r>
        <w:r w:rsidR="00264BB5">
          <w:rPr>
            <w:noProof/>
            <w:webHidden/>
          </w:rPr>
        </w:r>
        <w:r w:rsidR="00264BB5">
          <w:rPr>
            <w:noProof/>
            <w:webHidden/>
          </w:rPr>
          <w:fldChar w:fldCharType="separate"/>
        </w:r>
        <w:r w:rsidR="00370890">
          <w:rPr>
            <w:noProof/>
            <w:webHidden/>
          </w:rPr>
          <w:t>10</w:t>
        </w:r>
        <w:r w:rsidR="00264BB5">
          <w:rPr>
            <w:noProof/>
            <w:webHidden/>
          </w:rPr>
          <w:fldChar w:fldCharType="end"/>
        </w:r>
      </w:hyperlink>
    </w:p>
    <w:p w14:paraId="5D7A1986" w14:textId="6CDD4CFB" w:rsidR="00264BB5" w:rsidRDefault="007A7A2C" w:rsidP="00DC1DF6">
      <w:pPr>
        <w:pStyle w:val="TOC3"/>
        <w:rPr>
          <w:rFonts w:eastAsiaTheme="minorEastAsia" w:cstheme="minorBidi"/>
          <w:noProof/>
          <w:sz w:val="22"/>
          <w:szCs w:val="22"/>
        </w:rPr>
      </w:pPr>
      <w:hyperlink w:anchor="_Toc129699010" w:history="1">
        <w:r w:rsidR="00264BB5" w:rsidRPr="00CC23EE">
          <w:rPr>
            <w:rStyle w:val="Hyperlink"/>
            <w:noProof/>
          </w:rPr>
          <w:t>Appendix B – Observations Subject to Continued Monitoring</w:t>
        </w:r>
        <w:r w:rsidR="00DC1DF6">
          <w:rPr>
            <w:noProof/>
            <w:webHidden/>
          </w:rPr>
          <w:t>…………………………………</w:t>
        </w:r>
        <w:r w:rsidR="000F51C9">
          <w:rPr>
            <w:noProof/>
            <w:webHidden/>
          </w:rPr>
          <w:t>…….</w:t>
        </w:r>
        <w:r w:rsidR="00DC1DF6">
          <w:rPr>
            <w:noProof/>
            <w:webHidden/>
          </w:rPr>
          <w:t>………..</w:t>
        </w:r>
        <w:r w:rsidR="00264BB5">
          <w:rPr>
            <w:noProof/>
            <w:webHidden/>
          </w:rPr>
          <w:fldChar w:fldCharType="begin"/>
        </w:r>
        <w:r w:rsidR="00264BB5">
          <w:rPr>
            <w:noProof/>
            <w:webHidden/>
          </w:rPr>
          <w:instrText xml:space="preserve"> PAGEREF _Toc129699010 \h </w:instrText>
        </w:r>
        <w:r w:rsidR="00264BB5">
          <w:rPr>
            <w:noProof/>
            <w:webHidden/>
          </w:rPr>
        </w:r>
        <w:r w:rsidR="00264BB5">
          <w:rPr>
            <w:noProof/>
            <w:webHidden/>
          </w:rPr>
          <w:fldChar w:fldCharType="separate"/>
        </w:r>
        <w:r w:rsidR="00370890">
          <w:rPr>
            <w:noProof/>
            <w:webHidden/>
          </w:rPr>
          <w:t>10</w:t>
        </w:r>
        <w:r w:rsidR="00264BB5">
          <w:rPr>
            <w:noProof/>
            <w:webHidden/>
          </w:rPr>
          <w:fldChar w:fldCharType="end"/>
        </w:r>
      </w:hyperlink>
    </w:p>
    <w:p w14:paraId="303211FB" w14:textId="2F3C375F" w:rsidR="00264BB5" w:rsidRDefault="007A7A2C" w:rsidP="00DC1DF6">
      <w:pPr>
        <w:pStyle w:val="TOC3"/>
        <w:rPr>
          <w:rFonts w:eastAsiaTheme="minorEastAsia" w:cstheme="minorBidi"/>
          <w:noProof/>
          <w:sz w:val="22"/>
          <w:szCs w:val="22"/>
        </w:rPr>
      </w:pPr>
      <w:hyperlink w:anchor="_Toc129699011" w:history="1">
        <w:r w:rsidR="00264BB5" w:rsidRPr="00CC23EE">
          <w:rPr>
            <w:rStyle w:val="Hyperlink"/>
            <w:noProof/>
          </w:rPr>
          <w:t>Appendix C - Status of FY 2021 Findings and Recommendations</w:t>
        </w:r>
        <w:r w:rsidR="00DC1DF6">
          <w:rPr>
            <w:noProof/>
            <w:webHidden/>
          </w:rPr>
          <w:t>…………………………………………….</w:t>
        </w:r>
        <w:r w:rsidR="00264BB5">
          <w:rPr>
            <w:noProof/>
            <w:webHidden/>
          </w:rPr>
          <w:fldChar w:fldCharType="begin"/>
        </w:r>
        <w:r w:rsidR="00264BB5">
          <w:rPr>
            <w:noProof/>
            <w:webHidden/>
          </w:rPr>
          <w:instrText xml:space="preserve"> PAGEREF _Toc129699011 \h </w:instrText>
        </w:r>
        <w:r w:rsidR="00264BB5">
          <w:rPr>
            <w:noProof/>
            <w:webHidden/>
          </w:rPr>
        </w:r>
        <w:r w:rsidR="00264BB5">
          <w:rPr>
            <w:noProof/>
            <w:webHidden/>
          </w:rPr>
          <w:fldChar w:fldCharType="separate"/>
        </w:r>
        <w:r w:rsidR="00370890">
          <w:rPr>
            <w:noProof/>
            <w:webHidden/>
          </w:rPr>
          <w:t>12</w:t>
        </w:r>
        <w:r w:rsidR="00264BB5">
          <w:rPr>
            <w:noProof/>
            <w:webHidden/>
          </w:rPr>
          <w:fldChar w:fldCharType="end"/>
        </w:r>
      </w:hyperlink>
    </w:p>
    <w:p w14:paraId="0BE89E08" w14:textId="47580819" w:rsidR="00264BB5" w:rsidRPr="00DC1DF6" w:rsidRDefault="007A7A2C" w:rsidP="00DC1DF6">
      <w:pPr>
        <w:pStyle w:val="TOC3"/>
        <w:rPr>
          <w:rFonts w:eastAsiaTheme="minorEastAsia" w:cstheme="minorBidi"/>
          <w:noProof/>
          <w:sz w:val="22"/>
          <w:szCs w:val="22"/>
        </w:rPr>
      </w:pPr>
      <w:hyperlink w:anchor="_Toc129699012" w:history="1">
        <w:r w:rsidR="00264BB5" w:rsidRPr="00B81E74">
          <w:rPr>
            <w:rStyle w:val="Hyperlink"/>
            <w:rFonts w:cs="Calibri"/>
            <w:noProof/>
          </w:rPr>
          <w:t>Appendix D – FY 2022 State Activity Mandated Measures (SAMM) Report</w:t>
        </w:r>
        <w:r w:rsidR="00DC1DF6" w:rsidRPr="00B81E74">
          <w:rPr>
            <w:rStyle w:val="Hyperlink"/>
            <w:rFonts w:cs="Calibri"/>
            <w:noProof/>
          </w:rPr>
          <w:t>…………………………</w:t>
        </w:r>
        <w:r w:rsidR="000F51C9">
          <w:rPr>
            <w:rStyle w:val="Hyperlink"/>
            <w:rFonts w:cs="Calibri"/>
            <w:noProof/>
          </w:rPr>
          <w:t>….</w:t>
        </w:r>
        <w:r w:rsidR="00264BB5" w:rsidRPr="00DC1DF6">
          <w:rPr>
            <w:noProof/>
            <w:webHidden/>
          </w:rPr>
          <w:fldChar w:fldCharType="begin"/>
        </w:r>
        <w:r w:rsidR="00264BB5" w:rsidRPr="00DC1DF6">
          <w:rPr>
            <w:noProof/>
            <w:webHidden/>
          </w:rPr>
          <w:instrText xml:space="preserve"> PAGEREF _Toc129699012 \h </w:instrText>
        </w:r>
        <w:r w:rsidR="00264BB5" w:rsidRPr="00DC1DF6">
          <w:rPr>
            <w:noProof/>
            <w:webHidden/>
          </w:rPr>
        </w:r>
        <w:r w:rsidR="00264BB5" w:rsidRPr="00DC1DF6">
          <w:rPr>
            <w:noProof/>
            <w:webHidden/>
          </w:rPr>
          <w:fldChar w:fldCharType="separate"/>
        </w:r>
        <w:r w:rsidR="00370890" w:rsidRPr="00DC1DF6">
          <w:rPr>
            <w:noProof/>
            <w:webHidden/>
          </w:rPr>
          <w:t>13</w:t>
        </w:r>
        <w:r w:rsidR="00264BB5" w:rsidRPr="00DC1DF6">
          <w:rPr>
            <w:noProof/>
            <w:webHidden/>
          </w:rPr>
          <w:fldChar w:fldCharType="end"/>
        </w:r>
      </w:hyperlink>
    </w:p>
    <w:p w14:paraId="2A952C03" w14:textId="76035632" w:rsidR="00B823A3" w:rsidRDefault="000F63C1" w:rsidP="000F63C1">
      <w:r>
        <w:fldChar w:fldCharType="end"/>
      </w:r>
      <w:bookmarkEnd w:id="2"/>
      <w:r w:rsidR="00B823A3">
        <w:br w:type="page"/>
      </w:r>
    </w:p>
    <w:p w14:paraId="5025DE29" w14:textId="77777777" w:rsidR="000A134A" w:rsidRPr="001C1E47" w:rsidRDefault="000A134A" w:rsidP="00783189">
      <w:pPr>
        <w:widowControl/>
        <w:autoSpaceDE/>
        <w:autoSpaceDN/>
        <w:adjustRightInd/>
        <w:ind w:left="360"/>
        <w:rPr>
          <w:rFonts w:cs="Calibri"/>
        </w:rPr>
      </w:pPr>
    </w:p>
    <w:p w14:paraId="57C8B837" w14:textId="77777777" w:rsidR="000A134A" w:rsidRPr="001C1E47" w:rsidRDefault="000A134A" w:rsidP="00476C08">
      <w:pPr>
        <w:pStyle w:val="Heading2"/>
      </w:pPr>
      <w:bookmarkStart w:id="3" w:name="_Toc338764303"/>
      <w:bookmarkStart w:id="4" w:name="_Toc118900170"/>
      <w:bookmarkStart w:id="5" w:name="_Toc118905009"/>
      <w:bookmarkStart w:id="6" w:name="_Toc129699003"/>
      <w:r w:rsidRPr="001C1E47">
        <w:t>Executive Summary</w:t>
      </w:r>
      <w:bookmarkEnd w:id="3"/>
      <w:bookmarkEnd w:id="4"/>
      <w:bookmarkEnd w:id="5"/>
      <w:bookmarkEnd w:id="6"/>
    </w:p>
    <w:p w14:paraId="4A4FF058" w14:textId="77777777" w:rsidR="000A134A" w:rsidRPr="001C1E47" w:rsidRDefault="000A134A" w:rsidP="00783189">
      <w:pPr>
        <w:widowControl/>
        <w:autoSpaceDE/>
        <w:autoSpaceDN/>
        <w:adjustRightInd/>
        <w:rPr>
          <w:rFonts w:cs="Calibri"/>
          <w:b/>
        </w:rPr>
      </w:pPr>
    </w:p>
    <w:p w14:paraId="38CE3021" w14:textId="3286A0A7" w:rsidR="00284BFA" w:rsidRDefault="00284BFA" w:rsidP="00284BFA">
      <w:r>
        <w:t>The primary purpose of this report is to assess the Iowa Occupational Safety and Health</w:t>
      </w:r>
      <w:r>
        <w:rPr>
          <w:spacing w:val="1"/>
        </w:rPr>
        <w:t xml:space="preserve"> </w:t>
      </w:r>
      <w:r>
        <w:t>Administration’s (IOSHA’s) activities for Fiscal Year</w:t>
      </w:r>
      <w:r w:rsidR="00ED7212">
        <w:t xml:space="preserve"> (FY)</w:t>
      </w:r>
      <w:r>
        <w:t xml:space="preserve"> 2022</w:t>
      </w:r>
      <w:r w:rsidR="004F1EB5">
        <w:t xml:space="preserve"> a</w:t>
      </w:r>
      <w:r>
        <w:t>nd its progress in resolving</w:t>
      </w:r>
      <w:r w:rsidR="00F57CE7">
        <w:t xml:space="preserve"> the </w:t>
      </w:r>
      <w:r w:rsidR="00CD7077">
        <w:t xml:space="preserve">one outstanding </w:t>
      </w:r>
      <w:r w:rsidR="0006665E">
        <w:t>f</w:t>
      </w:r>
      <w:r w:rsidR="00CD7077">
        <w:t>inding</w:t>
      </w:r>
      <w:r>
        <w:t xml:space="preserve"> and </w:t>
      </w:r>
      <w:r w:rsidR="00F57CE7">
        <w:t xml:space="preserve">five </w:t>
      </w:r>
      <w:r w:rsidR="0006665E">
        <w:t>o</w:t>
      </w:r>
      <w:r>
        <w:t>bservations from the previous FY 2021 Comprehensive Federal Annual Monitoring</w:t>
      </w:r>
      <w:r>
        <w:rPr>
          <w:spacing w:val="1"/>
        </w:rPr>
        <w:t xml:space="preserve"> </w:t>
      </w:r>
      <w:r>
        <w:t>Evaluation</w:t>
      </w:r>
      <w:r>
        <w:rPr>
          <w:spacing w:val="-1"/>
        </w:rPr>
        <w:t xml:space="preserve"> </w:t>
      </w:r>
      <w:r>
        <w:t>(FAME) Report.</w:t>
      </w:r>
    </w:p>
    <w:p w14:paraId="081D9DD8" w14:textId="77777777" w:rsidR="00A66045" w:rsidRDefault="00A66045" w:rsidP="00284BFA"/>
    <w:p w14:paraId="0F4175B4" w14:textId="319331FD" w:rsidR="00E10CE2" w:rsidRDefault="00F57CE7" w:rsidP="00284BFA">
      <w:r>
        <w:t>No</w:t>
      </w:r>
      <w:r w:rsidRPr="00284BFA">
        <w:t xml:space="preserve"> new </w:t>
      </w:r>
      <w:r w:rsidR="0006665E">
        <w:t>f</w:t>
      </w:r>
      <w:r w:rsidR="00CD7077">
        <w:t>inding</w:t>
      </w:r>
      <w:r w:rsidRPr="00284BFA">
        <w:t xml:space="preserve">s or </w:t>
      </w:r>
      <w:r w:rsidR="0006665E">
        <w:t>o</w:t>
      </w:r>
      <w:r w:rsidRPr="00284BFA">
        <w:t>bservations were identified</w:t>
      </w:r>
      <w:r>
        <w:t xml:space="preserve"> during this Follow-up FAME</w:t>
      </w:r>
      <w:r w:rsidRPr="00284BFA">
        <w:t>.</w:t>
      </w:r>
      <w:r>
        <w:t xml:space="preserve">  Additionally, </w:t>
      </w:r>
      <w:r w:rsidR="0006665E">
        <w:t xml:space="preserve">significant </w:t>
      </w:r>
      <w:r>
        <w:t xml:space="preserve">progress was documented for the </w:t>
      </w:r>
      <w:r w:rsidR="00284BFA">
        <w:t>one</w:t>
      </w:r>
      <w:r w:rsidR="00284BFA" w:rsidRPr="00284BFA">
        <w:t xml:space="preserve"> </w:t>
      </w:r>
      <w:r w:rsidR="0006665E">
        <w:t>f</w:t>
      </w:r>
      <w:r w:rsidR="00CD7077">
        <w:t>inding</w:t>
      </w:r>
      <w:r w:rsidR="00284BFA" w:rsidRPr="00284BFA">
        <w:t xml:space="preserve"> </w:t>
      </w:r>
      <w:r>
        <w:t xml:space="preserve">from </w:t>
      </w:r>
      <w:r w:rsidR="003561D0">
        <w:t>the FY</w:t>
      </w:r>
      <w:r w:rsidR="004137DE">
        <w:t xml:space="preserve"> </w:t>
      </w:r>
      <w:r w:rsidR="003561D0">
        <w:t>2021 Comprehensive FAME</w:t>
      </w:r>
      <w:r>
        <w:t xml:space="preserve">.   </w:t>
      </w:r>
      <w:r w:rsidR="0006665E">
        <w:t xml:space="preserve">Therefore, a </w:t>
      </w:r>
      <w:r>
        <w:t xml:space="preserve">determination was made to close out the </w:t>
      </w:r>
      <w:r w:rsidR="0006665E">
        <w:t>f</w:t>
      </w:r>
      <w:r w:rsidR="00CD7077">
        <w:t>inding</w:t>
      </w:r>
      <w:r>
        <w:t>.</w:t>
      </w:r>
      <w:r w:rsidR="003561D0">
        <w:t xml:space="preserve"> </w:t>
      </w:r>
      <w:r>
        <w:t xml:space="preserve">For the remaining </w:t>
      </w:r>
      <w:r w:rsidR="00CD7077">
        <w:t xml:space="preserve">five </w:t>
      </w:r>
      <w:r w:rsidR="0006665E">
        <w:t>o</w:t>
      </w:r>
      <w:r w:rsidR="00CD7077">
        <w:t>bservations, c</w:t>
      </w:r>
      <w:r w:rsidR="003561D0">
        <w:t>orrective action</w:t>
      </w:r>
      <w:r w:rsidR="0006665E">
        <w:t>s</w:t>
      </w:r>
      <w:r w:rsidR="00CD7077">
        <w:t xml:space="preserve"> w</w:t>
      </w:r>
      <w:r w:rsidR="0006665E">
        <w:t>ere</w:t>
      </w:r>
      <w:r w:rsidR="00CD7077">
        <w:t xml:space="preserve"> noted to be in progress.  </w:t>
      </w:r>
      <w:r w:rsidR="0006665E">
        <w:t>The f</w:t>
      </w:r>
      <w:r w:rsidR="00CD7077">
        <w:t xml:space="preserve">inal status of the five </w:t>
      </w:r>
      <w:r w:rsidR="0006665E">
        <w:t>o</w:t>
      </w:r>
      <w:r w:rsidR="00CD7077">
        <w:t xml:space="preserve">bservations will be </w:t>
      </w:r>
      <w:r w:rsidR="00DC1DF6">
        <w:t xml:space="preserve">verified </w:t>
      </w:r>
      <w:r w:rsidR="00CD7077">
        <w:t xml:space="preserve">during the </w:t>
      </w:r>
      <w:r w:rsidR="003561D0">
        <w:t xml:space="preserve">onsite </w:t>
      </w:r>
      <w:r w:rsidR="00DC1DF6">
        <w:t xml:space="preserve">case file review </w:t>
      </w:r>
      <w:r w:rsidR="003561D0">
        <w:t>scheduled as part of the FY</w:t>
      </w:r>
      <w:r w:rsidR="004137DE">
        <w:t xml:space="preserve"> </w:t>
      </w:r>
      <w:r w:rsidR="003561D0">
        <w:t>2023 Comprehensive FAME.</w:t>
      </w:r>
      <w:r w:rsidR="00284BFA" w:rsidRPr="00284BFA">
        <w:t xml:space="preserve">  </w:t>
      </w:r>
    </w:p>
    <w:p w14:paraId="036566A8" w14:textId="77777777" w:rsidR="003561D0" w:rsidRDefault="003561D0" w:rsidP="00284BFA">
      <w:pPr>
        <w:rPr>
          <w:highlight w:val="yellow"/>
        </w:rPr>
      </w:pPr>
    </w:p>
    <w:p w14:paraId="6DB6452C" w14:textId="76F17D91" w:rsidR="00284BFA" w:rsidRDefault="00ED18E7" w:rsidP="00284BFA">
      <w:r w:rsidRPr="00FB5140">
        <w:t xml:space="preserve">The </w:t>
      </w:r>
      <w:r w:rsidR="0006665E">
        <w:t>f</w:t>
      </w:r>
      <w:r w:rsidRPr="00FB5140">
        <w:t xml:space="preserve">inding from the FY 2021 Comprehensive FAME </w:t>
      </w:r>
      <w:r w:rsidR="00C66BAB" w:rsidRPr="00FB5140">
        <w:t>R</w:t>
      </w:r>
      <w:r w:rsidRPr="00FB5140">
        <w:t>eport, identified</w:t>
      </w:r>
      <w:r w:rsidR="00D46C6D" w:rsidRPr="00FB5140">
        <w:t xml:space="preserve"> the average number of working days to initiate non-formal complaint investigations </w:t>
      </w:r>
      <w:r w:rsidR="00DC1DF6">
        <w:t>as</w:t>
      </w:r>
      <w:r w:rsidR="00DC1DF6" w:rsidRPr="00FB5140">
        <w:t xml:space="preserve"> </w:t>
      </w:r>
      <w:r w:rsidR="00D46C6D" w:rsidRPr="00FB5140">
        <w:t xml:space="preserve">2.16 days, exceeding the further review level (FRL) of one day. </w:t>
      </w:r>
      <w:r w:rsidR="00284BFA" w:rsidRPr="00FB5140">
        <w:t>IOSHA</w:t>
      </w:r>
      <w:r w:rsidR="00E018F2" w:rsidRPr="00FB5140">
        <w:t xml:space="preserve"> </w:t>
      </w:r>
      <w:r w:rsidR="00B82191" w:rsidRPr="00FB5140">
        <w:t xml:space="preserve">has since </w:t>
      </w:r>
      <w:r w:rsidR="00E018F2" w:rsidRPr="00FB5140">
        <w:t>reduce</w:t>
      </w:r>
      <w:r w:rsidR="00D46C6D" w:rsidRPr="00FB5140">
        <w:t>d</w:t>
      </w:r>
      <w:r w:rsidR="00E018F2" w:rsidRPr="00FB5140">
        <w:t xml:space="preserve"> </w:t>
      </w:r>
      <w:bookmarkStart w:id="7" w:name="_Hlk129259563"/>
      <w:r w:rsidR="00E018F2" w:rsidRPr="00FB5140">
        <w:t>the average</w:t>
      </w:r>
      <w:r w:rsidR="00284BFA" w:rsidRPr="00FB5140">
        <w:t xml:space="preserve"> number of working days to </w:t>
      </w:r>
      <w:r w:rsidR="00D4342A" w:rsidRPr="00FB5140">
        <w:t>0.93</w:t>
      </w:r>
      <w:r w:rsidR="00DC33C0" w:rsidRPr="00FB5140">
        <w:t xml:space="preserve"> (below the FRL)</w:t>
      </w:r>
      <w:r w:rsidR="004F1EB5" w:rsidRPr="00FB5140">
        <w:t>,</w:t>
      </w:r>
      <w:r w:rsidR="00D4342A" w:rsidRPr="00FB5140">
        <w:t xml:space="preserve"> </w:t>
      </w:r>
      <w:r w:rsidR="00D46C6D" w:rsidRPr="00FB5140">
        <w:t xml:space="preserve">primarily through the action </w:t>
      </w:r>
      <w:bookmarkEnd w:id="7"/>
      <w:r w:rsidR="00D46C6D" w:rsidRPr="00FB5140">
        <w:t>of</w:t>
      </w:r>
      <w:r w:rsidR="00ED7212" w:rsidRPr="00FB5140">
        <w:t xml:space="preserve"> </w:t>
      </w:r>
      <w:r w:rsidR="0071399D" w:rsidRPr="00FB5140">
        <w:t xml:space="preserve">assigning </w:t>
      </w:r>
      <w:r w:rsidR="00284BFA" w:rsidRPr="00FB5140">
        <w:t>an additional duty officer</w:t>
      </w:r>
      <w:r w:rsidR="00ED7212" w:rsidRPr="00FB5140">
        <w:t>.</w:t>
      </w:r>
      <w:r w:rsidR="00284BFA" w:rsidRPr="00FB5140">
        <w:t xml:space="preserve"> </w:t>
      </w:r>
      <w:r w:rsidR="00D46C6D" w:rsidRPr="00FB5140">
        <w:t xml:space="preserve"> The</w:t>
      </w:r>
      <w:r w:rsidR="00284BFA" w:rsidRPr="00FB5140">
        <w:t xml:space="preserve"> </w:t>
      </w:r>
      <w:r w:rsidR="0006665E">
        <w:t>o</w:t>
      </w:r>
      <w:r w:rsidR="0071399D" w:rsidRPr="00FB5140">
        <w:t>bservations from the FY</w:t>
      </w:r>
      <w:r w:rsidR="004137DE" w:rsidRPr="00FB5140">
        <w:t xml:space="preserve"> </w:t>
      </w:r>
      <w:r w:rsidR="0071399D" w:rsidRPr="00FB5140">
        <w:t xml:space="preserve">2021 Comprehensive FAME </w:t>
      </w:r>
      <w:r w:rsidR="00C66BAB" w:rsidRPr="00FB5140">
        <w:t>R</w:t>
      </w:r>
      <w:r w:rsidR="0071399D" w:rsidRPr="00FB5140">
        <w:t xml:space="preserve">eport </w:t>
      </w:r>
      <w:r w:rsidR="002E6B6C" w:rsidRPr="00FB5140">
        <w:t>concern</w:t>
      </w:r>
      <w:r w:rsidR="004F1EB5" w:rsidRPr="00FB5140">
        <w:t xml:space="preserve">ed </w:t>
      </w:r>
      <w:r w:rsidR="0006665E">
        <w:t>v</w:t>
      </w:r>
      <w:r w:rsidR="00284BFA" w:rsidRPr="00FB5140">
        <w:t xml:space="preserve">iolation </w:t>
      </w:r>
      <w:r w:rsidR="0006665E">
        <w:t>w</w:t>
      </w:r>
      <w:r w:rsidR="00284BFA" w:rsidRPr="00FB5140">
        <w:t xml:space="preserve">orksheets not containing </w:t>
      </w:r>
      <w:r w:rsidR="00D46C6D" w:rsidRPr="00FB5140">
        <w:t xml:space="preserve">adequate </w:t>
      </w:r>
      <w:r w:rsidR="00284BFA" w:rsidRPr="00FB5140">
        <w:t xml:space="preserve">information </w:t>
      </w:r>
      <w:r w:rsidR="00D46C6D" w:rsidRPr="00FB5140">
        <w:t xml:space="preserve">to </w:t>
      </w:r>
      <w:r w:rsidR="00284BFA" w:rsidRPr="00FB5140">
        <w:t xml:space="preserve">establish </w:t>
      </w:r>
      <w:r w:rsidR="00D46C6D" w:rsidRPr="00FB5140">
        <w:t xml:space="preserve">employer </w:t>
      </w:r>
      <w:r w:rsidR="00284BFA" w:rsidRPr="00FB5140">
        <w:t>knowledge</w:t>
      </w:r>
      <w:r w:rsidR="00D46C6D" w:rsidRPr="00FB5140">
        <w:t xml:space="preserve">, </w:t>
      </w:r>
      <w:r w:rsidR="00C66BAB" w:rsidRPr="00FB5140">
        <w:t>a</w:t>
      </w:r>
      <w:r w:rsidR="00E106A5" w:rsidRPr="00FB5140">
        <w:t xml:space="preserve">nd inadequate </w:t>
      </w:r>
      <w:r w:rsidR="00284BFA" w:rsidRPr="00FB5140">
        <w:t>severity and probability justifications</w:t>
      </w:r>
      <w:r w:rsidR="00D46C6D" w:rsidRPr="00FB5140">
        <w:t xml:space="preserve"> of cited hazardous conditions</w:t>
      </w:r>
      <w:r w:rsidR="00917C61" w:rsidRPr="00FB5140">
        <w:t xml:space="preserve">. </w:t>
      </w:r>
      <w:r w:rsidR="00F44FCF" w:rsidRPr="00FB5140">
        <w:t>O</w:t>
      </w:r>
      <w:r w:rsidR="00917C61" w:rsidRPr="00FB5140">
        <w:t xml:space="preserve">ther </w:t>
      </w:r>
      <w:r w:rsidR="0006665E">
        <w:t>o</w:t>
      </w:r>
      <w:r w:rsidR="00917C61" w:rsidRPr="00FB5140">
        <w:t>bservation</w:t>
      </w:r>
      <w:r w:rsidR="00F44FCF" w:rsidRPr="00FB5140">
        <w:t>s</w:t>
      </w:r>
      <w:r w:rsidR="00917C61" w:rsidRPr="00FB5140">
        <w:t xml:space="preserve"> concern</w:t>
      </w:r>
      <w:r w:rsidR="00F44FCF" w:rsidRPr="00FB5140">
        <w:t>ed Voluntary Protection Program (</w:t>
      </w:r>
      <w:r w:rsidR="00917C61" w:rsidRPr="00FB5140">
        <w:t>VPP</w:t>
      </w:r>
      <w:r w:rsidR="00F44FCF" w:rsidRPr="00FB5140">
        <w:t>) file</w:t>
      </w:r>
      <w:r w:rsidR="00B82191" w:rsidRPr="00FB5140">
        <w:t xml:space="preserve"> documentation,</w:t>
      </w:r>
      <w:r w:rsidR="00F44FCF" w:rsidRPr="00FB5140">
        <w:t xml:space="preserve"> to</w:t>
      </w:r>
      <w:r w:rsidR="00917C61" w:rsidRPr="00FB5140">
        <w:t xml:space="preserve"> includ</w:t>
      </w:r>
      <w:r w:rsidR="00F44FCF" w:rsidRPr="00FB5140">
        <w:t xml:space="preserve">e absent </w:t>
      </w:r>
      <w:r w:rsidR="0006665E">
        <w:t>e</w:t>
      </w:r>
      <w:r w:rsidR="00F44FCF" w:rsidRPr="00FB5140">
        <w:t xml:space="preserve">mployer </w:t>
      </w:r>
      <w:r w:rsidR="0006665E">
        <w:t>a</w:t>
      </w:r>
      <w:r w:rsidR="00F44FCF" w:rsidRPr="00FB5140">
        <w:t>nnual</w:t>
      </w:r>
      <w:r w:rsidR="00917C61" w:rsidRPr="00FB5140">
        <w:t xml:space="preserve"> </w:t>
      </w:r>
      <w:r w:rsidR="0006665E">
        <w:t>s</w:t>
      </w:r>
      <w:r w:rsidR="00917C61" w:rsidRPr="00FB5140">
        <w:t xml:space="preserve">elf-evaluation </w:t>
      </w:r>
      <w:r w:rsidR="0006665E">
        <w:t>r</w:t>
      </w:r>
      <w:r w:rsidR="00917C61" w:rsidRPr="00FB5140">
        <w:t xml:space="preserve">eports </w:t>
      </w:r>
      <w:r w:rsidR="006F1840" w:rsidRPr="00FB5140">
        <w:t xml:space="preserve">and </w:t>
      </w:r>
      <w:r w:rsidR="00B82191" w:rsidRPr="00FB5140">
        <w:t xml:space="preserve">absent abatement completion for VPP </w:t>
      </w:r>
      <w:r w:rsidR="0006665E">
        <w:t>a</w:t>
      </w:r>
      <w:r w:rsidR="00B82191" w:rsidRPr="00FB5140">
        <w:t xml:space="preserve">udit </w:t>
      </w:r>
      <w:r w:rsidR="0006665E">
        <w:t>f</w:t>
      </w:r>
      <w:r w:rsidR="00B82191" w:rsidRPr="00FB5140">
        <w:t>indings.</w:t>
      </w:r>
      <w:r w:rsidR="00917C61" w:rsidRPr="00FB5140">
        <w:t xml:space="preserve"> </w:t>
      </w:r>
      <w:bookmarkStart w:id="8" w:name="_Hlk129553111"/>
      <w:r w:rsidR="00917C61" w:rsidRPr="00FB5140">
        <w:t>These observations were</w:t>
      </w:r>
      <w:r w:rsidR="00284BFA" w:rsidRPr="00FB5140">
        <w:t xml:space="preserve"> </w:t>
      </w:r>
      <w:r w:rsidR="006F1840" w:rsidRPr="00FB5140">
        <w:t xml:space="preserve">immediately </w:t>
      </w:r>
      <w:r w:rsidR="00284BFA" w:rsidRPr="00FB5140">
        <w:t xml:space="preserve">addressed </w:t>
      </w:r>
      <w:r w:rsidR="006F1840" w:rsidRPr="00FB5140">
        <w:t>by IOSHA by p</w:t>
      </w:r>
      <w:r w:rsidR="00284BFA" w:rsidRPr="00FB5140">
        <w:t>roviding training, additional supervisor oversight, and mentorship</w:t>
      </w:r>
      <w:r w:rsidR="006F1840" w:rsidRPr="00FB5140">
        <w:t>.</w:t>
      </w:r>
      <w:bookmarkEnd w:id="8"/>
      <w:r w:rsidR="006F1840" w:rsidRPr="00FB5140">
        <w:t xml:space="preserve">  The </w:t>
      </w:r>
      <w:r w:rsidR="0006665E">
        <w:t>o</w:t>
      </w:r>
      <w:r w:rsidR="006F1840" w:rsidRPr="00FB5140">
        <w:t xml:space="preserve">bservations will </w:t>
      </w:r>
      <w:r w:rsidR="00E10CE2" w:rsidRPr="00FB5140">
        <w:t xml:space="preserve">be </w:t>
      </w:r>
      <w:r w:rsidR="006F1840" w:rsidRPr="00FB5140">
        <w:t xml:space="preserve">a </w:t>
      </w:r>
      <w:r w:rsidR="00E10CE2" w:rsidRPr="00FB5140">
        <w:t>focus of the FY 2023 Comprehensive FAME.</w:t>
      </w:r>
    </w:p>
    <w:p w14:paraId="45B3B6EA" w14:textId="438429F1" w:rsidR="00A66045" w:rsidRDefault="00A66045" w:rsidP="00284BFA"/>
    <w:p w14:paraId="20D6DBFF" w14:textId="57005E2D" w:rsidR="00AB7C36" w:rsidRPr="00A66045" w:rsidRDefault="00AB7C36" w:rsidP="00B81E74">
      <w:r w:rsidRPr="00A66045">
        <w:t>Throughout FY</w:t>
      </w:r>
      <w:r>
        <w:t xml:space="preserve"> 2022</w:t>
      </w:r>
      <w:r w:rsidRPr="00A66045">
        <w:t>, IOSHA</w:t>
      </w:r>
      <w:r w:rsidR="00BE5A69">
        <w:t xml:space="preserve"> </w:t>
      </w:r>
      <w:r w:rsidRPr="00A66045">
        <w:t xml:space="preserve">maintained </w:t>
      </w:r>
      <w:r w:rsidR="0006665E">
        <w:t>p</w:t>
      </w:r>
      <w:r w:rsidRPr="00A66045">
        <w:t xml:space="preserve">artnerships with ten construction companies and </w:t>
      </w:r>
      <w:r w:rsidR="0006665E">
        <w:t>a</w:t>
      </w:r>
      <w:r w:rsidRPr="00A66045">
        <w:t>lliances with four local associations. IOSHA also participates in a regional and national alliance. The state also maintains 38 companies in VPP Star</w:t>
      </w:r>
      <w:r w:rsidRPr="00A66045">
        <w:rPr>
          <w:spacing w:val="1"/>
        </w:rPr>
        <w:t xml:space="preserve"> </w:t>
      </w:r>
      <w:r w:rsidRPr="00A66045">
        <w:t>status.</w:t>
      </w:r>
    </w:p>
    <w:p w14:paraId="0169BA41" w14:textId="77777777" w:rsidR="00AB7C36" w:rsidRDefault="00AB7C36" w:rsidP="00A66045">
      <w:pPr>
        <w:widowControl/>
        <w:autoSpaceDE/>
        <w:autoSpaceDN/>
        <w:adjustRightInd/>
        <w:rPr>
          <w:rFonts w:cs="Calibri"/>
          <w:iCs/>
        </w:rPr>
      </w:pPr>
    </w:p>
    <w:p w14:paraId="69A4BC03" w14:textId="207E30C5" w:rsidR="00A66045" w:rsidRPr="00A66045" w:rsidRDefault="00A66045" w:rsidP="00A66045">
      <w:pPr>
        <w:widowControl/>
        <w:autoSpaceDE/>
        <w:autoSpaceDN/>
        <w:adjustRightInd/>
        <w:rPr>
          <w:rFonts w:cs="Calibri"/>
          <w:iCs/>
        </w:rPr>
      </w:pPr>
      <w:r w:rsidRPr="00A66045">
        <w:rPr>
          <w:rFonts w:cs="Calibri"/>
          <w:iCs/>
        </w:rPr>
        <w:t xml:space="preserve">IOSHA </w:t>
      </w:r>
      <w:r w:rsidR="00AB7C36">
        <w:rPr>
          <w:rFonts w:cs="Calibri"/>
          <w:iCs/>
        </w:rPr>
        <w:t xml:space="preserve">completed a process improvement that positively impacted </w:t>
      </w:r>
      <w:r w:rsidR="00CF7D94">
        <w:rPr>
          <w:rFonts w:cs="Calibri"/>
          <w:iCs/>
        </w:rPr>
        <w:t xml:space="preserve">its </w:t>
      </w:r>
      <w:r w:rsidR="00AB7C36">
        <w:rPr>
          <w:rFonts w:cs="Calibri"/>
          <w:iCs/>
        </w:rPr>
        <w:t xml:space="preserve"> performance. </w:t>
      </w:r>
      <w:r w:rsidR="00DC1DF6">
        <w:rPr>
          <w:rFonts w:cs="Calibri"/>
          <w:iCs/>
        </w:rPr>
        <w:t xml:space="preserve">Historically, </w:t>
      </w:r>
      <w:r w:rsidR="00CF7D94">
        <w:rPr>
          <w:rFonts w:cs="Calibri"/>
          <w:iCs/>
        </w:rPr>
        <w:t xml:space="preserve">it </w:t>
      </w:r>
      <w:r w:rsidR="00DC1DF6">
        <w:rPr>
          <w:rFonts w:cs="Calibri"/>
          <w:iCs/>
        </w:rPr>
        <w:t xml:space="preserve"> had relied upon a</w:t>
      </w:r>
      <w:r w:rsidRPr="00A66045">
        <w:rPr>
          <w:rFonts w:cs="Calibri"/>
          <w:iCs/>
        </w:rPr>
        <w:t xml:space="preserve"> card file system consisting of paper card files of every company in Iowa that had an OSHA inspection or complaint filed against the company.  There were thousands of paper card files that had to be pulled and information added to document an inspection or complaint. IOSHA contracted with a company to electronically scan all the card files and store them in a database that </w:t>
      </w:r>
      <w:r w:rsidR="00DC1DF6">
        <w:rPr>
          <w:rFonts w:cs="Calibri"/>
          <w:iCs/>
        </w:rPr>
        <w:t>compliance safety and health officers (</w:t>
      </w:r>
      <w:r w:rsidRPr="00A66045">
        <w:rPr>
          <w:rFonts w:cs="Calibri"/>
          <w:iCs/>
        </w:rPr>
        <w:t>CSHOs</w:t>
      </w:r>
      <w:r w:rsidR="00DC1DF6">
        <w:rPr>
          <w:rFonts w:cs="Calibri"/>
          <w:iCs/>
        </w:rPr>
        <w:t>)</w:t>
      </w:r>
      <w:r w:rsidRPr="00A66045">
        <w:rPr>
          <w:rFonts w:cs="Calibri"/>
          <w:iCs/>
        </w:rPr>
        <w:t xml:space="preserve"> can access from their computers and make entries.</w:t>
      </w:r>
    </w:p>
    <w:p w14:paraId="3CF6048E" w14:textId="77777777" w:rsidR="00A66045" w:rsidRPr="00A66045" w:rsidRDefault="00A66045" w:rsidP="00A66045">
      <w:pPr>
        <w:widowControl/>
        <w:autoSpaceDE/>
        <w:autoSpaceDN/>
        <w:adjustRightInd/>
        <w:rPr>
          <w:rFonts w:cs="Calibri"/>
          <w:iCs/>
        </w:rPr>
      </w:pPr>
    </w:p>
    <w:p w14:paraId="451990C8" w14:textId="2EC3021B" w:rsidR="00A66045" w:rsidRDefault="00A66045" w:rsidP="00A66045">
      <w:pPr>
        <w:widowControl/>
        <w:autoSpaceDE/>
        <w:autoSpaceDN/>
        <w:adjustRightInd/>
        <w:rPr>
          <w:rFonts w:cs="Calibri"/>
          <w:iCs/>
        </w:rPr>
      </w:pPr>
      <w:r w:rsidRPr="00A66045">
        <w:rPr>
          <w:rFonts w:cs="Calibri"/>
          <w:iCs/>
        </w:rPr>
        <w:t xml:space="preserve">Compliance Assistance and Education worked together to provide outreach materials, such as the OSHA Quick Cards, publications and other forms or handouts during compliance assistance activities. These activities include promotions, interventions, presentations and providing staff at booths during conferences. A new incentive was to reach workers in animal production companies in Iowa and outreach materials and compliance assistance was provided to this group. </w:t>
      </w:r>
      <w:r w:rsidRPr="00A66045">
        <w:rPr>
          <w:rFonts w:cs="Calibri"/>
          <w:iCs/>
        </w:rPr>
        <w:lastRenderedPageBreak/>
        <w:t>The compliance assistance staff continues to work with several specific high hazard industries including farm warehouse and storage, highway bridge and street construction, farm product raw wholesalers, and masonry contractors. Compliance Assistance and Education continues to follow enforcement initiatives including asbestos, amputations, grain safety, falls in construction and general industry along with all federal initiatives.</w:t>
      </w:r>
    </w:p>
    <w:p w14:paraId="0A34898C" w14:textId="1C8D86A2" w:rsidR="00530162" w:rsidRDefault="00530162" w:rsidP="00A66045">
      <w:pPr>
        <w:widowControl/>
        <w:autoSpaceDE/>
        <w:autoSpaceDN/>
        <w:adjustRightInd/>
        <w:rPr>
          <w:rFonts w:cs="Calibri"/>
          <w:iCs/>
        </w:rPr>
      </w:pPr>
    </w:p>
    <w:p w14:paraId="7C72AA9C" w14:textId="3B47B231" w:rsidR="00530162" w:rsidRPr="008E3ABC" w:rsidRDefault="00530162" w:rsidP="00A66045">
      <w:pPr>
        <w:widowControl/>
        <w:autoSpaceDE/>
        <w:autoSpaceDN/>
        <w:adjustRightInd/>
        <w:rPr>
          <w:rFonts w:cs="Calibri"/>
          <w:iCs/>
        </w:rPr>
      </w:pPr>
      <w:r w:rsidRPr="00AB7C36">
        <w:rPr>
          <w:rFonts w:cs="Calibri"/>
          <w:iCs/>
        </w:rPr>
        <w:t xml:space="preserve">There were no CASPAs filed </w:t>
      </w:r>
      <w:r w:rsidR="00645001" w:rsidRPr="00AB7C36">
        <w:rPr>
          <w:rFonts w:cs="Calibri"/>
          <w:iCs/>
        </w:rPr>
        <w:t>during FY</w:t>
      </w:r>
      <w:r w:rsidR="00361746" w:rsidRPr="00AB7C36">
        <w:rPr>
          <w:rFonts w:cs="Calibri"/>
          <w:iCs/>
        </w:rPr>
        <w:t xml:space="preserve"> </w:t>
      </w:r>
      <w:r w:rsidR="00645001" w:rsidRPr="00AB7C36">
        <w:rPr>
          <w:rFonts w:cs="Calibri"/>
          <w:iCs/>
        </w:rPr>
        <w:t xml:space="preserve">2022 </w:t>
      </w:r>
      <w:r w:rsidRPr="00AB7C36">
        <w:rPr>
          <w:rFonts w:cs="Calibri"/>
          <w:iCs/>
        </w:rPr>
        <w:t xml:space="preserve">and IOSHA continues to maintain a high level of program performance and is responsive to </w:t>
      </w:r>
      <w:r w:rsidR="00361746" w:rsidRPr="00AB7C36">
        <w:rPr>
          <w:rFonts w:cs="Calibri"/>
          <w:iCs/>
        </w:rPr>
        <w:t xml:space="preserve">OSHA </w:t>
      </w:r>
      <w:r w:rsidR="00645001" w:rsidRPr="00AB7C36">
        <w:rPr>
          <w:rFonts w:cs="Calibri"/>
          <w:iCs/>
        </w:rPr>
        <w:t>requests</w:t>
      </w:r>
      <w:r w:rsidR="005A624E">
        <w:rPr>
          <w:rFonts w:cs="Calibri"/>
          <w:iCs/>
        </w:rPr>
        <w:t xml:space="preserve"> in</w:t>
      </w:r>
      <w:r w:rsidR="00645001" w:rsidRPr="00AB7C36">
        <w:rPr>
          <w:rFonts w:cs="Calibri"/>
          <w:iCs/>
        </w:rPr>
        <w:t xml:space="preserve"> </w:t>
      </w:r>
      <w:r w:rsidRPr="00AB7C36">
        <w:rPr>
          <w:rFonts w:cs="Calibri"/>
          <w:iCs/>
        </w:rPr>
        <w:t>identify</w:t>
      </w:r>
      <w:r w:rsidR="005A624E">
        <w:rPr>
          <w:rFonts w:cs="Calibri"/>
          <w:iCs/>
        </w:rPr>
        <w:t>ing</w:t>
      </w:r>
      <w:r w:rsidRPr="00AB7C36">
        <w:rPr>
          <w:rFonts w:cs="Calibri"/>
          <w:iCs/>
        </w:rPr>
        <w:t xml:space="preserve"> findings and recommendations. Quarterly</w:t>
      </w:r>
      <w:r w:rsidR="005A624E">
        <w:rPr>
          <w:rFonts w:cs="Calibri"/>
          <w:iCs/>
        </w:rPr>
        <w:t>,</w:t>
      </w:r>
      <w:r w:rsidRPr="00AB7C36">
        <w:rPr>
          <w:rFonts w:cs="Calibri"/>
          <w:iCs/>
        </w:rPr>
        <w:t xml:space="preserve"> the </w:t>
      </w:r>
      <w:r w:rsidR="00CF7D94">
        <w:rPr>
          <w:rFonts w:cs="Calibri"/>
          <w:iCs/>
        </w:rPr>
        <w:t>State Plan</w:t>
      </w:r>
      <w:r w:rsidRPr="00AB7C36">
        <w:rPr>
          <w:rFonts w:cs="Calibri"/>
          <w:iCs/>
        </w:rPr>
        <w:t xml:space="preserve">tate does a self-audit </w:t>
      </w:r>
      <w:r w:rsidR="00645001" w:rsidRPr="00AB7C36">
        <w:rPr>
          <w:rFonts w:cs="Calibri"/>
          <w:iCs/>
        </w:rPr>
        <w:t xml:space="preserve">to </w:t>
      </w:r>
      <w:r w:rsidRPr="00AB7C36">
        <w:rPr>
          <w:rFonts w:cs="Calibri"/>
          <w:iCs/>
        </w:rPr>
        <w:t>continue to improve the program.</w:t>
      </w:r>
    </w:p>
    <w:p w14:paraId="574CE443" w14:textId="77777777" w:rsidR="00A66045" w:rsidRDefault="00A66045" w:rsidP="00284BFA"/>
    <w:p w14:paraId="67E95E6F" w14:textId="5FFEE899" w:rsidR="000A134A" w:rsidRDefault="001E71BA" w:rsidP="00476C08">
      <w:pPr>
        <w:pStyle w:val="Heading2"/>
      </w:pPr>
      <w:bookmarkStart w:id="9" w:name="_Toc118900171"/>
      <w:bookmarkStart w:id="10" w:name="_Toc118905010"/>
      <w:bookmarkStart w:id="11" w:name="_Toc129699004"/>
      <w:r w:rsidRPr="001C1E47">
        <w:t>State Plan Background</w:t>
      </w:r>
      <w:bookmarkEnd w:id="9"/>
      <w:bookmarkEnd w:id="10"/>
      <w:bookmarkEnd w:id="11"/>
    </w:p>
    <w:p w14:paraId="512E248D" w14:textId="723D0F6F" w:rsidR="00D24DC3" w:rsidRDefault="00D24DC3" w:rsidP="00D24DC3"/>
    <w:p w14:paraId="3D175F4F" w14:textId="488BE6A7" w:rsidR="00C66BAB" w:rsidRDefault="00D24DC3" w:rsidP="00C66BAB">
      <w:r w:rsidRPr="00D24DC3">
        <w:t xml:space="preserve">The Iowa State Plan, referred to as the Iowa Occupational Safety and Health Administration (IOSHA), is part of the Iowa Workforce Development, Labor Services Division.  </w:t>
      </w:r>
      <w:r w:rsidRPr="00C66BAB">
        <w:t>The Labor Services Division is administered by the Commissioner of Labor, and the IOSHA program is administered by the IOSHA Administrator</w:t>
      </w:r>
      <w:r w:rsidR="00C66BAB" w:rsidRPr="00C66BAB">
        <w:t xml:space="preserve">.  Currently, the Commissioner of Labor position is vacant.  Mr. Rod Roberts left this post in late January 2023.  Mr. </w:t>
      </w:r>
      <w:r w:rsidRPr="00C66BAB">
        <w:t>Russel Perry</w:t>
      </w:r>
      <w:r w:rsidR="00C66BAB" w:rsidRPr="00C66BAB">
        <w:t xml:space="preserve"> is the IOSHA Administrator. Under Mr. Perry’s supervision is enforcement, public sector consultation, training and education, whistleblower/discrimination, compliance assistance, statistical, administrative support, legal </w:t>
      </w:r>
      <w:r w:rsidR="00EA4654" w:rsidRPr="00C66BAB">
        <w:t>staff,</w:t>
      </w:r>
      <w:r w:rsidR="00C66BAB" w:rsidRPr="00C66BAB">
        <w:t xml:space="preserve"> and respective management. IOSHA’s enforcement personnel benchmark is 16 safety compliance officers and 13 health compliance officers.  By the end of the FY 2022, IOSHA had a total of 2</w:t>
      </w:r>
      <w:r w:rsidR="00361746">
        <w:t>5</w:t>
      </w:r>
      <w:r w:rsidR="00C66BAB" w:rsidRPr="00C66BAB">
        <w:t xml:space="preserve"> compliance officers, 13 safety and 12 health. Because of staff turnover, seven of the 13 safety compliance officers have less than one year experience. Two </w:t>
      </w:r>
      <w:r w:rsidR="009F7A9D">
        <w:t>p</w:t>
      </w:r>
      <w:r w:rsidR="00C66BAB" w:rsidRPr="00C66BAB">
        <w:t xml:space="preserve">ublic </w:t>
      </w:r>
      <w:r w:rsidR="009F7A9D">
        <w:t>s</w:t>
      </w:r>
      <w:r w:rsidR="00C66BAB" w:rsidRPr="00C66BAB">
        <w:t xml:space="preserve">ervice </w:t>
      </w:r>
      <w:r w:rsidR="009F7A9D">
        <w:t>m</w:t>
      </w:r>
      <w:r w:rsidR="00C66BAB" w:rsidRPr="00C66BAB">
        <w:t>anager positions are responsible for the daily supervision of the enforcement field staff.  A full</w:t>
      </w:r>
      <w:r w:rsidR="00DC1DF6">
        <w:t>-</w:t>
      </w:r>
      <w:r w:rsidR="00C66BAB" w:rsidRPr="00C66BAB">
        <w:t xml:space="preserve">time </w:t>
      </w:r>
      <w:r w:rsidR="009F7A9D">
        <w:t>c</w:t>
      </w:r>
      <w:r w:rsidR="00C66BAB" w:rsidRPr="00C66BAB">
        <w:t xml:space="preserve">ompliance </w:t>
      </w:r>
      <w:r w:rsidR="009F7A9D">
        <w:t>a</w:t>
      </w:r>
      <w:r w:rsidR="00C66BAB" w:rsidRPr="00C66BAB">
        <w:t xml:space="preserve">ssistance </w:t>
      </w:r>
      <w:r w:rsidR="009F7A9D">
        <w:t>s</w:t>
      </w:r>
      <w:r w:rsidR="00C66BAB" w:rsidRPr="00C66BAB">
        <w:t xml:space="preserve">pecialist, along with four (4) consultants, </w:t>
      </w:r>
      <w:r w:rsidR="00804734" w:rsidRPr="00C66BAB">
        <w:t>compr</w:t>
      </w:r>
      <w:r w:rsidR="00804734">
        <w:t xml:space="preserve">ise </w:t>
      </w:r>
      <w:r w:rsidR="00804734" w:rsidRPr="00C66BAB">
        <w:t>the</w:t>
      </w:r>
      <w:r w:rsidR="00C66BAB" w:rsidRPr="00C66BAB">
        <w:t xml:space="preserve"> Cooperative Programs section, which </w:t>
      </w:r>
      <w:r w:rsidR="00804734" w:rsidRPr="00C66BAB">
        <w:t>includes VPP</w:t>
      </w:r>
      <w:r w:rsidR="00C66BAB" w:rsidRPr="00C66BAB">
        <w:t>. IOSHA also has a full time Whistleblower Investigator</w:t>
      </w:r>
      <w:r w:rsidR="00C66BAB">
        <w:t>.</w:t>
      </w:r>
    </w:p>
    <w:p w14:paraId="740BEF42" w14:textId="77777777" w:rsidR="009F7A9D" w:rsidRPr="00C66BAB" w:rsidRDefault="009F7A9D" w:rsidP="00C66BAB"/>
    <w:p w14:paraId="0AC65CC7" w14:textId="735EB191" w:rsidR="00C66BAB" w:rsidRPr="00C66BAB" w:rsidRDefault="00C66BAB" w:rsidP="00C66BAB">
      <w:r w:rsidRPr="00C66BAB">
        <w:t xml:space="preserve">Iowa OSHA Consultation and Education for </w:t>
      </w:r>
      <w:r w:rsidR="009F7A9D">
        <w:t xml:space="preserve">the state and local government </w:t>
      </w:r>
      <w:r w:rsidR="00804734">
        <w:t xml:space="preserve">sector </w:t>
      </w:r>
      <w:r w:rsidR="00804734" w:rsidRPr="00C66BAB">
        <w:t>are</w:t>
      </w:r>
      <w:r w:rsidRPr="00C66BAB">
        <w:t xml:space="preserve"> supported by two consultants supervised by Ms. Peggy Peterson, OSHA 21(d) Consultation Program Manager. IOSHA’s Consultation and Education program </w:t>
      </w:r>
      <w:r w:rsidR="00EA4654">
        <w:t xml:space="preserve">and </w:t>
      </w:r>
      <w:r w:rsidR="009F7A9D">
        <w:t>c</w:t>
      </w:r>
      <w:r w:rsidRPr="00C66BAB">
        <w:t xml:space="preserve">ooperative </w:t>
      </w:r>
      <w:r w:rsidR="00E07B73">
        <w:t>p</w:t>
      </w:r>
      <w:r w:rsidRPr="00C66BAB">
        <w:t>rograms complement the enforcement effort to reduce exposure to occupational hazards and attempt to reduce fatalities.</w:t>
      </w:r>
      <w:r w:rsidR="00BD5F10">
        <w:t xml:space="preserve"> </w:t>
      </w:r>
    </w:p>
    <w:p w14:paraId="2B5666C8" w14:textId="76E1FA75" w:rsidR="00C66BAB" w:rsidRPr="00C66BAB" w:rsidRDefault="00C66BAB" w:rsidP="00D24DC3"/>
    <w:p w14:paraId="1B73D5B7" w14:textId="0B7E63C6" w:rsidR="00DE1BFD" w:rsidRDefault="00D24DC3" w:rsidP="00D24DC3">
      <w:r w:rsidRPr="00EA4654">
        <w:t xml:space="preserve">IOSHA adopted most OSHA standards as promulgated, and its enforcement program functions are very similar to OSHA’s program with no significant differences.  </w:t>
      </w:r>
      <w:bookmarkStart w:id="12" w:name="_Hlk127954452"/>
      <w:bookmarkStart w:id="13" w:name="_Hlk127954160"/>
      <w:r w:rsidR="00DE1BFD" w:rsidRPr="00EA4654">
        <w:t>IOSHA’s budget is a 50/50 match between federal and state funds with additional state appropriated</w:t>
      </w:r>
      <w:r w:rsidR="00DE1BFD" w:rsidRPr="00126493">
        <w:t xml:space="preserve"> funds needed beyond the 50/50 match.  IOSHA was awarded $</w:t>
      </w:r>
      <w:r w:rsidR="00470600" w:rsidRPr="00126493">
        <w:t>2,206,100</w:t>
      </w:r>
      <w:r w:rsidR="00DE1BFD" w:rsidRPr="00126493">
        <w:t xml:space="preserve"> for FY 2022 through the federal grant.  Coupled with state matching funds and recipient funding, IOSHA’s operating budget for FY 2022 was $4</w:t>
      </w:r>
      <w:r w:rsidR="00470600" w:rsidRPr="00126493">
        <w:t>,725,979</w:t>
      </w:r>
      <w:r w:rsidR="00DE1BFD" w:rsidRPr="00126493">
        <w:t xml:space="preserve"> primarily utilized for personnel expenses.  </w:t>
      </w:r>
      <w:bookmarkEnd w:id="12"/>
      <w:bookmarkEnd w:id="13"/>
    </w:p>
    <w:p w14:paraId="200AE4DF" w14:textId="77777777" w:rsidR="008E3ABC" w:rsidRPr="00C53328" w:rsidRDefault="008E3ABC" w:rsidP="007972A0">
      <w:pPr>
        <w:widowControl/>
        <w:autoSpaceDE/>
        <w:autoSpaceDN/>
        <w:adjustRightInd/>
        <w:rPr>
          <w:rFonts w:cs="Calibri"/>
          <w:iCs/>
          <w:color w:val="0070C0"/>
        </w:rPr>
      </w:pPr>
    </w:p>
    <w:p w14:paraId="49463682" w14:textId="4562D639" w:rsidR="00A8629C" w:rsidRDefault="00781312" w:rsidP="00783189">
      <w:pPr>
        <w:widowControl/>
        <w:autoSpaceDE/>
        <w:autoSpaceDN/>
        <w:adjustRightInd/>
        <w:contextualSpacing/>
        <w:rPr>
          <w:rFonts w:cs="Calibri"/>
          <w:b/>
        </w:rPr>
      </w:pPr>
      <w:r w:rsidRPr="001C1E47">
        <w:rPr>
          <w:rFonts w:cs="Calibri"/>
          <w:b/>
        </w:rPr>
        <w:t>New Issu</w:t>
      </w:r>
      <w:r w:rsidR="00091F17">
        <w:rPr>
          <w:rFonts w:cs="Calibri"/>
          <w:b/>
        </w:rPr>
        <w:t>es</w:t>
      </w:r>
    </w:p>
    <w:p w14:paraId="7BC112A8" w14:textId="77777777" w:rsidR="00DC1DF6" w:rsidRDefault="00DC1DF6" w:rsidP="00783189">
      <w:pPr>
        <w:widowControl/>
        <w:autoSpaceDE/>
        <w:autoSpaceDN/>
        <w:adjustRightInd/>
        <w:contextualSpacing/>
        <w:rPr>
          <w:rFonts w:cs="Calibri"/>
          <w:b/>
        </w:rPr>
      </w:pPr>
    </w:p>
    <w:p w14:paraId="69680536" w14:textId="3A1C813D" w:rsidR="00E106A5" w:rsidRPr="00E106A5" w:rsidRDefault="00E106A5" w:rsidP="00E106A5">
      <w:pPr>
        <w:widowControl/>
        <w:autoSpaceDE/>
        <w:autoSpaceDN/>
        <w:adjustRightInd/>
        <w:contextualSpacing/>
        <w:rPr>
          <w:rFonts w:cs="Calibri"/>
          <w:bCs/>
        </w:rPr>
      </w:pPr>
      <w:r w:rsidRPr="00E106A5">
        <w:rPr>
          <w:rFonts w:cs="Calibri"/>
          <w:bCs/>
        </w:rPr>
        <w:lastRenderedPageBreak/>
        <w:t xml:space="preserve">It is noted that at the time of this Follow-up FAME Report, the State of Iowa </w:t>
      </w:r>
      <w:r w:rsidR="009F7A9D">
        <w:rPr>
          <w:rFonts w:cs="Calibri"/>
          <w:bCs/>
        </w:rPr>
        <w:t>g</w:t>
      </w:r>
      <w:r w:rsidRPr="00E106A5">
        <w:rPr>
          <w:rFonts w:cs="Calibri"/>
          <w:bCs/>
        </w:rPr>
        <w:t>overnment has introduced House Study Bill 126 which is aimed to consolidate Iowa’s 37 cabinet agencies into 16. If</w:t>
      </w:r>
      <w:r w:rsidR="00575988">
        <w:rPr>
          <w:rFonts w:cs="Calibri"/>
          <w:bCs/>
        </w:rPr>
        <w:t xml:space="preserve"> and/or </w:t>
      </w:r>
      <w:r w:rsidRPr="00E106A5">
        <w:rPr>
          <w:rFonts w:cs="Calibri"/>
          <w:bCs/>
        </w:rPr>
        <w:t xml:space="preserve">when this bill passes, it would take the Division of Labor out from underneath the Iowa Workforce Development Agency and </w:t>
      </w:r>
      <w:r w:rsidR="00804734" w:rsidRPr="00E106A5">
        <w:rPr>
          <w:rFonts w:cs="Calibri"/>
          <w:bCs/>
        </w:rPr>
        <w:t>p</w:t>
      </w:r>
      <w:r w:rsidR="00804734">
        <w:rPr>
          <w:rFonts w:cs="Calibri"/>
          <w:bCs/>
        </w:rPr>
        <w:t xml:space="preserve">laced </w:t>
      </w:r>
      <w:r w:rsidR="00804734" w:rsidRPr="00E106A5">
        <w:rPr>
          <w:rFonts w:cs="Calibri"/>
          <w:bCs/>
        </w:rPr>
        <w:t>under</w:t>
      </w:r>
      <w:r w:rsidRPr="00E106A5">
        <w:rPr>
          <w:rFonts w:cs="Calibri"/>
          <w:bCs/>
        </w:rPr>
        <w:t xml:space="preserve"> the Division of Inspections, Appeals, and Licensing (DIAL)</w:t>
      </w:r>
      <w:r w:rsidR="00442149">
        <w:rPr>
          <w:rFonts w:cs="Calibri"/>
          <w:bCs/>
        </w:rPr>
        <w:t>.</w:t>
      </w:r>
      <w:r w:rsidRPr="00E106A5">
        <w:rPr>
          <w:rFonts w:cs="Calibri"/>
          <w:bCs/>
        </w:rPr>
        <w:t xml:space="preserve"> It is anticipated that after the bill passes and </w:t>
      </w:r>
      <w:r w:rsidR="00804734" w:rsidRPr="00E106A5">
        <w:rPr>
          <w:rFonts w:cs="Calibri"/>
          <w:bCs/>
        </w:rPr>
        <w:t xml:space="preserve">is </w:t>
      </w:r>
      <w:r w:rsidR="00804734">
        <w:rPr>
          <w:rFonts w:cs="Calibri"/>
          <w:bCs/>
        </w:rPr>
        <w:t>in</w:t>
      </w:r>
      <w:r w:rsidRPr="00E106A5">
        <w:rPr>
          <w:rFonts w:cs="Calibri"/>
          <w:bCs/>
        </w:rPr>
        <w:t xml:space="preserve"> effect, a new Labor Commissioner will be appointed.</w:t>
      </w:r>
    </w:p>
    <w:p w14:paraId="0A29FCDE" w14:textId="40051B71" w:rsidR="00054900" w:rsidRPr="00476C08" w:rsidRDefault="00054900" w:rsidP="00476C08">
      <w:pPr>
        <w:pStyle w:val="Heading2"/>
      </w:pPr>
      <w:bookmarkStart w:id="14" w:name="_Toc118900172"/>
      <w:bookmarkStart w:id="15" w:name="_Toc118905011"/>
      <w:bookmarkStart w:id="16" w:name="_Toc129699005"/>
      <w:r w:rsidRPr="00476C08">
        <w:t xml:space="preserve">Assessment of State Plan </w:t>
      </w:r>
      <w:r w:rsidR="001E2FBB" w:rsidRPr="00476C08">
        <w:t xml:space="preserve">Progress and </w:t>
      </w:r>
      <w:r w:rsidRPr="00476C08">
        <w:t>Performance</w:t>
      </w:r>
      <w:bookmarkEnd w:id="14"/>
      <w:bookmarkEnd w:id="15"/>
      <w:bookmarkEnd w:id="16"/>
    </w:p>
    <w:p w14:paraId="4CD3C312" w14:textId="77777777" w:rsidR="000A134A" w:rsidRPr="00C53328" w:rsidRDefault="000A134A" w:rsidP="00412965">
      <w:pPr>
        <w:pStyle w:val="Heading3"/>
      </w:pPr>
      <w:bookmarkStart w:id="17" w:name="_Toc118900173"/>
      <w:bookmarkStart w:id="18" w:name="_Toc118905012"/>
      <w:bookmarkStart w:id="19" w:name="_Toc129699006"/>
      <w:r w:rsidRPr="00C53328">
        <w:t>Data and Methodology</w:t>
      </w:r>
      <w:bookmarkEnd w:id="17"/>
      <w:bookmarkEnd w:id="18"/>
      <w:bookmarkEnd w:id="19"/>
    </w:p>
    <w:p w14:paraId="72EF69F8" w14:textId="77777777" w:rsidR="000A134A" w:rsidRPr="001C1E47" w:rsidRDefault="000A134A" w:rsidP="00783189">
      <w:pPr>
        <w:widowControl/>
        <w:autoSpaceDE/>
        <w:autoSpaceDN/>
        <w:adjustRightInd/>
        <w:ind w:left="1440"/>
        <w:rPr>
          <w:rFonts w:cs="Calibri"/>
          <w:bCs/>
        </w:rPr>
      </w:pPr>
    </w:p>
    <w:p w14:paraId="3EEE3A69" w14:textId="2ACB21BE" w:rsidR="005504BC" w:rsidRPr="00D24DC3" w:rsidRDefault="000A134A" w:rsidP="00783189">
      <w:pPr>
        <w:widowControl/>
        <w:autoSpaceDE/>
        <w:autoSpaceDN/>
        <w:adjustRightInd/>
        <w:rPr>
          <w:rFonts w:cs="Calibri"/>
          <w:bCs/>
        </w:rPr>
      </w:pPr>
      <w:r w:rsidRPr="00D24DC3">
        <w:rPr>
          <w:rFonts w:cs="Calibri"/>
          <w:bCs/>
        </w:rPr>
        <w:t>OSHA has established a two-year cycle for the FAME process.  This is the follow-up year</w:t>
      </w:r>
      <w:r w:rsidR="005E3EFB" w:rsidRPr="00D24DC3">
        <w:rPr>
          <w:rFonts w:cs="Calibri"/>
          <w:bCs/>
        </w:rPr>
        <w:t>,</w:t>
      </w:r>
      <w:r w:rsidRPr="00D24DC3">
        <w:rPr>
          <w:rFonts w:cs="Calibri"/>
          <w:bCs/>
        </w:rPr>
        <w:t xml:space="preserve"> and as such</w:t>
      </w:r>
      <w:r w:rsidR="005E3EFB" w:rsidRPr="00D24DC3">
        <w:rPr>
          <w:rFonts w:cs="Calibri"/>
          <w:bCs/>
        </w:rPr>
        <w:t>,</w:t>
      </w:r>
      <w:r w:rsidRPr="00D24DC3">
        <w:rPr>
          <w:rFonts w:cs="Calibri"/>
          <w:bCs/>
        </w:rPr>
        <w:t xml:space="preserve"> OSHA did not perform </w:t>
      </w:r>
      <w:r w:rsidR="00957E7E" w:rsidRPr="00D24DC3">
        <w:rPr>
          <w:rFonts w:cs="Calibri"/>
          <w:bCs/>
        </w:rPr>
        <w:t>an on</w:t>
      </w:r>
      <w:r w:rsidR="00DC6559" w:rsidRPr="00D24DC3">
        <w:rPr>
          <w:rFonts w:cs="Calibri"/>
          <w:bCs/>
        </w:rPr>
        <w:t>-</w:t>
      </w:r>
      <w:r w:rsidR="00957E7E" w:rsidRPr="00D24DC3">
        <w:rPr>
          <w:rFonts w:cs="Calibri"/>
          <w:bCs/>
        </w:rPr>
        <w:t>site</w:t>
      </w:r>
      <w:r w:rsidRPr="00D24DC3">
        <w:rPr>
          <w:rFonts w:cs="Calibri"/>
          <w:bCs/>
        </w:rPr>
        <w:t xml:space="preserve"> case file review associated with a comprehensive FAME.  This strategy allows the State Plan to focus on correcting deficiencies identified in the most recent comprehensive FAME</w:t>
      </w:r>
      <w:r w:rsidR="003A4F3E" w:rsidRPr="00D24DC3">
        <w:rPr>
          <w:rFonts w:cs="Calibri"/>
          <w:bCs/>
        </w:rPr>
        <w:t>.</w:t>
      </w:r>
      <w:r w:rsidR="00733729" w:rsidRPr="00D24DC3">
        <w:rPr>
          <w:rFonts w:cs="Calibri"/>
          <w:bCs/>
        </w:rPr>
        <w:t xml:space="preserve">  </w:t>
      </w:r>
      <w:r w:rsidR="005504BC" w:rsidRPr="00D24DC3">
        <w:rPr>
          <w:rFonts w:cs="Calibri"/>
          <w:bCs/>
        </w:rPr>
        <w:t>The analyses and conclusions described in this report are based on information obtained from a variety of monitoring sources, including:</w:t>
      </w:r>
    </w:p>
    <w:p w14:paraId="54439AF2" w14:textId="77777777" w:rsidR="005504BC" w:rsidRPr="00D24DC3" w:rsidRDefault="005504BC" w:rsidP="007A71AC">
      <w:pPr>
        <w:widowControl/>
        <w:autoSpaceDE/>
        <w:autoSpaceDN/>
        <w:adjustRightInd/>
        <w:rPr>
          <w:rFonts w:cs="Calibri"/>
          <w:bCs/>
        </w:rPr>
      </w:pPr>
    </w:p>
    <w:p w14:paraId="409C16B9" w14:textId="5428582A" w:rsidR="005504BC" w:rsidRPr="00D24DC3" w:rsidRDefault="005504BC" w:rsidP="008626CE">
      <w:pPr>
        <w:pStyle w:val="ListParagraph"/>
        <w:numPr>
          <w:ilvl w:val="0"/>
          <w:numId w:val="7"/>
        </w:numPr>
        <w:spacing w:after="0" w:line="240" w:lineRule="auto"/>
        <w:rPr>
          <w:bCs/>
        </w:rPr>
      </w:pPr>
      <w:r w:rsidRPr="00D24DC3">
        <w:rPr>
          <w:bCs/>
          <w:sz w:val="24"/>
          <w:szCs w:val="24"/>
        </w:rPr>
        <w:t xml:space="preserve">State Activity Mandated Measures </w:t>
      </w:r>
      <w:r w:rsidR="00E7030A" w:rsidRPr="00D24DC3">
        <w:rPr>
          <w:bCs/>
          <w:sz w:val="24"/>
          <w:szCs w:val="24"/>
        </w:rPr>
        <w:t xml:space="preserve">(SAMM) </w:t>
      </w:r>
      <w:r w:rsidRPr="00D24DC3">
        <w:rPr>
          <w:bCs/>
          <w:sz w:val="24"/>
          <w:szCs w:val="24"/>
        </w:rPr>
        <w:t xml:space="preserve">Report </w:t>
      </w:r>
    </w:p>
    <w:p w14:paraId="3F2084C2" w14:textId="173A9EF0" w:rsidR="00FF4AE2" w:rsidRPr="00D24DC3" w:rsidRDefault="00FF4AE2" w:rsidP="008626CE">
      <w:pPr>
        <w:pStyle w:val="ListParagraph"/>
        <w:numPr>
          <w:ilvl w:val="0"/>
          <w:numId w:val="7"/>
        </w:numPr>
        <w:spacing w:after="0" w:line="240" w:lineRule="auto"/>
        <w:rPr>
          <w:bCs/>
        </w:rPr>
      </w:pPr>
      <w:r w:rsidRPr="00D24DC3">
        <w:rPr>
          <w:bCs/>
          <w:sz w:val="24"/>
          <w:szCs w:val="24"/>
        </w:rPr>
        <w:t xml:space="preserve">State Information Report </w:t>
      </w:r>
      <w:r w:rsidR="00185C7D" w:rsidRPr="00D24DC3">
        <w:rPr>
          <w:bCs/>
          <w:sz w:val="24"/>
          <w:szCs w:val="24"/>
        </w:rPr>
        <w:t>(SIR)</w:t>
      </w:r>
    </w:p>
    <w:p w14:paraId="5D91E03D" w14:textId="4A6359F9" w:rsidR="00FF4AE2" w:rsidRPr="00D24DC3" w:rsidRDefault="00FF4AE2" w:rsidP="008626CE">
      <w:pPr>
        <w:pStyle w:val="ListParagraph"/>
        <w:numPr>
          <w:ilvl w:val="0"/>
          <w:numId w:val="7"/>
        </w:numPr>
        <w:spacing w:after="0" w:line="240" w:lineRule="auto"/>
        <w:rPr>
          <w:bCs/>
        </w:rPr>
      </w:pPr>
      <w:r w:rsidRPr="00D24DC3">
        <w:rPr>
          <w:bCs/>
          <w:sz w:val="24"/>
          <w:szCs w:val="24"/>
        </w:rPr>
        <w:t xml:space="preserve">Mandated Activities Report for Consultation </w:t>
      </w:r>
      <w:r w:rsidR="00185C7D" w:rsidRPr="00D24DC3">
        <w:rPr>
          <w:bCs/>
          <w:sz w:val="24"/>
          <w:szCs w:val="24"/>
        </w:rPr>
        <w:t>(MARC)</w:t>
      </w:r>
    </w:p>
    <w:p w14:paraId="4054753A" w14:textId="27FD50A2" w:rsidR="00FF4AE2" w:rsidRPr="00D24DC3" w:rsidRDefault="00FF4AE2" w:rsidP="008626CE">
      <w:pPr>
        <w:pStyle w:val="ListParagraph"/>
        <w:numPr>
          <w:ilvl w:val="0"/>
          <w:numId w:val="7"/>
        </w:numPr>
        <w:spacing w:after="0" w:line="240" w:lineRule="auto"/>
        <w:rPr>
          <w:bCs/>
        </w:rPr>
      </w:pPr>
      <w:r w:rsidRPr="00D24DC3">
        <w:rPr>
          <w:bCs/>
          <w:sz w:val="24"/>
          <w:szCs w:val="24"/>
        </w:rPr>
        <w:t xml:space="preserve">State OSHA Annual Report </w:t>
      </w:r>
      <w:r w:rsidR="0061362E" w:rsidRPr="00D24DC3">
        <w:rPr>
          <w:bCs/>
          <w:sz w:val="24"/>
          <w:szCs w:val="24"/>
        </w:rPr>
        <w:t>(SOAR)</w:t>
      </w:r>
    </w:p>
    <w:p w14:paraId="03220F96" w14:textId="3137FC53" w:rsidR="00FF4AE2" w:rsidRPr="00D24DC3" w:rsidRDefault="00FF4AE2" w:rsidP="008626CE">
      <w:pPr>
        <w:pStyle w:val="ListParagraph"/>
        <w:numPr>
          <w:ilvl w:val="0"/>
          <w:numId w:val="7"/>
        </w:numPr>
        <w:spacing w:after="0" w:line="240" w:lineRule="auto"/>
        <w:rPr>
          <w:bCs/>
        </w:rPr>
      </w:pPr>
      <w:r w:rsidRPr="00D24DC3">
        <w:rPr>
          <w:bCs/>
          <w:sz w:val="24"/>
          <w:szCs w:val="24"/>
        </w:rPr>
        <w:t>State Plan Annual Performance Plan</w:t>
      </w:r>
      <w:r w:rsidR="0061362E" w:rsidRPr="00D24DC3">
        <w:rPr>
          <w:bCs/>
          <w:sz w:val="24"/>
          <w:szCs w:val="24"/>
        </w:rPr>
        <w:t xml:space="preserve"> (APP)</w:t>
      </w:r>
    </w:p>
    <w:p w14:paraId="4CBC94FB" w14:textId="77777777" w:rsidR="00FF4AE2" w:rsidRPr="00D24DC3" w:rsidRDefault="00FF4AE2" w:rsidP="008626CE">
      <w:pPr>
        <w:pStyle w:val="ListParagraph"/>
        <w:numPr>
          <w:ilvl w:val="0"/>
          <w:numId w:val="7"/>
        </w:numPr>
        <w:spacing w:after="0" w:line="240" w:lineRule="auto"/>
        <w:rPr>
          <w:bCs/>
        </w:rPr>
      </w:pPr>
      <w:r w:rsidRPr="00D24DC3">
        <w:rPr>
          <w:bCs/>
          <w:sz w:val="24"/>
          <w:szCs w:val="24"/>
        </w:rPr>
        <w:t xml:space="preserve">State Plan Grant </w:t>
      </w:r>
      <w:r w:rsidR="00DC6559" w:rsidRPr="00D24DC3">
        <w:rPr>
          <w:bCs/>
          <w:sz w:val="24"/>
          <w:szCs w:val="24"/>
        </w:rPr>
        <w:t>A</w:t>
      </w:r>
      <w:r w:rsidRPr="00D24DC3">
        <w:rPr>
          <w:bCs/>
          <w:sz w:val="24"/>
          <w:szCs w:val="24"/>
        </w:rPr>
        <w:t xml:space="preserve">pplication </w:t>
      </w:r>
    </w:p>
    <w:p w14:paraId="79AC3075" w14:textId="77777777" w:rsidR="00FF4AE2" w:rsidRPr="00D24DC3" w:rsidRDefault="00FF4AE2" w:rsidP="008626CE">
      <w:pPr>
        <w:pStyle w:val="ListParagraph"/>
        <w:numPr>
          <w:ilvl w:val="0"/>
          <w:numId w:val="7"/>
        </w:numPr>
        <w:spacing w:after="0" w:line="240" w:lineRule="auto"/>
        <w:rPr>
          <w:bCs/>
        </w:rPr>
      </w:pPr>
      <w:r w:rsidRPr="00D24DC3">
        <w:rPr>
          <w:bCs/>
          <w:sz w:val="24"/>
          <w:szCs w:val="24"/>
        </w:rPr>
        <w:t>Quarterly monitoring meetings between OSHA and the State Plan</w:t>
      </w:r>
    </w:p>
    <w:p w14:paraId="5DCBF017" w14:textId="77777777" w:rsidR="00783189" w:rsidRPr="0061362E" w:rsidRDefault="00783189" w:rsidP="007A71AC">
      <w:pPr>
        <w:widowControl/>
        <w:autoSpaceDE/>
        <w:autoSpaceDN/>
        <w:adjustRightInd/>
        <w:rPr>
          <w:rFonts w:cs="Calibri"/>
          <w:bCs/>
          <w:iCs/>
          <w:color w:val="0070C0"/>
        </w:rPr>
      </w:pPr>
    </w:p>
    <w:p w14:paraId="5E67DDEC" w14:textId="1552D25C" w:rsidR="000A134A" w:rsidRPr="001C1E47" w:rsidRDefault="00CD7077" w:rsidP="00412965">
      <w:pPr>
        <w:pStyle w:val="Heading3"/>
      </w:pPr>
      <w:bookmarkStart w:id="20" w:name="_Toc118900174"/>
      <w:bookmarkStart w:id="21" w:name="_Toc118905013"/>
      <w:bookmarkStart w:id="22" w:name="_Toc129699007"/>
      <w:r>
        <w:t>Finding</w:t>
      </w:r>
      <w:r w:rsidR="000A134A" w:rsidRPr="001C1E47">
        <w:t>s and Observations</w:t>
      </w:r>
      <w:bookmarkEnd w:id="20"/>
      <w:bookmarkEnd w:id="21"/>
      <w:bookmarkEnd w:id="22"/>
    </w:p>
    <w:p w14:paraId="51B991F5" w14:textId="77777777" w:rsidR="000A134A" w:rsidRPr="001C1E47" w:rsidRDefault="000A134A" w:rsidP="00783189">
      <w:pPr>
        <w:widowControl/>
        <w:autoSpaceDE/>
        <w:autoSpaceDN/>
        <w:adjustRightInd/>
        <w:rPr>
          <w:rFonts w:cs="Calibri"/>
        </w:rPr>
      </w:pPr>
    </w:p>
    <w:p w14:paraId="2789CCA0" w14:textId="520ECBD9" w:rsidR="00E71FB7" w:rsidRPr="00BE5A69" w:rsidRDefault="00CD7077" w:rsidP="00E44D46">
      <w:pPr>
        <w:pStyle w:val="Heading4"/>
        <w:rPr>
          <w:b w:val="0"/>
        </w:rPr>
      </w:pPr>
      <w:bookmarkStart w:id="23" w:name="_Toc118900175"/>
      <w:bookmarkStart w:id="24" w:name="_Toc118905014"/>
      <w:r w:rsidRPr="00BE5A69">
        <w:t>Finding</w:t>
      </w:r>
      <w:r w:rsidR="00E71FB7" w:rsidRPr="00BE5A69">
        <w:t>s</w:t>
      </w:r>
      <w:r w:rsidR="00443054" w:rsidRPr="00BE5A69">
        <w:t xml:space="preserve"> (Status of </w:t>
      </w:r>
      <w:r w:rsidR="00D05A52" w:rsidRPr="00BE5A69">
        <w:t xml:space="preserve">Closed, Continued, and </w:t>
      </w:r>
      <w:r w:rsidR="00443054" w:rsidRPr="00BE5A69">
        <w:t>New)</w:t>
      </w:r>
      <w:bookmarkEnd w:id="23"/>
      <w:bookmarkEnd w:id="24"/>
    </w:p>
    <w:p w14:paraId="6C7BE9F8" w14:textId="77777777" w:rsidR="00E71FB7" w:rsidRPr="00016DB2" w:rsidRDefault="00E71FB7" w:rsidP="00783189">
      <w:pPr>
        <w:widowControl/>
        <w:autoSpaceDE/>
        <w:autoSpaceDN/>
        <w:adjustRightInd/>
        <w:rPr>
          <w:rFonts w:cs="Calibri"/>
          <w:highlight w:val="yellow"/>
          <w:u w:val="single"/>
        </w:rPr>
      </w:pPr>
    </w:p>
    <w:p w14:paraId="68CBB2BF" w14:textId="6AE20156" w:rsidR="004E505A" w:rsidRPr="00D05A52" w:rsidRDefault="00853A50" w:rsidP="00783189">
      <w:pPr>
        <w:widowControl/>
        <w:autoSpaceDE/>
        <w:autoSpaceDN/>
        <w:adjustRightInd/>
        <w:rPr>
          <w:rFonts w:cs="Calibri"/>
        </w:rPr>
      </w:pPr>
      <w:r w:rsidRPr="00853A50">
        <w:rPr>
          <w:rFonts w:cs="Calibri"/>
        </w:rPr>
        <w:t>Th</w:t>
      </w:r>
      <w:r>
        <w:rPr>
          <w:rFonts w:cs="Calibri"/>
        </w:rPr>
        <w:t>is Follow-up R</w:t>
      </w:r>
      <w:r w:rsidRPr="00853A50">
        <w:rPr>
          <w:rFonts w:cs="Calibri"/>
        </w:rPr>
        <w:t xml:space="preserve">eport contains no new </w:t>
      </w:r>
      <w:r w:rsidR="00016DB2">
        <w:rPr>
          <w:rFonts w:cs="Calibri"/>
        </w:rPr>
        <w:t>f</w:t>
      </w:r>
      <w:r w:rsidRPr="00853A50">
        <w:rPr>
          <w:rFonts w:cs="Calibri"/>
        </w:rPr>
        <w:t>indings.</w:t>
      </w:r>
      <w:r>
        <w:rPr>
          <w:rFonts w:cs="Calibri"/>
        </w:rPr>
        <w:t xml:space="preserve">  </w:t>
      </w:r>
      <w:bookmarkStart w:id="25" w:name="_Hlk129540653"/>
      <w:r w:rsidR="00456C45" w:rsidRPr="001C1E47">
        <w:rPr>
          <w:rFonts w:cs="Calibri"/>
        </w:rPr>
        <w:t>The State Plan</w:t>
      </w:r>
      <w:r w:rsidR="005D5383" w:rsidRPr="001C1E47">
        <w:rPr>
          <w:rFonts w:cs="Calibri"/>
        </w:rPr>
        <w:t xml:space="preserve"> made </w:t>
      </w:r>
      <w:r w:rsidR="004E505A" w:rsidRPr="001C1E47">
        <w:rPr>
          <w:rFonts w:cs="Calibri"/>
        </w:rPr>
        <w:t>progre</w:t>
      </w:r>
      <w:r w:rsidR="00443054" w:rsidRPr="001C1E47">
        <w:rPr>
          <w:rFonts w:cs="Calibri"/>
        </w:rPr>
        <w:t xml:space="preserve">ss </w:t>
      </w:r>
      <w:r w:rsidR="00FB64E7">
        <w:rPr>
          <w:rFonts w:cs="Calibri"/>
        </w:rPr>
        <w:t xml:space="preserve">in </w:t>
      </w:r>
      <w:r w:rsidR="00443054" w:rsidRPr="001C1E47">
        <w:rPr>
          <w:rFonts w:cs="Calibri"/>
        </w:rPr>
        <w:t>address</w:t>
      </w:r>
      <w:r w:rsidR="00FB64E7">
        <w:rPr>
          <w:rFonts w:cs="Calibri"/>
        </w:rPr>
        <w:t>ing</w:t>
      </w:r>
      <w:r w:rsidR="00456C45" w:rsidRPr="001C1E47">
        <w:rPr>
          <w:rFonts w:cs="Calibri"/>
        </w:rPr>
        <w:t xml:space="preserve"> the </w:t>
      </w:r>
      <w:r w:rsidR="00016DB2">
        <w:rPr>
          <w:rFonts w:cs="Calibri"/>
        </w:rPr>
        <w:t xml:space="preserve">only </w:t>
      </w:r>
      <w:bookmarkEnd w:id="25"/>
      <w:r w:rsidR="00804734" w:rsidRPr="001C1E47">
        <w:rPr>
          <w:rFonts w:cs="Calibri"/>
        </w:rPr>
        <w:t>previous finding</w:t>
      </w:r>
      <w:r w:rsidR="004E505A" w:rsidRPr="001C1E47">
        <w:rPr>
          <w:rFonts w:cs="Calibri"/>
        </w:rPr>
        <w:t xml:space="preserve"> </w:t>
      </w:r>
      <w:bookmarkStart w:id="26" w:name="_Hlk129539201"/>
      <w:r w:rsidR="00456C45" w:rsidRPr="001C1E47">
        <w:rPr>
          <w:rFonts w:cs="Calibri"/>
        </w:rPr>
        <w:t xml:space="preserve">from the FY </w:t>
      </w:r>
      <w:r w:rsidR="00512339" w:rsidRPr="001C1E47">
        <w:rPr>
          <w:rFonts w:cs="Calibri"/>
        </w:rPr>
        <w:t>20</w:t>
      </w:r>
      <w:r w:rsidR="00185C7D" w:rsidRPr="001C1E47">
        <w:rPr>
          <w:rFonts w:cs="Calibri"/>
        </w:rPr>
        <w:t>21</w:t>
      </w:r>
      <w:r w:rsidR="000003C7" w:rsidRPr="001C1E47">
        <w:rPr>
          <w:rFonts w:cs="Calibri"/>
        </w:rPr>
        <w:t xml:space="preserve"> </w:t>
      </w:r>
      <w:r w:rsidR="00456C45" w:rsidRPr="001C1E47">
        <w:rPr>
          <w:rFonts w:cs="Calibri"/>
        </w:rPr>
        <w:t>Comprehensive FAME R</w:t>
      </w:r>
      <w:r w:rsidR="004E505A" w:rsidRPr="001C1E47">
        <w:rPr>
          <w:rFonts w:cs="Calibri"/>
        </w:rPr>
        <w:t xml:space="preserve">eport.  This follow-up FAME </w:t>
      </w:r>
      <w:r w:rsidR="00256414" w:rsidRPr="00C147A5">
        <w:rPr>
          <w:rFonts w:cs="Calibri"/>
        </w:rPr>
        <w:t>R</w:t>
      </w:r>
      <w:r w:rsidR="004E505A" w:rsidRPr="00C147A5">
        <w:rPr>
          <w:rFonts w:cs="Calibri"/>
        </w:rPr>
        <w:t xml:space="preserve">eport </w:t>
      </w:r>
      <w:r w:rsidR="00FB64E7" w:rsidRPr="00C147A5">
        <w:rPr>
          <w:rFonts w:cs="Calibri"/>
        </w:rPr>
        <w:t xml:space="preserve">describes </w:t>
      </w:r>
      <w:r w:rsidR="00BF785A" w:rsidRPr="00C147A5">
        <w:rPr>
          <w:rFonts w:cs="Calibri"/>
        </w:rPr>
        <w:t xml:space="preserve">the </w:t>
      </w:r>
      <w:r w:rsidR="00016DB2">
        <w:rPr>
          <w:rFonts w:cs="Calibri"/>
        </w:rPr>
        <w:t>f</w:t>
      </w:r>
      <w:r w:rsidR="00CD7077" w:rsidRPr="00C147A5">
        <w:rPr>
          <w:rFonts w:cs="Calibri"/>
        </w:rPr>
        <w:t>inding</w:t>
      </w:r>
      <w:r w:rsidR="0040298C" w:rsidRPr="00C147A5">
        <w:rPr>
          <w:rFonts w:cs="Calibri"/>
        </w:rPr>
        <w:t xml:space="preserve"> in the FY</w:t>
      </w:r>
      <w:r w:rsidR="004137DE" w:rsidRPr="00C147A5">
        <w:rPr>
          <w:rFonts w:cs="Calibri"/>
        </w:rPr>
        <w:t xml:space="preserve"> </w:t>
      </w:r>
      <w:r w:rsidR="0040298C" w:rsidRPr="00C147A5">
        <w:rPr>
          <w:rFonts w:cs="Calibri"/>
        </w:rPr>
        <w:t>2021 FAME</w:t>
      </w:r>
      <w:r w:rsidR="00FB64E7" w:rsidRPr="00C147A5">
        <w:rPr>
          <w:rFonts w:cs="Calibri"/>
        </w:rPr>
        <w:t xml:space="preserve"> that</w:t>
      </w:r>
      <w:r w:rsidR="0040298C" w:rsidRPr="00C147A5">
        <w:rPr>
          <w:rFonts w:cs="Calibri"/>
        </w:rPr>
        <w:t xml:space="preserve"> was </w:t>
      </w:r>
      <w:r w:rsidR="00D3171D" w:rsidRPr="00C147A5">
        <w:rPr>
          <w:rFonts w:cs="Calibri"/>
        </w:rPr>
        <w:t xml:space="preserve">determined </w:t>
      </w:r>
      <w:r w:rsidR="00016DB2">
        <w:rPr>
          <w:rFonts w:cs="Calibri"/>
        </w:rPr>
        <w:t>to be</w:t>
      </w:r>
      <w:r w:rsidR="00D3171D" w:rsidRPr="00C147A5">
        <w:rPr>
          <w:rFonts w:cs="Calibri"/>
        </w:rPr>
        <w:t xml:space="preserve"> </w:t>
      </w:r>
      <w:r w:rsidR="0040298C" w:rsidRPr="00C147A5">
        <w:rPr>
          <w:rFonts w:cs="Calibri"/>
        </w:rPr>
        <w:t xml:space="preserve">completed and </w:t>
      </w:r>
      <w:r w:rsidR="00D3171D" w:rsidRPr="00C147A5">
        <w:rPr>
          <w:rFonts w:cs="Calibri"/>
        </w:rPr>
        <w:t xml:space="preserve">therefore, </w:t>
      </w:r>
      <w:r w:rsidR="0040298C" w:rsidRPr="00C147A5">
        <w:rPr>
          <w:rFonts w:cs="Calibri"/>
        </w:rPr>
        <w:t>closed</w:t>
      </w:r>
      <w:r w:rsidR="00FB64E7" w:rsidRPr="00C147A5">
        <w:rPr>
          <w:rFonts w:cs="Calibri"/>
        </w:rPr>
        <w:t xml:space="preserve">. </w:t>
      </w:r>
      <w:bookmarkStart w:id="27" w:name="_Hlk129539278"/>
      <w:bookmarkEnd w:id="26"/>
      <w:r w:rsidR="004E505A" w:rsidRPr="00C147A5">
        <w:rPr>
          <w:rFonts w:cs="Calibri"/>
        </w:rPr>
        <w:t xml:space="preserve">Appendix C describes the status of </w:t>
      </w:r>
      <w:r w:rsidR="00D05A52" w:rsidRPr="00C147A5">
        <w:rPr>
          <w:rFonts w:cs="Calibri"/>
        </w:rPr>
        <w:t xml:space="preserve">the </w:t>
      </w:r>
      <w:r w:rsidR="004E505A" w:rsidRPr="00C147A5">
        <w:rPr>
          <w:rFonts w:cs="Calibri"/>
        </w:rPr>
        <w:t>FY 20</w:t>
      </w:r>
      <w:r w:rsidR="00B66C2A" w:rsidRPr="00C147A5">
        <w:rPr>
          <w:rFonts w:cs="Calibri"/>
        </w:rPr>
        <w:t>21</w:t>
      </w:r>
      <w:r w:rsidR="004E505A" w:rsidRPr="00C147A5">
        <w:rPr>
          <w:rFonts w:cs="Calibri"/>
        </w:rPr>
        <w:t xml:space="preserve"> </w:t>
      </w:r>
      <w:r w:rsidR="00016DB2">
        <w:rPr>
          <w:rFonts w:cs="Calibri"/>
        </w:rPr>
        <w:t>f</w:t>
      </w:r>
      <w:r w:rsidR="00CD7077" w:rsidRPr="00C147A5">
        <w:rPr>
          <w:rFonts w:cs="Calibri"/>
        </w:rPr>
        <w:t>inding</w:t>
      </w:r>
      <w:r w:rsidR="00B66C2A" w:rsidRPr="00C147A5">
        <w:rPr>
          <w:rFonts w:cs="Calibri"/>
        </w:rPr>
        <w:t xml:space="preserve"> and </w:t>
      </w:r>
      <w:r w:rsidR="004E505A" w:rsidRPr="00C147A5">
        <w:rPr>
          <w:rFonts w:cs="Calibri"/>
        </w:rPr>
        <w:t>recommendation in detail.</w:t>
      </w:r>
    </w:p>
    <w:bookmarkEnd w:id="27"/>
    <w:p w14:paraId="699539B4" w14:textId="77777777" w:rsidR="004E505A" w:rsidRPr="001C1E47" w:rsidRDefault="004E505A" w:rsidP="00783189">
      <w:pPr>
        <w:widowControl/>
        <w:autoSpaceDE/>
        <w:autoSpaceDN/>
        <w:adjustRightInd/>
        <w:rPr>
          <w:rFonts w:cs="Calibri"/>
          <w:highlight w:val="yellow"/>
        </w:rPr>
      </w:pPr>
    </w:p>
    <w:p w14:paraId="1CD392F2" w14:textId="1A1230D7" w:rsidR="005C1BFC" w:rsidRPr="0061362E" w:rsidRDefault="00733D36" w:rsidP="00783189">
      <w:pPr>
        <w:widowControl/>
        <w:autoSpaceDE/>
        <w:autoSpaceDN/>
        <w:adjustRightInd/>
        <w:rPr>
          <w:rFonts w:cs="Calibri"/>
          <w:b/>
          <w:bCs/>
        </w:rPr>
      </w:pPr>
      <w:r w:rsidRPr="0061362E">
        <w:rPr>
          <w:rFonts w:cs="Calibri"/>
          <w:b/>
          <w:bCs/>
        </w:rPr>
        <w:t>C</w:t>
      </w:r>
      <w:r w:rsidR="00D05A52">
        <w:rPr>
          <w:rFonts w:cs="Calibri"/>
          <w:b/>
          <w:bCs/>
        </w:rPr>
        <w:t>losed</w:t>
      </w:r>
      <w:r w:rsidRPr="0061362E">
        <w:rPr>
          <w:rFonts w:cs="Calibri"/>
          <w:b/>
          <w:bCs/>
        </w:rPr>
        <w:t xml:space="preserve"> </w:t>
      </w:r>
      <w:r w:rsidR="00AA781B">
        <w:rPr>
          <w:rFonts w:cs="Calibri"/>
          <w:b/>
          <w:bCs/>
        </w:rPr>
        <w:t>FY 2021 Finding(s)</w:t>
      </w:r>
    </w:p>
    <w:p w14:paraId="7BB91E9C" w14:textId="5AB118D6" w:rsidR="007C0A36" w:rsidRDefault="007C0A36" w:rsidP="00783189">
      <w:pPr>
        <w:widowControl/>
        <w:autoSpaceDE/>
        <w:autoSpaceDN/>
        <w:adjustRightInd/>
        <w:rPr>
          <w:rFonts w:cs="Calibri"/>
          <w:highlight w:val="yellow"/>
          <w:u w:val="single"/>
        </w:rPr>
      </w:pPr>
    </w:p>
    <w:p w14:paraId="12D5D315" w14:textId="5F5F2C38" w:rsidR="009B6E80" w:rsidRDefault="00CD7077" w:rsidP="009B6E80">
      <w:pPr>
        <w:widowControl/>
        <w:autoSpaceDE/>
        <w:autoSpaceDN/>
        <w:adjustRightInd/>
        <w:rPr>
          <w:rFonts w:cs="Calibri"/>
        </w:rPr>
      </w:pPr>
      <w:r w:rsidRPr="009B6E80">
        <w:rPr>
          <w:rFonts w:cs="Calibri"/>
          <w:b/>
        </w:rPr>
        <w:t>Finding</w:t>
      </w:r>
      <w:r w:rsidR="00733D36" w:rsidRPr="009B6E80">
        <w:rPr>
          <w:rFonts w:cs="Calibri"/>
          <w:b/>
        </w:rPr>
        <w:t xml:space="preserve"> FY </w:t>
      </w:r>
      <w:r w:rsidR="007C0A36" w:rsidRPr="009B6E80">
        <w:rPr>
          <w:rFonts w:cs="Calibri"/>
          <w:b/>
        </w:rPr>
        <w:t>2</w:t>
      </w:r>
      <w:r w:rsidR="009B6E80" w:rsidRPr="009B6E80">
        <w:rPr>
          <w:rFonts w:cs="Calibri"/>
          <w:b/>
        </w:rPr>
        <w:t>021-01</w:t>
      </w:r>
      <w:r w:rsidR="00733D36" w:rsidRPr="009B6E80">
        <w:rPr>
          <w:rFonts w:cs="Calibri"/>
          <w:b/>
        </w:rPr>
        <w:t>:</w:t>
      </w:r>
      <w:r w:rsidR="00733D36" w:rsidRPr="001C1E47">
        <w:rPr>
          <w:rFonts w:cs="Calibri"/>
        </w:rPr>
        <w:t xml:space="preserve"> </w:t>
      </w:r>
      <w:r w:rsidR="007C0A36" w:rsidRPr="001C1E47">
        <w:rPr>
          <w:rFonts w:cs="Calibri"/>
        </w:rPr>
        <w:t xml:space="preserve"> </w:t>
      </w:r>
      <w:r w:rsidR="009B6E80" w:rsidRPr="009B6E80">
        <w:rPr>
          <w:rFonts w:cs="Calibri"/>
        </w:rPr>
        <w:t>In FY 2020, SAMM</w:t>
      </w:r>
      <w:r w:rsidR="009B6E80">
        <w:rPr>
          <w:rFonts w:cs="Calibri"/>
        </w:rPr>
        <w:t xml:space="preserve"> </w:t>
      </w:r>
      <w:r w:rsidR="009B6E80" w:rsidRPr="009B6E80">
        <w:rPr>
          <w:rFonts w:cs="Calibri"/>
        </w:rPr>
        <w:t>2a</w:t>
      </w:r>
      <w:r w:rsidR="009B6E80">
        <w:rPr>
          <w:rFonts w:cs="Calibri"/>
        </w:rPr>
        <w:t xml:space="preserve"> data</w:t>
      </w:r>
      <w:r w:rsidR="009B6E80" w:rsidRPr="009B6E80">
        <w:rPr>
          <w:rFonts w:cs="Calibri"/>
        </w:rPr>
        <w:t xml:space="preserve"> showed the average number of working days to initiate </w:t>
      </w:r>
      <w:r w:rsidR="009B6E80">
        <w:rPr>
          <w:rFonts w:cs="Calibri"/>
        </w:rPr>
        <w:t xml:space="preserve">a </w:t>
      </w:r>
      <w:r w:rsidR="009B6E80" w:rsidRPr="009B6E80">
        <w:rPr>
          <w:rFonts w:cs="Calibri"/>
        </w:rPr>
        <w:t>non-formal complaint investigation was 2.95 days, which was outside the</w:t>
      </w:r>
      <w:r w:rsidR="009B6E80">
        <w:rPr>
          <w:rFonts w:cs="Calibri"/>
        </w:rPr>
        <w:t xml:space="preserve"> </w:t>
      </w:r>
      <w:r w:rsidR="009B6E80" w:rsidRPr="009B6E80">
        <w:rPr>
          <w:rFonts w:cs="Calibri"/>
        </w:rPr>
        <w:t>FRL of one day.</w:t>
      </w:r>
    </w:p>
    <w:p w14:paraId="61AECF91" w14:textId="77777777" w:rsidR="009B6E80" w:rsidRDefault="009B6E80" w:rsidP="00783189">
      <w:pPr>
        <w:widowControl/>
        <w:autoSpaceDE/>
        <w:autoSpaceDN/>
        <w:adjustRightInd/>
        <w:rPr>
          <w:rFonts w:cs="Calibri"/>
        </w:rPr>
      </w:pPr>
    </w:p>
    <w:p w14:paraId="3B840010" w14:textId="4429C920" w:rsidR="00512339" w:rsidRPr="0017699C" w:rsidRDefault="007C0A36" w:rsidP="0017699C">
      <w:pPr>
        <w:widowControl/>
        <w:autoSpaceDE/>
        <w:autoSpaceDN/>
        <w:adjustRightInd/>
        <w:rPr>
          <w:rFonts w:cs="Calibri"/>
        </w:rPr>
      </w:pPr>
      <w:r w:rsidRPr="001C1E47">
        <w:rPr>
          <w:rFonts w:cs="Calibri"/>
          <w:b/>
        </w:rPr>
        <w:t>Status</w:t>
      </w:r>
      <w:r w:rsidR="00733D36" w:rsidRPr="001C1E47">
        <w:rPr>
          <w:rFonts w:cs="Calibri"/>
          <w:b/>
        </w:rPr>
        <w:t>:</w:t>
      </w:r>
      <w:r w:rsidR="00733D36" w:rsidRPr="001C1E47">
        <w:rPr>
          <w:rFonts w:cs="Calibri"/>
        </w:rPr>
        <w:t xml:space="preserve"> </w:t>
      </w:r>
      <w:r w:rsidR="009B6E80">
        <w:rPr>
          <w:rFonts w:cs="Calibri"/>
        </w:rPr>
        <w:t xml:space="preserve">IOSHA </w:t>
      </w:r>
      <w:r w:rsidR="00AD1AC3">
        <w:rPr>
          <w:rFonts w:cs="Calibri"/>
        </w:rPr>
        <w:t>assigned two</w:t>
      </w:r>
      <w:r w:rsidR="009B6E80">
        <w:rPr>
          <w:rFonts w:cs="Calibri"/>
        </w:rPr>
        <w:t xml:space="preserve"> fulltime C</w:t>
      </w:r>
      <w:r w:rsidR="00AD1AC3">
        <w:rPr>
          <w:rFonts w:cs="Calibri"/>
        </w:rPr>
        <w:t>SHO</w:t>
      </w:r>
      <w:r w:rsidR="00FB64E7">
        <w:rPr>
          <w:rFonts w:cs="Calibri"/>
        </w:rPr>
        <w:t>s</w:t>
      </w:r>
      <w:r w:rsidR="009B6E80">
        <w:rPr>
          <w:rFonts w:cs="Calibri"/>
        </w:rPr>
        <w:t xml:space="preserve"> to handle </w:t>
      </w:r>
      <w:r w:rsidR="00016DB2">
        <w:rPr>
          <w:rFonts w:cs="Calibri"/>
        </w:rPr>
        <w:t>d</w:t>
      </w:r>
      <w:r w:rsidR="00AD1AC3">
        <w:rPr>
          <w:rFonts w:cs="Calibri"/>
        </w:rPr>
        <w:t xml:space="preserve">uty </w:t>
      </w:r>
      <w:r w:rsidR="00016DB2">
        <w:rPr>
          <w:rFonts w:cs="Calibri"/>
        </w:rPr>
        <w:t>o</w:t>
      </w:r>
      <w:r w:rsidR="00AD1AC3">
        <w:rPr>
          <w:rFonts w:cs="Calibri"/>
        </w:rPr>
        <w:t>fficer</w:t>
      </w:r>
      <w:r w:rsidR="009B6E80">
        <w:rPr>
          <w:rFonts w:cs="Calibri"/>
        </w:rPr>
        <w:t xml:space="preserve"> responsibilities</w:t>
      </w:r>
      <w:r w:rsidR="00016DB2">
        <w:rPr>
          <w:rFonts w:cs="Calibri"/>
        </w:rPr>
        <w:t>,</w:t>
      </w:r>
      <w:r w:rsidR="00AD1AC3">
        <w:rPr>
          <w:rFonts w:cs="Calibri"/>
        </w:rPr>
        <w:t xml:space="preserve"> which reduced the number of working days </w:t>
      </w:r>
      <w:r w:rsidR="009B6E80">
        <w:rPr>
          <w:rFonts w:cs="Calibri"/>
        </w:rPr>
        <w:t>from 2.95 days to 0.93 days</w:t>
      </w:r>
      <w:r w:rsidR="00016DB2">
        <w:rPr>
          <w:rFonts w:cs="Calibri"/>
        </w:rPr>
        <w:t>;</w:t>
      </w:r>
      <w:r w:rsidR="009B6E80">
        <w:rPr>
          <w:rFonts w:cs="Calibri"/>
        </w:rPr>
        <w:t xml:space="preserve"> </w:t>
      </w:r>
      <w:r w:rsidR="00804734">
        <w:rPr>
          <w:rFonts w:cs="Calibri"/>
        </w:rPr>
        <w:t>this is</w:t>
      </w:r>
      <w:r w:rsidR="00016DB2">
        <w:rPr>
          <w:rFonts w:cs="Calibri"/>
        </w:rPr>
        <w:t xml:space="preserve"> below </w:t>
      </w:r>
      <w:r w:rsidR="00AD1AC3">
        <w:rPr>
          <w:rFonts w:cs="Calibri"/>
        </w:rPr>
        <w:t>the FRL of one day. This item is complete.</w:t>
      </w:r>
      <w:r w:rsidR="00733D36" w:rsidRPr="001C1E47">
        <w:rPr>
          <w:rFonts w:cs="Calibri"/>
        </w:rPr>
        <w:t xml:space="preserve">  </w:t>
      </w:r>
    </w:p>
    <w:p w14:paraId="5203498B" w14:textId="77777777" w:rsidR="00783189" w:rsidRPr="001C1E47" w:rsidRDefault="00783189" w:rsidP="00783189">
      <w:pPr>
        <w:widowControl/>
        <w:autoSpaceDE/>
        <w:autoSpaceDN/>
        <w:adjustRightInd/>
        <w:rPr>
          <w:rFonts w:cs="Calibri"/>
          <w:u w:val="single"/>
        </w:rPr>
      </w:pPr>
    </w:p>
    <w:p w14:paraId="49B482D8" w14:textId="1F3AFB1B" w:rsidR="00443054" w:rsidRDefault="0017699C" w:rsidP="00E44D46">
      <w:pPr>
        <w:pStyle w:val="Heading4"/>
      </w:pPr>
      <w:bookmarkStart w:id="28" w:name="_Toc118900176"/>
      <w:bookmarkStart w:id="29" w:name="_Toc118905015"/>
      <w:r>
        <w:t>Continued</w:t>
      </w:r>
      <w:r w:rsidR="006E0211">
        <w:t xml:space="preserve"> FY 2021</w:t>
      </w:r>
      <w:r>
        <w:t xml:space="preserve"> </w:t>
      </w:r>
      <w:r w:rsidR="00CD7077">
        <w:t>Finding</w:t>
      </w:r>
      <w:bookmarkEnd w:id="28"/>
      <w:bookmarkEnd w:id="29"/>
      <w:r w:rsidR="00AA781B">
        <w:t>(s)</w:t>
      </w:r>
    </w:p>
    <w:p w14:paraId="50E244A7" w14:textId="43BBA457" w:rsidR="00BC6F2A" w:rsidRDefault="00BC6F2A" w:rsidP="00BC6F2A">
      <w:r>
        <w:t>None</w:t>
      </w:r>
    </w:p>
    <w:p w14:paraId="1CAF3880" w14:textId="77777777" w:rsidR="009B6E80" w:rsidRDefault="009B6E80" w:rsidP="00BC6F2A">
      <w:pPr>
        <w:rPr>
          <w:b/>
          <w:bCs/>
        </w:rPr>
      </w:pPr>
    </w:p>
    <w:p w14:paraId="677E2ABC" w14:textId="340AC834" w:rsidR="0017699C" w:rsidRDefault="0017699C" w:rsidP="00BC6F2A">
      <w:pPr>
        <w:rPr>
          <w:b/>
          <w:bCs/>
        </w:rPr>
      </w:pPr>
      <w:r w:rsidRPr="00947C14">
        <w:rPr>
          <w:b/>
          <w:bCs/>
        </w:rPr>
        <w:t>New FY</w:t>
      </w:r>
      <w:r w:rsidR="004137DE">
        <w:rPr>
          <w:b/>
          <w:bCs/>
        </w:rPr>
        <w:t xml:space="preserve"> </w:t>
      </w:r>
      <w:r w:rsidRPr="00947C14">
        <w:rPr>
          <w:b/>
          <w:bCs/>
        </w:rPr>
        <w:t xml:space="preserve">2022 </w:t>
      </w:r>
      <w:r w:rsidR="00CD7077">
        <w:rPr>
          <w:b/>
          <w:bCs/>
        </w:rPr>
        <w:t>Finding</w:t>
      </w:r>
      <w:r w:rsidR="00AA781B">
        <w:rPr>
          <w:b/>
          <w:bCs/>
        </w:rPr>
        <w:t>(s)</w:t>
      </w:r>
    </w:p>
    <w:p w14:paraId="070E2504" w14:textId="048EA729" w:rsidR="00947C14" w:rsidRDefault="00947C14" w:rsidP="00BC6F2A">
      <w:r w:rsidRPr="00947C14">
        <w:t>None</w:t>
      </w:r>
    </w:p>
    <w:p w14:paraId="08BDEEE5" w14:textId="77777777" w:rsidR="00D65A48" w:rsidRDefault="00D65A48" w:rsidP="00BC6F2A">
      <w:pPr>
        <w:rPr>
          <w:b/>
          <w:bCs/>
        </w:rPr>
      </w:pPr>
    </w:p>
    <w:p w14:paraId="1EDAE5C0" w14:textId="357FF3EF" w:rsidR="00947C14" w:rsidRDefault="00947C14" w:rsidP="00BC6F2A">
      <w:pPr>
        <w:rPr>
          <w:b/>
          <w:bCs/>
        </w:rPr>
      </w:pPr>
      <w:r w:rsidRPr="00947C14">
        <w:rPr>
          <w:b/>
          <w:bCs/>
        </w:rPr>
        <w:t>Observations</w:t>
      </w:r>
      <w:r>
        <w:rPr>
          <w:b/>
          <w:bCs/>
        </w:rPr>
        <w:t xml:space="preserve"> </w:t>
      </w:r>
      <w:r w:rsidRPr="00BE5A69">
        <w:rPr>
          <w:b/>
          <w:bCs/>
        </w:rPr>
        <w:t xml:space="preserve">(Status of </w:t>
      </w:r>
      <w:r w:rsidR="006E0211" w:rsidRPr="00BE5A69">
        <w:rPr>
          <w:b/>
          <w:bCs/>
        </w:rPr>
        <w:t>Closed, Continued,</w:t>
      </w:r>
      <w:r w:rsidRPr="00BE5A69">
        <w:rPr>
          <w:b/>
          <w:bCs/>
        </w:rPr>
        <w:t xml:space="preserve"> and New)</w:t>
      </w:r>
    </w:p>
    <w:p w14:paraId="70AC59D9" w14:textId="77777777" w:rsidR="00727233" w:rsidRDefault="00727233" w:rsidP="00BC6F2A">
      <w:pPr>
        <w:rPr>
          <w:rFonts w:cs="Calibri"/>
        </w:rPr>
      </w:pPr>
    </w:p>
    <w:p w14:paraId="1F651726" w14:textId="674078ED" w:rsidR="00256414" w:rsidRDefault="00D05A52" w:rsidP="00BC6F2A">
      <w:pPr>
        <w:rPr>
          <w:rFonts w:cs="Calibri"/>
        </w:rPr>
      </w:pPr>
      <w:r w:rsidRPr="00DF5406">
        <w:rPr>
          <w:rFonts w:cs="Calibri"/>
        </w:rPr>
        <w:t xml:space="preserve">The State Plan made progress in addressing the previous </w:t>
      </w:r>
      <w:r w:rsidR="00853A50" w:rsidRPr="00DF5406">
        <w:rPr>
          <w:rFonts w:cs="Calibri"/>
        </w:rPr>
        <w:t xml:space="preserve">five </w:t>
      </w:r>
      <w:r w:rsidR="00D65A48">
        <w:rPr>
          <w:rFonts w:cs="Calibri"/>
        </w:rPr>
        <w:t>o</w:t>
      </w:r>
      <w:r w:rsidR="00853A50" w:rsidRPr="00DF5406">
        <w:rPr>
          <w:rFonts w:cs="Calibri"/>
        </w:rPr>
        <w:t xml:space="preserve">bservations from the FY 2021 Comprehensive FAME Report. </w:t>
      </w:r>
      <w:r w:rsidR="00727233">
        <w:rPr>
          <w:rFonts w:cs="Calibri"/>
        </w:rPr>
        <w:t>T</w:t>
      </w:r>
      <w:r w:rsidR="00727233" w:rsidRPr="00727233">
        <w:rPr>
          <w:rFonts w:cs="Calibri"/>
        </w:rPr>
        <w:t>he observations were immediately addressed by IOSHA by providing training, additional supervisor oversight, and mentorship.</w:t>
      </w:r>
      <w:r w:rsidR="00727233">
        <w:rPr>
          <w:rFonts w:cs="Calibri"/>
        </w:rPr>
        <w:t xml:space="preserve">  </w:t>
      </w:r>
      <w:r w:rsidR="00853A50" w:rsidRPr="00DF5406">
        <w:rPr>
          <w:rFonts w:cs="Calibri"/>
        </w:rPr>
        <w:t xml:space="preserve">This follow-up FAME </w:t>
      </w:r>
      <w:r w:rsidRPr="00DF5406">
        <w:rPr>
          <w:rFonts w:cs="Calibri"/>
        </w:rPr>
        <w:t>R</w:t>
      </w:r>
      <w:r w:rsidR="00853A50" w:rsidRPr="00DF5406">
        <w:rPr>
          <w:rFonts w:cs="Calibri"/>
        </w:rPr>
        <w:t xml:space="preserve">eport describes </w:t>
      </w:r>
      <w:r w:rsidR="00C147A5" w:rsidRPr="00DF5406">
        <w:rPr>
          <w:rFonts w:cs="Calibri"/>
        </w:rPr>
        <w:t xml:space="preserve">all </w:t>
      </w:r>
      <w:r w:rsidRPr="00DF5406">
        <w:rPr>
          <w:rFonts w:cs="Calibri"/>
        </w:rPr>
        <w:t xml:space="preserve">five </w:t>
      </w:r>
      <w:r w:rsidR="00D65A48">
        <w:rPr>
          <w:rFonts w:cs="Calibri"/>
        </w:rPr>
        <w:t>o</w:t>
      </w:r>
      <w:r w:rsidRPr="00DF5406">
        <w:rPr>
          <w:rFonts w:cs="Calibri"/>
        </w:rPr>
        <w:t xml:space="preserve">bservations that </w:t>
      </w:r>
      <w:r w:rsidR="00853A50" w:rsidRPr="00DF5406">
        <w:rPr>
          <w:rFonts w:cs="Calibri"/>
        </w:rPr>
        <w:t>are continued from the FY 2021 FAME.</w:t>
      </w:r>
      <w:r w:rsidRPr="00DF5406">
        <w:rPr>
          <w:rFonts w:cs="Calibri"/>
        </w:rPr>
        <w:t xml:space="preserve"> </w:t>
      </w:r>
      <w:r w:rsidR="00256414" w:rsidRPr="00256414">
        <w:rPr>
          <w:rFonts w:cs="Calibri"/>
        </w:rPr>
        <w:t xml:space="preserve">Appendix B describes </w:t>
      </w:r>
      <w:r w:rsidR="00D65A48">
        <w:rPr>
          <w:rFonts w:cs="Calibri"/>
        </w:rPr>
        <w:t>o</w:t>
      </w:r>
      <w:r w:rsidR="00256414" w:rsidRPr="00256414">
        <w:rPr>
          <w:rFonts w:cs="Calibri"/>
        </w:rPr>
        <w:t xml:space="preserve">bservations subject to continued monitoring </w:t>
      </w:r>
      <w:r w:rsidR="00804734">
        <w:rPr>
          <w:rFonts w:cs="Calibri"/>
        </w:rPr>
        <w:t xml:space="preserve">per </w:t>
      </w:r>
      <w:r w:rsidR="00804734" w:rsidRPr="00256414">
        <w:rPr>
          <w:rFonts w:cs="Calibri"/>
        </w:rPr>
        <w:t>the</w:t>
      </w:r>
      <w:r w:rsidR="00256414" w:rsidRPr="00256414">
        <w:rPr>
          <w:rFonts w:cs="Calibri"/>
        </w:rPr>
        <w:t xml:space="preserve"> related </w:t>
      </w:r>
      <w:r w:rsidR="00D65A48">
        <w:rPr>
          <w:rFonts w:cs="Calibri"/>
        </w:rPr>
        <w:t>f</w:t>
      </w:r>
      <w:r w:rsidR="00256414" w:rsidRPr="00256414">
        <w:rPr>
          <w:rFonts w:cs="Calibri"/>
        </w:rPr>
        <w:t xml:space="preserve">ederal </w:t>
      </w:r>
      <w:r w:rsidR="00D65A48">
        <w:rPr>
          <w:rFonts w:cs="Calibri"/>
        </w:rPr>
        <w:t>m</w:t>
      </w:r>
      <w:r w:rsidR="00256414" w:rsidRPr="00256414">
        <w:rPr>
          <w:rFonts w:cs="Calibri"/>
        </w:rPr>
        <w:t xml:space="preserve">onitoring </w:t>
      </w:r>
      <w:r w:rsidR="00D65A48">
        <w:rPr>
          <w:rFonts w:cs="Calibri"/>
        </w:rPr>
        <w:t>p</w:t>
      </w:r>
      <w:r w:rsidR="00256414" w:rsidRPr="00256414">
        <w:rPr>
          <w:rFonts w:cs="Calibri"/>
        </w:rPr>
        <w:t xml:space="preserve">lan.  </w:t>
      </w:r>
    </w:p>
    <w:p w14:paraId="1E82E2CC" w14:textId="77777777" w:rsidR="00256414" w:rsidRDefault="00256414" w:rsidP="00BC6F2A">
      <w:pPr>
        <w:rPr>
          <w:b/>
          <w:bCs/>
        </w:rPr>
      </w:pPr>
    </w:p>
    <w:p w14:paraId="2911D79A" w14:textId="009A03F7" w:rsidR="00947C14" w:rsidRDefault="00947C14" w:rsidP="00BC6F2A">
      <w:pPr>
        <w:rPr>
          <w:b/>
          <w:bCs/>
        </w:rPr>
      </w:pPr>
      <w:r>
        <w:rPr>
          <w:b/>
          <w:bCs/>
        </w:rPr>
        <w:t>Closed Observations</w:t>
      </w:r>
    </w:p>
    <w:p w14:paraId="2F96D85C" w14:textId="42F466AB" w:rsidR="00947C14" w:rsidRPr="00947C14" w:rsidRDefault="00947C14" w:rsidP="00BC6F2A">
      <w:r w:rsidRPr="00947C14">
        <w:t>None</w:t>
      </w:r>
    </w:p>
    <w:p w14:paraId="2D0C820B" w14:textId="77777777" w:rsidR="005C1BFC" w:rsidRPr="001C1E47" w:rsidRDefault="005C1BFC" w:rsidP="00783189">
      <w:pPr>
        <w:widowControl/>
        <w:autoSpaceDE/>
        <w:autoSpaceDN/>
        <w:adjustRightInd/>
        <w:rPr>
          <w:rFonts w:cs="Calibri"/>
          <w:bCs/>
          <w:highlight w:val="yellow"/>
          <w:u w:val="single"/>
        </w:rPr>
      </w:pPr>
    </w:p>
    <w:p w14:paraId="370CCAAD" w14:textId="049E1707" w:rsidR="00602EF3" w:rsidRPr="0061362E" w:rsidRDefault="004E505A" w:rsidP="00783189">
      <w:pPr>
        <w:widowControl/>
        <w:autoSpaceDE/>
        <w:autoSpaceDN/>
        <w:adjustRightInd/>
        <w:rPr>
          <w:rFonts w:cs="Calibri"/>
          <w:b/>
        </w:rPr>
      </w:pPr>
      <w:r w:rsidRPr="0061362E">
        <w:rPr>
          <w:rFonts w:cs="Calibri"/>
          <w:b/>
        </w:rPr>
        <w:t xml:space="preserve">Continued </w:t>
      </w:r>
      <w:r w:rsidR="00054416" w:rsidRPr="0061362E">
        <w:rPr>
          <w:rFonts w:cs="Calibri"/>
          <w:b/>
        </w:rPr>
        <w:t xml:space="preserve">FY </w:t>
      </w:r>
      <w:r w:rsidR="007C0A36" w:rsidRPr="0061362E">
        <w:rPr>
          <w:rFonts w:cs="Calibri"/>
          <w:b/>
        </w:rPr>
        <w:t>20</w:t>
      </w:r>
      <w:r w:rsidR="00185C7D" w:rsidRPr="0061362E">
        <w:rPr>
          <w:rFonts w:cs="Calibri"/>
          <w:b/>
        </w:rPr>
        <w:t>21</w:t>
      </w:r>
      <w:r w:rsidR="007C0A36" w:rsidRPr="0061362E">
        <w:rPr>
          <w:rFonts w:cs="Calibri"/>
          <w:b/>
        </w:rPr>
        <w:t xml:space="preserve"> </w:t>
      </w:r>
      <w:r w:rsidR="00443054" w:rsidRPr="0061362E">
        <w:rPr>
          <w:rFonts w:cs="Calibri"/>
          <w:b/>
        </w:rPr>
        <w:t>Observation</w:t>
      </w:r>
      <w:r w:rsidR="00BC6F2A">
        <w:rPr>
          <w:rFonts w:cs="Calibri"/>
          <w:b/>
        </w:rPr>
        <w:t>s</w:t>
      </w:r>
    </w:p>
    <w:p w14:paraId="7B020E78" w14:textId="77777777" w:rsidR="00453AA2" w:rsidRDefault="00453AA2" w:rsidP="00783189">
      <w:pPr>
        <w:widowControl/>
        <w:autoSpaceDE/>
        <w:autoSpaceDN/>
        <w:adjustRightInd/>
        <w:rPr>
          <w:rFonts w:cs="Calibri"/>
          <w:b/>
          <w:u w:val="single"/>
        </w:rPr>
      </w:pPr>
    </w:p>
    <w:p w14:paraId="05372463" w14:textId="7296E290" w:rsidR="00A47B39" w:rsidRDefault="00A47B39" w:rsidP="00783189">
      <w:pPr>
        <w:widowControl/>
        <w:autoSpaceDE/>
        <w:autoSpaceDN/>
        <w:adjustRightInd/>
        <w:rPr>
          <w:rFonts w:cs="Calibri"/>
          <w:bCs/>
        </w:rPr>
      </w:pPr>
      <w:r w:rsidRPr="00A47B39">
        <w:rPr>
          <w:rFonts w:cs="Calibri"/>
          <w:b/>
        </w:rPr>
        <w:t>Observation</w:t>
      </w:r>
      <w:r>
        <w:rPr>
          <w:rFonts w:cs="Calibri"/>
          <w:b/>
        </w:rPr>
        <w:t xml:space="preserve"> FY 2021-01: </w:t>
      </w:r>
      <w:r w:rsidR="00DC1DF6">
        <w:rPr>
          <w:rFonts w:cs="Calibri"/>
          <w:bCs/>
        </w:rPr>
        <w:t>In FY 2021, s</w:t>
      </w:r>
      <w:r>
        <w:rPr>
          <w:rFonts w:cs="Calibri"/>
          <w:bCs/>
        </w:rPr>
        <w:t>even of 80 (8.75%) case files reviewed</w:t>
      </w:r>
      <w:r w:rsidR="004F1EB5">
        <w:rPr>
          <w:rFonts w:cs="Calibri"/>
          <w:bCs/>
        </w:rPr>
        <w:t xml:space="preserve"> </w:t>
      </w:r>
      <w:r>
        <w:rPr>
          <w:rFonts w:cs="Calibri"/>
          <w:bCs/>
        </w:rPr>
        <w:t>did not contain</w:t>
      </w:r>
      <w:r w:rsidR="004F1EB5">
        <w:rPr>
          <w:rFonts w:cs="Calibri"/>
          <w:bCs/>
        </w:rPr>
        <w:t xml:space="preserve"> b</w:t>
      </w:r>
      <w:r>
        <w:rPr>
          <w:rFonts w:cs="Calibri"/>
          <w:bCs/>
        </w:rPr>
        <w:t>oth the OSHA 300 logs and the OIS generated injury and illness printouts in the case file.</w:t>
      </w:r>
    </w:p>
    <w:p w14:paraId="26C71EFE" w14:textId="6CB39814" w:rsidR="00A47B39" w:rsidRDefault="00A47B39" w:rsidP="00783189">
      <w:pPr>
        <w:widowControl/>
        <w:autoSpaceDE/>
        <w:autoSpaceDN/>
        <w:adjustRightInd/>
        <w:rPr>
          <w:rFonts w:cs="Calibri"/>
          <w:bCs/>
        </w:rPr>
      </w:pPr>
    </w:p>
    <w:p w14:paraId="40DE1D3E" w14:textId="4058D56B" w:rsidR="00A47B39" w:rsidRDefault="00A47B39" w:rsidP="00783189">
      <w:pPr>
        <w:widowControl/>
        <w:autoSpaceDE/>
        <w:autoSpaceDN/>
        <w:adjustRightInd/>
        <w:rPr>
          <w:rFonts w:cs="Calibri"/>
        </w:rPr>
      </w:pPr>
      <w:r w:rsidRPr="00A47B39">
        <w:rPr>
          <w:rFonts w:cs="Calibri"/>
          <w:b/>
        </w:rPr>
        <w:t>Status:</w:t>
      </w:r>
      <w:r>
        <w:rPr>
          <w:rFonts w:cs="Calibri"/>
          <w:b/>
        </w:rPr>
        <w:t xml:space="preserve"> </w:t>
      </w:r>
      <w:r>
        <w:rPr>
          <w:rFonts w:cs="Calibri"/>
          <w:bCs/>
        </w:rPr>
        <w:t xml:space="preserve">A case file review is necessary to gather the facts needed to evaluate performance in relation to this observation. </w:t>
      </w:r>
      <w:r w:rsidR="00DB58F9" w:rsidRPr="001C1E47">
        <w:rPr>
          <w:rFonts w:cs="Calibri"/>
        </w:rPr>
        <w:t>This observation will be a focus of next year’s on-site case file review during the FY 20</w:t>
      </w:r>
      <w:r w:rsidR="00DB58F9">
        <w:rPr>
          <w:rFonts w:cs="Calibri"/>
        </w:rPr>
        <w:t>23</w:t>
      </w:r>
      <w:r w:rsidR="00DB58F9" w:rsidRPr="001C1E47">
        <w:rPr>
          <w:rFonts w:cs="Calibri"/>
        </w:rPr>
        <w:t xml:space="preserve"> comprehensive FAME.</w:t>
      </w:r>
      <w:r w:rsidR="00DB58F9" w:rsidRPr="001C1E47">
        <w:rPr>
          <w:rFonts w:cs="Calibri"/>
          <w:b/>
        </w:rPr>
        <w:t xml:space="preserve"> </w:t>
      </w:r>
      <w:r w:rsidR="00DB58F9" w:rsidRPr="001C1E47">
        <w:rPr>
          <w:rFonts w:cs="Calibri"/>
        </w:rPr>
        <w:t>This observation will be continued.</w:t>
      </w:r>
    </w:p>
    <w:p w14:paraId="2B0052EC" w14:textId="7C4BE498" w:rsidR="00DB58F9" w:rsidRDefault="00DB58F9" w:rsidP="00783189">
      <w:pPr>
        <w:widowControl/>
        <w:autoSpaceDE/>
        <w:autoSpaceDN/>
        <w:adjustRightInd/>
        <w:rPr>
          <w:rFonts w:cs="Calibri"/>
        </w:rPr>
      </w:pPr>
    </w:p>
    <w:p w14:paraId="068DA3BE" w14:textId="217EB39D" w:rsidR="00DB58F9" w:rsidRDefault="00DB58F9" w:rsidP="00783189">
      <w:pPr>
        <w:widowControl/>
        <w:autoSpaceDE/>
        <w:autoSpaceDN/>
        <w:adjustRightInd/>
        <w:rPr>
          <w:rFonts w:cs="Calibri"/>
        </w:rPr>
      </w:pPr>
      <w:r w:rsidRPr="00DB58F9">
        <w:rPr>
          <w:rFonts w:cs="Calibri"/>
          <w:b/>
          <w:bCs/>
        </w:rPr>
        <w:t xml:space="preserve">Observation FY 2021-02: </w:t>
      </w:r>
      <w:r w:rsidR="00DC1DF6">
        <w:rPr>
          <w:rFonts w:cs="Calibri"/>
        </w:rPr>
        <w:t>In FY 2021, s</w:t>
      </w:r>
      <w:r>
        <w:rPr>
          <w:rFonts w:cs="Calibri"/>
        </w:rPr>
        <w:t>ix of 45 (13%</w:t>
      </w:r>
      <w:r w:rsidR="00E018F2">
        <w:rPr>
          <w:rFonts w:cs="Calibri"/>
        </w:rPr>
        <w:t>)</w:t>
      </w:r>
      <w:r>
        <w:rPr>
          <w:rFonts w:cs="Calibri"/>
        </w:rPr>
        <w:t xml:space="preserve"> non-in-compliance case files reviewed did not include adequate employer knowledge in the worksheets to support citations as required by the IACPL 02-00-160, FOM, February 11, 2018, Chapter 4.II.C.4.</w:t>
      </w:r>
    </w:p>
    <w:p w14:paraId="6EFB82F9" w14:textId="7AA0AC24" w:rsidR="00DB58F9" w:rsidRDefault="00DB58F9" w:rsidP="00783189">
      <w:pPr>
        <w:widowControl/>
        <w:autoSpaceDE/>
        <w:autoSpaceDN/>
        <w:adjustRightInd/>
        <w:rPr>
          <w:rFonts w:cs="Calibri"/>
        </w:rPr>
      </w:pPr>
    </w:p>
    <w:p w14:paraId="39925A61" w14:textId="77777777" w:rsidR="00DB58F9" w:rsidRDefault="00DB58F9" w:rsidP="00DB58F9">
      <w:pPr>
        <w:widowControl/>
        <w:autoSpaceDE/>
        <w:autoSpaceDN/>
        <w:adjustRightInd/>
        <w:rPr>
          <w:rFonts w:cs="Calibri"/>
        </w:rPr>
      </w:pPr>
      <w:r w:rsidRPr="00A47B39">
        <w:rPr>
          <w:rFonts w:cs="Calibri"/>
          <w:b/>
        </w:rPr>
        <w:t>Status:</w:t>
      </w:r>
      <w:r>
        <w:rPr>
          <w:rFonts w:cs="Calibri"/>
          <w:b/>
        </w:rPr>
        <w:t xml:space="preserve"> </w:t>
      </w:r>
      <w:r>
        <w:rPr>
          <w:rFonts w:cs="Calibri"/>
          <w:bCs/>
        </w:rPr>
        <w:t xml:space="preserve">A case file review is necessary to gather the facts needed to evaluate performance in relation to this observation. </w:t>
      </w:r>
      <w:r w:rsidRPr="001C1E47">
        <w:rPr>
          <w:rFonts w:cs="Calibri"/>
        </w:rPr>
        <w:t>This observation will be a focus of next year’s on-site case file review during the FY 20</w:t>
      </w:r>
      <w:r>
        <w:rPr>
          <w:rFonts w:cs="Calibri"/>
        </w:rPr>
        <w:t>23</w:t>
      </w:r>
      <w:r w:rsidRPr="001C1E47">
        <w:rPr>
          <w:rFonts w:cs="Calibri"/>
        </w:rPr>
        <w:t xml:space="preserve"> comprehensive FAME.</w:t>
      </w:r>
      <w:r w:rsidRPr="001C1E47">
        <w:rPr>
          <w:rFonts w:cs="Calibri"/>
          <w:b/>
        </w:rPr>
        <w:t xml:space="preserve"> </w:t>
      </w:r>
      <w:r w:rsidRPr="001C1E47">
        <w:rPr>
          <w:rFonts w:cs="Calibri"/>
        </w:rPr>
        <w:t>This observation will be continued.</w:t>
      </w:r>
    </w:p>
    <w:p w14:paraId="00F8D333" w14:textId="4DC03AA3" w:rsidR="00DB58F9" w:rsidRDefault="00DB58F9" w:rsidP="00783189">
      <w:pPr>
        <w:widowControl/>
        <w:autoSpaceDE/>
        <w:autoSpaceDN/>
        <w:adjustRightInd/>
        <w:rPr>
          <w:rFonts w:cs="Calibri"/>
        </w:rPr>
      </w:pPr>
    </w:p>
    <w:p w14:paraId="629663D7" w14:textId="297D69C2" w:rsidR="00DB58F9" w:rsidRDefault="00DB58F9" w:rsidP="00783189">
      <w:pPr>
        <w:widowControl/>
        <w:autoSpaceDE/>
        <w:autoSpaceDN/>
        <w:adjustRightInd/>
        <w:rPr>
          <w:rFonts w:cs="Calibri"/>
        </w:rPr>
      </w:pPr>
      <w:r w:rsidRPr="00DB58F9">
        <w:rPr>
          <w:rFonts w:cs="Calibri"/>
          <w:b/>
          <w:bCs/>
        </w:rPr>
        <w:t>Observation FY</w:t>
      </w:r>
      <w:r w:rsidR="004137DE">
        <w:rPr>
          <w:rFonts w:cs="Calibri"/>
          <w:b/>
          <w:bCs/>
        </w:rPr>
        <w:t xml:space="preserve"> </w:t>
      </w:r>
      <w:r w:rsidRPr="00DB58F9">
        <w:rPr>
          <w:rFonts w:cs="Calibri"/>
          <w:b/>
          <w:bCs/>
        </w:rPr>
        <w:t>2021-03</w:t>
      </w:r>
      <w:r w:rsidRPr="00B81E74">
        <w:rPr>
          <w:rFonts w:cs="Calibri"/>
          <w:b/>
          <w:bCs/>
        </w:rPr>
        <w:t>(FY</w:t>
      </w:r>
      <w:r w:rsidR="004137DE" w:rsidRPr="00B81E74">
        <w:rPr>
          <w:rFonts w:cs="Calibri"/>
          <w:b/>
          <w:bCs/>
        </w:rPr>
        <w:t xml:space="preserve"> </w:t>
      </w:r>
      <w:r w:rsidRPr="00B81E74">
        <w:rPr>
          <w:rFonts w:cs="Calibri"/>
          <w:b/>
          <w:bCs/>
        </w:rPr>
        <w:t>2020-03)</w:t>
      </w:r>
      <w:r w:rsidR="00DC1DF6">
        <w:rPr>
          <w:rFonts w:cs="Calibri"/>
          <w:b/>
          <w:bCs/>
        </w:rPr>
        <w:t xml:space="preserve">: </w:t>
      </w:r>
      <w:r w:rsidR="00DC1DF6">
        <w:rPr>
          <w:rFonts w:cs="Calibri"/>
        </w:rPr>
        <w:t>In FY 2021,</w:t>
      </w:r>
      <w:r w:rsidR="007A7A2C">
        <w:rPr>
          <w:rFonts w:cs="Calibri"/>
        </w:rPr>
        <w:t xml:space="preserve"> </w:t>
      </w:r>
      <w:r w:rsidR="00DC1DF6">
        <w:rPr>
          <w:rFonts w:cs="Calibri"/>
        </w:rPr>
        <w:t>f</w:t>
      </w:r>
      <w:r>
        <w:rPr>
          <w:rFonts w:cs="Calibri"/>
        </w:rPr>
        <w:t>ive of the 45 (11%) non-in-compliance case files did not include adequate severity and probability justifications in the worksheets.</w:t>
      </w:r>
    </w:p>
    <w:p w14:paraId="6EE1293A" w14:textId="68825B5B" w:rsidR="00DB58F9" w:rsidRDefault="00DB58F9" w:rsidP="00783189">
      <w:pPr>
        <w:widowControl/>
        <w:autoSpaceDE/>
        <w:autoSpaceDN/>
        <w:adjustRightInd/>
        <w:rPr>
          <w:rFonts w:cs="Calibri"/>
        </w:rPr>
      </w:pPr>
    </w:p>
    <w:p w14:paraId="42A9EC5C" w14:textId="77777777" w:rsidR="00DB58F9" w:rsidRDefault="00DB58F9" w:rsidP="00DB58F9">
      <w:pPr>
        <w:widowControl/>
        <w:autoSpaceDE/>
        <w:autoSpaceDN/>
        <w:adjustRightInd/>
        <w:rPr>
          <w:rFonts w:cs="Calibri"/>
        </w:rPr>
      </w:pPr>
      <w:r w:rsidRPr="00A47B39">
        <w:rPr>
          <w:rFonts w:cs="Calibri"/>
          <w:b/>
        </w:rPr>
        <w:t>Status:</w:t>
      </w:r>
      <w:r>
        <w:rPr>
          <w:rFonts w:cs="Calibri"/>
          <w:b/>
        </w:rPr>
        <w:t xml:space="preserve"> </w:t>
      </w:r>
      <w:r>
        <w:rPr>
          <w:rFonts w:cs="Calibri"/>
          <w:bCs/>
        </w:rPr>
        <w:t xml:space="preserve">A case file review is necessary to gather the facts needed to evaluate performance in relation to this observation. </w:t>
      </w:r>
      <w:r w:rsidRPr="001C1E47">
        <w:rPr>
          <w:rFonts w:cs="Calibri"/>
        </w:rPr>
        <w:t>This observation will be a focus of next year’s on-site case file review during the FY 20</w:t>
      </w:r>
      <w:r>
        <w:rPr>
          <w:rFonts w:cs="Calibri"/>
        </w:rPr>
        <w:t>23</w:t>
      </w:r>
      <w:r w:rsidRPr="001C1E47">
        <w:rPr>
          <w:rFonts w:cs="Calibri"/>
        </w:rPr>
        <w:t xml:space="preserve"> comprehensive FAME.</w:t>
      </w:r>
      <w:r w:rsidRPr="001C1E47">
        <w:rPr>
          <w:rFonts w:cs="Calibri"/>
          <w:b/>
        </w:rPr>
        <w:t xml:space="preserve"> </w:t>
      </w:r>
      <w:r w:rsidRPr="001C1E47">
        <w:rPr>
          <w:rFonts w:cs="Calibri"/>
        </w:rPr>
        <w:t>This observation will be continued.</w:t>
      </w:r>
    </w:p>
    <w:p w14:paraId="6BF7A239" w14:textId="34AFC391" w:rsidR="00DB58F9" w:rsidRDefault="00DB58F9" w:rsidP="00783189">
      <w:pPr>
        <w:widowControl/>
        <w:autoSpaceDE/>
        <w:autoSpaceDN/>
        <w:adjustRightInd/>
        <w:rPr>
          <w:rFonts w:cs="Calibri"/>
        </w:rPr>
      </w:pPr>
    </w:p>
    <w:p w14:paraId="55EE6BBD" w14:textId="4B4F1237" w:rsidR="00DB58F9" w:rsidRDefault="00DB58F9" w:rsidP="00783189">
      <w:pPr>
        <w:widowControl/>
        <w:autoSpaceDE/>
        <w:autoSpaceDN/>
        <w:adjustRightInd/>
        <w:rPr>
          <w:rFonts w:cs="Calibri"/>
        </w:rPr>
      </w:pPr>
      <w:r w:rsidRPr="00DB58F9">
        <w:rPr>
          <w:rFonts w:cs="Calibri"/>
          <w:b/>
          <w:bCs/>
        </w:rPr>
        <w:lastRenderedPageBreak/>
        <w:t>Observation FY</w:t>
      </w:r>
      <w:r w:rsidR="004137DE">
        <w:rPr>
          <w:rFonts w:cs="Calibri"/>
          <w:b/>
          <w:bCs/>
        </w:rPr>
        <w:t xml:space="preserve"> </w:t>
      </w:r>
      <w:r w:rsidRPr="00DB58F9">
        <w:rPr>
          <w:rFonts w:cs="Calibri"/>
          <w:b/>
          <w:bCs/>
        </w:rPr>
        <w:t>2021-04:</w:t>
      </w:r>
      <w:r>
        <w:rPr>
          <w:rFonts w:cs="Calibri"/>
          <w:b/>
          <w:bCs/>
        </w:rPr>
        <w:t xml:space="preserve"> </w:t>
      </w:r>
      <w:r w:rsidR="007A7A2C">
        <w:rPr>
          <w:rFonts w:cs="Calibri"/>
        </w:rPr>
        <w:t>In FY 2021, s</w:t>
      </w:r>
      <w:r>
        <w:rPr>
          <w:rFonts w:cs="Calibri"/>
        </w:rPr>
        <w:t xml:space="preserve">everal files reviewed did not </w:t>
      </w:r>
      <w:r w:rsidR="00804734">
        <w:rPr>
          <w:rFonts w:cs="Calibri"/>
        </w:rPr>
        <w:t>contain last</w:t>
      </w:r>
      <w:r>
        <w:rPr>
          <w:rFonts w:cs="Calibri"/>
        </w:rPr>
        <w:t xml:space="preserve"> year’s self-evaluation reports from VPP participants. CSP 03-01-005 Section VII</w:t>
      </w:r>
      <w:r w:rsidR="00F333D4">
        <w:rPr>
          <w:rFonts w:cs="Calibri"/>
        </w:rPr>
        <w:t>.L.7 states that self-evaluation reports should be maintained in the participant’s file.</w:t>
      </w:r>
    </w:p>
    <w:p w14:paraId="7619D832" w14:textId="1EAE0CEC" w:rsidR="00F333D4" w:rsidRDefault="00F333D4" w:rsidP="00783189">
      <w:pPr>
        <w:widowControl/>
        <w:autoSpaceDE/>
        <w:autoSpaceDN/>
        <w:adjustRightInd/>
        <w:rPr>
          <w:rFonts w:cs="Calibri"/>
        </w:rPr>
      </w:pPr>
    </w:p>
    <w:p w14:paraId="53794F4F" w14:textId="77777777" w:rsidR="00F333D4" w:rsidRDefault="00F333D4" w:rsidP="00F333D4">
      <w:pPr>
        <w:widowControl/>
        <w:autoSpaceDE/>
        <w:autoSpaceDN/>
        <w:adjustRightInd/>
        <w:rPr>
          <w:rFonts w:cs="Calibri"/>
        </w:rPr>
      </w:pPr>
      <w:r w:rsidRPr="00A47B39">
        <w:rPr>
          <w:rFonts w:cs="Calibri"/>
          <w:b/>
        </w:rPr>
        <w:t>Status:</w:t>
      </w:r>
      <w:r>
        <w:rPr>
          <w:rFonts w:cs="Calibri"/>
          <w:b/>
        </w:rPr>
        <w:t xml:space="preserve"> </w:t>
      </w:r>
      <w:r>
        <w:rPr>
          <w:rFonts w:cs="Calibri"/>
          <w:bCs/>
        </w:rPr>
        <w:t xml:space="preserve">A case file review is necessary to gather the facts needed to evaluate performance in relation to this observation. </w:t>
      </w:r>
      <w:r w:rsidRPr="001C1E47">
        <w:rPr>
          <w:rFonts w:cs="Calibri"/>
        </w:rPr>
        <w:t>This observation will be a focus of next year’s on-site case file review during the FY 20</w:t>
      </w:r>
      <w:r>
        <w:rPr>
          <w:rFonts w:cs="Calibri"/>
        </w:rPr>
        <w:t>23</w:t>
      </w:r>
      <w:r w:rsidRPr="001C1E47">
        <w:rPr>
          <w:rFonts w:cs="Calibri"/>
        </w:rPr>
        <w:t xml:space="preserve"> comprehensive FAME.</w:t>
      </w:r>
      <w:r w:rsidRPr="001C1E47">
        <w:rPr>
          <w:rFonts w:cs="Calibri"/>
          <w:b/>
        </w:rPr>
        <w:t xml:space="preserve"> </w:t>
      </w:r>
      <w:r w:rsidRPr="001C1E47">
        <w:rPr>
          <w:rFonts w:cs="Calibri"/>
        </w:rPr>
        <w:t>This observation will be continued.</w:t>
      </w:r>
    </w:p>
    <w:p w14:paraId="16328DE2" w14:textId="524B56B7" w:rsidR="00F333D4" w:rsidRDefault="00F333D4" w:rsidP="00783189">
      <w:pPr>
        <w:widowControl/>
        <w:autoSpaceDE/>
        <w:autoSpaceDN/>
        <w:adjustRightInd/>
        <w:rPr>
          <w:rFonts w:cs="Calibri"/>
        </w:rPr>
      </w:pPr>
    </w:p>
    <w:p w14:paraId="2F4A855F" w14:textId="337AA08C" w:rsidR="00F333D4" w:rsidRDefault="00F333D4" w:rsidP="00783189">
      <w:pPr>
        <w:widowControl/>
        <w:autoSpaceDE/>
        <w:autoSpaceDN/>
        <w:adjustRightInd/>
        <w:rPr>
          <w:rFonts w:cs="Calibri"/>
        </w:rPr>
      </w:pPr>
      <w:r w:rsidRPr="00F333D4">
        <w:rPr>
          <w:rFonts w:cs="Calibri"/>
          <w:b/>
          <w:bCs/>
        </w:rPr>
        <w:t>Observation FY</w:t>
      </w:r>
      <w:r w:rsidR="004137DE">
        <w:rPr>
          <w:rFonts w:cs="Calibri"/>
          <w:b/>
          <w:bCs/>
        </w:rPr>
        <w:t xml:space="preserve"> </w:t>
      </w:r>
      <w:r w:rsidR="00DF5406">
        <w:rPr>
          <w:rFonts w:cs="Calibri"/>
          <w:b/>
          <w:bCs/>
        </w:rPr>
        <w:t>20</w:t>
      </w:r>
      <w:r w:rsidRPr="00F333D4">
        <w:rPr>
          <w:rFonts w:cs="Calibri"/>
          <w:b/>
          <w:bCs/>
        </w:rPr>
        <w:t>21-05:</w:t>
      </w:r>
      <w:r w:rsidR="007A7A2C">
        <w:rPr>
          <w:rFonts w:cs="Calibri"/>
          <w:b/>
          <w:bCs/>
        </w:rPr>
        <w:t xml:space="preserve"> </w:t>
      </w:r>
      <w:r w:rsidR="007A7A2C" w:rsidRPr="007A7A2C">
        <w:rPr>
          <w:rFonts w:cs="Calibri"/>
        </w:rPr>
        <w:t>In FY 2021,</w:t>
      </w:r>
      <w:r w:rsidR="007A7A2C">
        <w:rPr>
          <w:rFonts w:cs="Calibri"/>
        </w:rPr>
        <w:t xml:space="preserve"> f</w:t>
      </w:r>
      <w:r>
        <w:rPr>
          <w:rFonts w:cs="Calibri"/>
        </w:rPr>
        <w:t xml:space="preserve">inal communication documents showing completed </w:t>
      </w:r>
      <w:r w:rsidR="009314EE">
        <w:rPr>
          <w:rFonts w:cs="Calibri"/>
        </w:rPr>
        <w:t>a</w:t>
      </w:r>
      <w:r>
        <w:rPr>
          <w:rFonts w:cs="Calibri"/>
        </w:rPr>
        <w:t xml:space="preserve">udit </w:t>
      </w:r>
      <w:r w:rsidR="009314EE">
        <w:rPr>
          <w:rFonts w:cs="Calibri"/>
        </w:rPr>
        <w:t>i</w:t>
      </w:r>
      <w:r>
        <w:rPr>
          <w:rFonts w:cs="Calibri"/>
        </w:rPr>
        <w:t xml:space="preserve">tem </w:t>
      </w:r>
      <w:r w:rsidR="00D65A48">
        <w:rPr>
          <w:rFonts w:cs="Calibri"/>
        </w:rPr>
        <w:t>f</w:t>
      </w:r>
      <w:r w:rsidR="00CD7077">
        <w:rPr>
          <w:rFonts w:cs="Calibri"/>
        </w:rPr>
        <w:t>inding</w:t>
      </w:r>
      <w:r>
        <w:rPr>
          <w:rFonts w:cs="Calibri"/>
        </w:rPr>
        <w:t>s between IOSHA and the VPP participant were omitted from the file.</w:t>
      </w:r>
    </w:p>
    <w:p w14:paraId="46B068E0" w14:textId="5BA65F52" w:rsidR="00F333D4" w:rsidRDefault="00F333D4" w:rsidP="00783189">
      <w:pPr>
        <w:widowControl/>
        <w:autoSpaceDE/>
        <w:autoSpaceDN/>
        <w:adjustRightInd/>
        <w:rPr>
          <w:rFonts w:cs="Calibri"/>
        </w:rPr>
      </w:pPr>
    </w:p>
    <w:p w14:paraId="32CEB0B9" w14:textId="77777777" w:rsidR="00F333D4" w:rsidRDefault="00F333D4" w:rsidP="00F333D4">
      <w:pPr>
        <w:widowControl/>
        <w:autoSpaceDE/>
        <w:autoSpaceDN/>
        <w:adjustRightInd/>
        <w:rPr>
          <w:rFonts w:cs="Calibri"/>
        </w:rPr>
      </w:pPr>
      <w:r w:rsidRPr="00A47B39">
        <w:rPr>
          <w:rFonts w:cs="Calibri"/>
          <w:b/>
        </w:rPr>
        <w:t>Status:</w:t>
      </w:r>
      <w:r>
        <w:rPr>
          <w:rFonts w:cs="Calibri"/>
          <w:b/>
        </w:rPr>
        <w:t xml:space="preserve"> </w:t>
      </w:r>
      <w:r>
        <w:rPr>
          <w:rFonts w:cs="Calibri"/>
          <w:bCs/>
        </w:rPr>
        <w:t xml:space="preserve">A case file review is necessary to gather the facts needed to evaluate performance in relation to this observation. </w:t>
      </w:r>
      <w:r w:rsidRPr="001C1E47">
        <w:rPr>
          <w:rFonts w:cs="Calibri"/>
        </w:rPr>
        <w:t>This observation will be a focus of next year’s on-site case file review during the FY 20</w:t>
      </w:r>
      <w:r>
        <w:rPr>
          <w:rFonts w:cs="Calibri"/>
        </w:rPr>
        <w:t>23</w:t>
      </w:r>
      <w:r w:rsidRPr="001C1E47">
        <w:rPr>
          <w:rFonts w:cs="Calibri"/>
        </w:rPr>
        <w:t xml:space="preserve"> comprehensive FAME.</w:t>
      </w:r>
      <w:r w:rsidRPr="001C1E47">
        <w:rPr>
          <w:rFonts w:cs="Calibri"/>
          <w:b/>
        </w:rPr>
        <w:t xml:space="preserve"> </w:t>
      </w:r>
      <w:r w:rsidRPr="001C1E47">
        <w:rPr>
          <w:rFonts w:cs="Calibri"/>
        </w:rPr>
        <w:t>This observation will be continued.</w:t>
      </w:r>
    </w:p>
    <w:p w14:paraId="18A3BFBB" w14:textId="544B95D7" w:rsidR="00F333D4" w:rsidRDefault="00F333D4" w:rsidP="00783189">
      <w:pPr>
        <w:widowControl/>
        <w:autoSpaceDE/>
        <w:autoSpaceDN/>
        <w:adjustRightInd/>
        <w:rPr>
          <w:rFonts w:cs="Calibri"/>
        </w:rPr>
      </w:pPr>
    </w:p>
    <w:p w14:paraId="72C03F15" w14:textId="7523F280" w:rsidR="006E0211" w:rsidRDefault="006E0211" w:rsidP="00783189">
      <w:pPr>
        <w:widowControl/>
        <w:autoSpaceDE/>
        <w:autoSpaceDN/>
        <w:adjustRightInd/>
        <w:rPr>
          <w:rFonts w:cs="Calibri"/>
          <w:b/>
          <w:bCs/>
        </w:rPr>
      </w:pPr>
      <w:r w:rsidRPr="006E0211">
        <w:rPr>
          <w:rFonts w:cs="Calibri"/>
          <w:b/>
          <w:bCs/>
        </w:rPr>
        <w:t xml:space="preserve">New </w:t>
      </w:r>
      <w:r w:rsidR="00D05A52">
        <w:rPr>
          <w:rFonts w:cs="Calibri"/>
          <w:b/>
          <w:bCs/>
        </w:rPr>
        <w:t xml:space="preserve">FY 2022 </w:t>
      </w:r>
      <w:r w:rsidRPr="006E0211">
        <w:rPr>
          <w:rFonts w:cs="Calibri"/>
          <w:b/>
          <w:bCs/>
        </w:rPr>
        <w:t>Observations</w:t>
      </w:r>
    </w:p>
    <w:p w14:paraId="7F1B0285" w14:textId="77777777" w:rsidR="007A7A2C" w:rsidRDefault="007A7A2C" w:rsidP="00783189">
      <w:pPr>
        <w:widowControl/>
        <w:autoSpaceDE/>
        <w:autoSpaceDN/>
        <w:adjustRightInd/>
        <w:rPr>
          <w:rFonts w:cs="Calibri"/>
          <w:b/>
          <w:bCs/>
        </w:rPr>
      </w:pPr>
    </w:p>
    <w:p w14:paraId="7235A807" w14:textId="04D01F75" w:rsidR="006E0211" w:rsidRDefault="006E0211" w:rsidP="00783189">
      <w:pPr>
        <w:widowControl/>
        <w:autoSpaceDE/>
        <w:autoSpaceDN/>
        <w:adjustRightInd/>
        <w:rPr>
          <w:rFonts w:cs="Calibri"/>
        </w:rPr>
      </w:pPr>
      <w:r>
        <w:rPr>
          <w:rFonts w:cs="Calibri"/>
        </w:rPr>
        <w:t>None</w:t>
      </w:r>
    </w:p>
    <w:p w14:paraId="3B828F9D" w14:textId="6C45BA5D" w:rsidR="00F132A8" w:rsidRPr="0061362E" w:rsidRDefault="00F132A8" w:rsidP="00412965">
      <w:pPr>
        <w:pStyle w:val="Heading3"/>
      </w:pPr>
      <w:bookmarkStart w:id="30" w:name="_Toc118900177"/>
      <w:bookmarkStart w:id="31" w:name="_Toc118905016"/>
      <w:bookmarkStart w:id="32" w:name="_Toc129699008"/>
      <w:r w:rsidRPr="0061362E">
        <w:t>State Activity Mandated Measures (SAMM)</w:t>
      </w:r>
      <w:r w:rsidR="00A243D6" w:rsidRPr="0061362E">
        <w:t xml:space="preserve"> Highlights</w:t>
      </w:r>
      <w:bookmarkEnd w:id="30"/>
      <w:bookmarkEnd w:id="31"/>
      <w:bookmarkEnd w:id="32"/>
    </w:p>
    <w:p w14:paraId="1ACC4DE2" w14:textId="77777777" w:rsidR="00F132A8" w:rsidRPr="001C1E47" w:rsidRDefault="00F132A8" w:rsidP="00783189">
      <w:pPr>
        <w:widowControl/>
        <w:autoSpaceDE/>
        <w:autoSpaceDN/>
        <w:adjustRightInd/>
        <w:ind w:left="720"/>
        <w:contextualSpacing/>
        <w:rPr>
          <w:rFonts w:cs="Calibri"/>
          <w:sz w:val="28"/>
          <w:szCs w:val="28"/>
        </w:rPr>
      </w:pPr>
    </w:p>
    <w:p w14:paraId="75AF2501" w14:textId="43DFD6B4" w:rsidR="00EC7600" w:rsidRDefault="00EC7600" w:rsidP="00783189">
      <w:pPr>
        <w:widowControl/>
        <w:autoSpaceDE/>
        <w:adjustRightInd/>
        <w:rPr>
          <w:rFonts w:cs="Calibri"/>
        </w:rPr>
      </w:pPr>
      <w:r w:rsidRPr="001C1E47">
        <w:rPr>
          <w:rFonts w:cs="Calibri"/>
        </w:rPr>
        <w:t xml:space="preserve">Each SAMM has an agreed upon </w:t>
      </w:r>
      <w:r w:rsidR="00D7654E" w:rsidRPr="001C1E47">
        <w:rPr>
          <w:rFonts w:cs="Calibri"/>
        </w:rPr>
        <w:t>FRL</w:t>
      </w:r>
      <w:r w:rsidR="00D65A48">
        <w:rPr>
          <w:rFonts w:cs="Calibri"/>
        </w:rPr>
        <w:t>,</w:t>
      </w:r>
      <w:r w:rsidRPr="001C1E47">
        <w:rPr>
          <w:rFonts w:cs="Calibri"/>
        </w:rPr>
        <w:t xml:space="preserve"> which can be either a single number</w:t>
      </w:r>
      <w:r w:rsidR="004F1EB5">
        <w:rPr>
          <w:rFonts w:cs="Calibri"/>
        </w:rPr>
        <w:t xml:space="preserve"> </w:t>
      </w:r>
      <w:r w:rsidRPr="001C1E47">
        <w:rPr>
          <w:rFonts w:cs="Calibri"/>
        </w:rPr>
        <w:t xml:space="preserve">or </w:t>
      </w:r>
      <w:r w:rsidR="00D7654E" w:rsidRPr="001C1E47">
        <w:rPr>
          <w:rFonts w:cs="Calibri"/>
        </w:rPr>
        <w:t xml:space="preserve">a </w:t>
      </w:r>
      <w:r w:rsidRPr="001C1E47">
        <w:rPr>
          <w:rFonts w:cs="Calibri"/>
        </w:rPr>
        <w:t xml:space="preserve">range of numbers above and below the national average.  State Plan SAMM data that falls outside the FRL triggers a closer look at the underlying performance of the mandatory activity.  </w:t>
      </w:r>
      <w:r w:rsidR="005D1F76" w:rsidRPr="001C1E47">
        <w:rPr>
          <w:rFonts w:cs="Calibri"/>
        </w:rPr>
        <w:t>Appendix D presents the State Plan’s FY 20</w:t>
      </w:r>
      <w:r w:rsidR="00476C08">
        <w:rPr>
          <w:rFonts w:cs="Calibri"/>
        </w:rPr>
        <w:t>22</w:t>
      </w:r>
      <w:r w:rsidR="005D1F76" w:rsidRPr="001C1E47">
        <w:rPr>
          <w:rFonts w:cs="Calibri"/>
        </w:rPr>
        <w:t xml:space="preserve"> State Activity Mandated Measures (SAMM) Report and includes the FRLs for each measure.</w:t>
      </w:r>
    </w:p>
    <w:p w14:paraId="59C82A09" w14:textId="6F017734" w:rsidR="008423D2" w:rsidRDefault="008423D2" w:rsidP="00783189">
      <w:pPr>
        <w:widowControl/>
        <w:autoSpaceDE/>
        <w:adjustRightInd/>
        <w:rPr>
          <w:rFonts w:cs="Calibri"/>
        </w:rPr>
      </w:pPr>
    </w:p>
    <w:p w14:paraId="5A85E1B6" w14:textId="25E8D571" w:rsidR="008423D2" w:rsidRPr="00DB278E" w:rsidRDefault="008423D2" w:rsidP="008423D2">
      <w:pPr>
        <w:widowControl/>
        <w:autoSpaceDE/>
        <w:adjustRightInd/>
        <w:rPr>
          <w:rFonts w:cs="Calibri"/>
        </w:rPr>
      </w:pPr>
      <w:r w:rsidRPr="00DB278E">
        <w:rPr>
          <w:rFonts w:cs="Calibri"/>
        </w:rPr>
        <w:t xml:space="preserve">It should be noted that OSHA is in the final stages of transitioning from the </w:t>
      </w:r>
      <w:r w:rsidR="00D65A48">
        <w:rPr>
          <w:rFonts w:cs="Calibri"/>
        </w:rPr>
        <w:t>w</w:t>
      </w:r>
      <w:r w:rsidRPr="00DB278E">
        <w:rPr>
          <w:rFonts w:cs="Calibri"/>
        </w:rPr>
        <w:t xml:space="preserve">histleblower </w:t>
      </w:r>
      <w:r w:rsidR="00D65A48">
        <w:rPr>
          <w:rFonts w:cs="Calibri"/>
        </w:rPr>
        <w:t>a</w:t>
      </w:r>
      <w:r w:rsidRPr="00DB278E">
        <w:rPr>
          <w:rFonts w:cs="Calibri"/>
        </w:rPr>
        <w:t xml:space="preserve">pplication in the OSHA IT Support System (OITSS), a legacy data system, to the </w:t>
      </w:r>
      <w:r w:rsidR="00D65A48">
        <w:rPr>
          <w:rFonts w:cs="Calibri"/>
        </w:rPr>
        <w:t>w</w:t>
      </w:r>
      <w:r w:rsidRPr="00DB278E">
        <w:rPr>
          <w:rFonts w:cs="Calibri"/>
        </w:rPr>
        <w:t xml:space="preserve">histleblower module in OIS, a modern data system.  For FY 2022, a portion of the State Plan whistleblower data was recorded </w:t>
      </w:r>
      <w:r w:rsidR="00D65A48">
        <w:rPr>
          <w:rFonts w:cs="Calibri"/>
        </w:rPr>
        <w:t xml:space="preserve">in </w:t>
      </w:r>
      <w:r w:rsidRPr="00DB278E">
        <w:rPr>
          <w:rFonts w:cs="Calibri"/>
        </w:rPr>
        <w:t>OITSS, and a portion was captured in OIS.   OSHA encountered challenges in combining the report that generates SAMM 14, 15, and 16 from both systems.  As such, OSHA will not be relying on SAMMs 14, 15, or 16 in their evaluation of the State Plan</w:t>
      </w:r>
      <w:r w:rsidR="00D65A48">
        <w:rPr>
          <w:rFonts w:cs="Calibri"/>
        </w:rPr>
        <w:t>’</w:t>
      </w:r>
      <w:r w:rsidRPr="00DB278E">
        <w:rPr>
          <w:rFonts w:cs="Calibri"/>
        </w:rPr>
        <w:t>s whistleblower programs for FY 2022.</w:t>
      </w:r>
    </w:p>
    <w:p w14:paraId="26470139" w14:textId="51796715" w:rsidR="008423D2" w:rsidRDefault="008423D2" w:rsidP="00783189">
      <w:pPr>
        <w:widowControl/>
        <w:autoSpaceDE/>
        <w:adjustRightInd/>
        <w:rPr>
          <w:rFonts w:cs="Calibri"/>
        </w:rPr>
      </w:pPr>
    </w:p>
    <w:p w14:paraId="397470C3" w14:textId="1CA3C8A3" w:rsidR="008423D2" w:rsidRDefault="008423D2" w:rsidP="00783189">
      <w:pPr>
        <w:widowControl/>
        <w:autoSpaceDE/>
        <w:adjustRightInd/>
        <w:rPr>
          <w:rFonts w:cs="Calibri"/>
        </w:rPr>
      </w:pPr>
      <w:r>
        <w:rPr>
          <w:rFonts w:cs="Calibri"/>
        </w:rPr>
        <w:t>The State Plan was outside the FRL on the following SAMMs:</w:t>
      </w:r>
    </w:p>
    <w:p w14:paraId="552854A6" w14:textId="77777777" w:rsidR="009C31FB" w:rsidRPr="001C1E47" w:rsidRDefault="009C31FB" w:rsidP="00783189">
      <w:pPr>
        <w:widowControl/>
        <w:autoSpaceDE/>
        <w:adjustRightInd/>
        <w:rPr>
          <w:rFonts w:cs="Calibri"/>
        </w:rPr>
      </w:pPr>
    </w:p>
    <w:p w14:paraId="51D20C8E" w14:textId="2052A901" w:rsidR="00EC3C09" w:rsidRPr="00682E21" w:rsidRDefault="00EC3C09" w:rsidP="00EC3C09">
      <w:pPr>
        <w:widowControl/>
        <w:autoSpaceDE/>
        <w:adjustRightInd/>
        <w:rPr>
          <w:rFonts w:cs="Calibri"/>
          <w:b/>
        </w:rPr>
      </w:pPr>
      <w:r w:rsidRPr="00682E21">
        <w:rPr>
          <w:rFonts w:cs="Calibri"/>
          <w:b/>
        </w:rPr>
        <w:t>SAMM 5</w:t>
      </w:r>
      <w:r w:rsidR="00CF31C7" w:rsidRPr="00682E21">
        <w:rPr>
          <w:rFonts w:cs="Calibri"/>
          <w:b/>
        </w:rPr>
        <w:t>b</w:t>
      </w:r>
      <w:r w:rsidRPr="00682E21">
        <w:rPr>
          <w:rFonts w:cs="Calibri"/>
          <w:b/>
        </w:rPr>
        <w:t xml:space="preserve"> - Average number of violations per inspection with violations by violation type</w:t>
      </w:r>
      <w:r w:rsidR="00CF31C7" w:rsidRPr="00682E21">
        <w:rPr>
          <w:rFonts w:cs="Calibri"/>
          <w:b/>
        </w:rPr>
        <w:t xml:space="preserve"> (other)</w:t>
      </w:r>
    </w:p>
    <w:p w14:paraId="3FA85286" w14:textId="77777777" w:rsidR="003D3984" w:rsidRPr="00682E21" w:rsidRDefault="003D3984" w:rsidP="00EC3C09">
      <w:pPr>
        <w:widowControl/>
        <w:autoSpaceDE/>
        <w:adjustRightInd/>
        <w:rPr>
          <w:rFonts w:cs="Calibri"/>
          <w:bCs/>
        </w:rPr>
      </w:pPr>
    </w:p>
    <w:p w14:paraId="61A26EDF" w14:textId="437EF9C5" w:rsidR="00917C61" w:rsidRPr="00682E21" w:rsidRDefault="00EC3C09" w:rsidP="00917C61">
      <w:pPr>
        <w:widowControl/>
        <w:autoSpaceDE/>
        <w:adjustRightInd/>
        <w:rPr>
          <w:rFonts w:cs="Calibri"/>
          <w:bCs/>
        </w:rPr>
      </w:pPr>
      <w:bookmarkStart w:id="33" w:name="_Hlk128041870"/>
      <w:r w:rsidRPr="00682E21">
        <w:rPr>
          <w:rFonts w:cs="Calibri"/>
          <w:bCs/>
          <w:u w:val="single"/>
        </w:rPr>
        <w:t>Discussion of State Plan data and FRL</w:t>
      </w:r>
      <w:r w:rsidRPr="00682E21">
        <w:rPr>
          <w:rFonts w:cs="Calibri"/>
          <w:bCs/>
        </w:rPr>
        <w:t>: The FRL for the average number of violations per inspection with violations by violation</w:t>
      </w:r>
      <w:r w:rsidR="00917C61" w:rsidRPr="00682E21">
        <w:rPr>
          <w:rFonts w:cs="Calibri"/>
          <w:bCs/>
        </w:rPr>
        <w:t xml:space="preserve"> type </w:t>
      </w:r>
      <w:r w:rsidR="00CF31C7" w:rsidRPr="00682E21">
        <w:rPr>
          <w:rFonts w:cs="Calibri"/>
          <w:bCs/>
        </w:rPr>
        <w:t>(</w:t>
      </w:r>
      <w:r w:rsidR="00917C61" w:rsidRPr="00682E21">
        <w:rPr>
          <w:rFonts w:cs="Calibri"/>
          <w:bCs/>
        </w:rPr>
        <w:t>other</w:t>
      </w:r>
      <w:r w:rsidR="00CF31C7" w:rsidRPr="00682E21">
        <w:rPr>
          <w:rFonts w:cs="Calibri"/>
          <w:bCs/>
        </w:rPr>
        <w:t>)</w:t>
      </w:r>
      <w:r w:rsidR="00917C61" w:rsidRPr="00682E21">
        <w:rPr>
          <w:rFonts w:cs="Calibri"/>
          <w:bCs/>
        </w:rPr>
        <w:t xml:space="preserve"> is +/- 20% of 0.90 </w:t>
      </w:r>
      <w:r w:rsidR="00CF31C7" w:rsidRPr="00682E21">
        <w:rPr>
          <w:rFonts w:cs="Calibri"/>
          <w:bCs/>
        </w:rPr>
        <w:t xml:space="preserve">or a </w:t>
      </w:r>
      <w:r w:rsidR="00917C61" w:rsidRPr="00682E21">
        <w:rPr>
          <w:rFonts w:cs="Calibri"/>
          <w:bCs/>
        </w:rPr>
        <w:t>range of 0.72 to 1.08</w:t>
      </w:r>
      <w:r w:rsidR="00CF31C7" w:rsidRPr="00682E21">
        <w:rPr>
          <w:rFonts w:cs="Calibri"/>
          <w:bCs/>
        </w:rPr>
        <w:t xml:space="preserve">.  The IOSHA data for this measure is </w:t>
      </w:r>
      <w:r w:rsidR="00917C61" w:rsidRPr="00682E21">
        <w:rPr>
          <w:rFonts w:cs="Calibri"/>
          <w:bCs/>
        </w:rPr>
        <w:t>0.53 violations.</w:t>
      </w:r>
    </w:p>
    <w:bookmarkEnd w:id="33"/>
    <w:p w14:paraId="05BDE4E8" w14:textId="75CDFA50" w:rsidR="00EC3C09" w:rsidRPr="00682E21" w:rsidRDefault="00EC3C09" w:rsidP="00EC3C09">
      <w:pPr>
        <w:widowControl/>
        <w:autoSpaceDE/>
        <w:adjustRightInd/>
        <w:rPr>
          <w:rFonts w:cs="Calibri"/>
          <w:bCs/>
        </w:rPr>
      </w:pPr>
    </w:p>
    <w:p w14:paraId="6964A9B3" w14:textId="73CAE274" w:rsidR="00EC3C09" w:rsidRPr="00682E21" w:rsidRDefault="00EC3C09" w:rsidP="00EC3C09">
      <w:pPr>
        <w:widowControl/>
        <w:autoSpaceDE/>
        <w:adjustRightInd/>
        <w:rPr>
          <w:rFonts w:cs="Calibri"/>
          <w:bCs/>
        </w:rPr>
      </w:pPr>
      <w:r w:rsidRPr="00682E21">
        <w:rPr>
          <w:rFonts w:cs="Calibri"/>
          <w:bCs/>
          <w:u w:val="single"/>
        </w:rPr>
        <w:lastRenderedPageBreak/>
        <w:t>Explanation</w:t>
      </w:r>
      <w:r w:rsidRPr="00682E21">
        <w:rPr>
          <w:rFonts w:cs="Calibri"/>
          <w:bCs/>
        </w:rPr>
        <w:t xml:space="preserve">: IOSHA was outside the FRL for </w:t>
      </w:r>
      <w:r w:rsidR="00682E21" w:rsidRPr="00682E21">
        <w:rPr>
          <w:rFonts w:cs="Calibri"/>
          <w:bCs/>
        </w:rPr>
        <w:t>(</w:t>
      </w:r>
      <w:r w:rsidR="00CF31C7" w:rsidRPr="00682E21">
        <w:rPr>
          <w:rFonts w:cs="Calibri"/>
          <w:bCs/>
        </w:rPr>
        <w:t>other</w:t>
      </w:r>
      <w:r w:rsidR="00682E21" w:rsidRPr="00682E21">
        <w:rPr>
          <w:rFonts w:cs="Calibri"/>
          <w:bCs/>
        </w:rPr>
        <w:t>)</w:t>
      </w:r>
      <w:r w:rsidR="00CF31C7" w:rsidRPr="00682E21">
        <w:rPr>
          <w:rFonts w:cs="Calibri"/>
          <w:bCs/>
        </w:rPr>
        <w:t xml:space="preserve"> </w:t>
      </w:r>
      <w:r w:rsidRPr="00682E21">
        <w:rPr>
          <w:rFonts w:cs="Calibri"/>
          <w:bCs/>
        </w:rPr>
        <w:t>violations</w:t>
      </w:r>
      <w:r w:rsidR="00682E21" w:rsidRPr="00682E21">
        <w:rPr>
          <w:rFonts w:cs="Calibri"/>
          <w:bCs/>
        </w:rPr>
        <w:t xml:space="preserve"> on the low range.  </w:t>
      </w:r>
      <w:r w:rsidR="003874AE">
        <w:rPr>
          <w:rFonts w:cs="Calibri"/>
          <w:bCs/>
        </w:rPr>
        <w:t>T</w:t>
      </w:r>
      <w:r w:rsidR="003D3984" w:rsidRPr="00682E21">
        <w:rPr>
          <w:rFonts w:cs="Calibri"/>
          <w:bCs/>
        </w:rPr>
        <w:t xml:space="preserve">he </w:t>
      </w:r>
      <w:r w:rsidR="00F3202F" w:rsidRPr="00682E21">
        <w:rPr>
          <w:rFonts w:cs="Calibri"/>
          <w:bCs/>
        </w:rPr>
        <w:t>three-year</w:t>
      </w:r>
      <w:r w:rsidR="003D3984" w:rsidRPr="00682E21">
        <w:rPr>
          <w:rFonts w:cs="Calibri"/>
          <w:bCs/>
        </w:rPr>
        <w:t xml:space="preserve"> average for SWRU violations </w:t>
      </w:r>
      <w:r w:rsidRPr="00682E21">
        <w:rPr>
          <w:rFonts w:cs="Calibri"/>
          <w:bCs/>
        </w:rPr>
        <w:t xml:space="preserve">was slightly </w:t>
      </w:r>
      <w:r w:rsidRPr="00682E21">
        <w:rPr>
          <w:rFonts w:cs="Calibri"/>
          <w:b/>
        </w:rPr>
        <w:t>above</w:t>
      </w:r>
      <w:r w:rsidRPr="00682E21">
        <w:rPr>
          <w:rFonts w:cs="Calibri"/>
          <w:bCs/>
        </w:rPr>
        <w:t xml:space="preserve"> the three-year average for SWRU violations.  </w:t>
      </w:r>
      <w:r w:rsidR="003874AE">
        <w:rPr>
          <w:rFonts w:cs="Calibri"/>
          <w:bCs/>
        </w:rPr>
        <w:t xml:space="preserve"> </w:t>
      </w:r>
      <w:r w:rsidR="00682E21" w:rsidRPr="00682E21">
        <w:rPr>
          <w:rFonts w:cs="Calibri"/>
          <w:bCs/>
        </w:rPr>
        <w:t xml:space="preserve"> </w:t>
      </w:r>
      <w:r w:rsidRPr="00682E21">
        <w:rPr>
          <w:rFonts w:cs="Calibri"/>
          <w:bCs/>
        </w:rPr>
        <w:t xml:space="preserve">IOSHA inspectors identified more </w:t>
      </w:r>
      <w:r w:rsidR="00682E21" w:rsidRPr="00682E21">
        <w:rPr>
          <w:rFonts w:cs="Calibri"/>
          <w:bCs/>
        </w:rPr>
        <w:t>hazards</w:t>
      </w:r>
      <w:r w:rsidR="003874AE">
        <w:rPr>
          <w:rFonts w:cs="Calibri"/>
          <w:bCs/>
        </w:rPr>
        <w:t xml:space="preserve"> in the workplace</w:t>
      </w:r>
      <w:r w:rsidR="000F52CE">
        <w:rPr>
          <w:rFonts w:cs="Calibri"/>
          <w:bCs/>
        </w:rPr>
        <w:t xml:space="preserve"> </w:t>
      </w:r>
      <w:r w:rsidR="00682E21" w:rsidRPr="00682E21">
        <w:rPr>
          <w:rFonts w:cs="Calibri"/>
          <w:bCs/>
        </w:rPr>
        <w:t xml:space="preserve">classified as </w:t>
      </w:r>
      <w:r w:rsidRPr="00682E21">
        <w:rPr>
          <w:rFonts w:cs="Calibri"/>
          <w:bCs/>
        </w:rPr>
        <w:t>serious</w:t>
      </w:r>
      <w:r w:rsidR="00682E21" w:rsidRPr="00682E21">
        <w:rPr>
          <w:rFonts w:cs="Calibri"/>
          <w:bCs/>
        </w:rPr>
        <w:t xml:space="preserve"> </w:t>
      </w:r>
      <w:r w:rsidRPr="00682E21">
        <w:rPr>
          <w:rFonts w:cs="Calibri"/>
          <w:bCs/>
        </w:rPr>
        <w:t xml:space="preserve">that are likely to </w:t>
      </w:r>
      <w:r w:rsidR="003874AE">
        <w:rPr>
          <w:rFonts w:cs="Calibri"/>
          <w:bCs/>
        </w:rPr>
        <w:t xml:space="preserve">have a positive </w:t>
      </w:r>
      <w:r w:rsidRPr="00682E21">
        <w:rPr>
          <w:rFonts w:cs="Calibri"/>
          <w:bCs/>
        </w:rPr>
        <w:t xml:space="preserve">impact </w:t>
      </w:r>
      <w:r w:rsidR="003874AE">
        <w:rPr>
          <w:rFonts w:cs="Calibri"/>
          <w:bCs/>
        </w:rPr>
        <w:t xml:space="preserve">on </w:t>
      </w:r>
      <w:r w:rsidRPr="00682E21">
        <w:rPr>
          <w:rFonts w:cs="Calibri"/>
          <w:bCs/>
        </w:rPr>
        <w:t xml:space="preserve">the safety and health of </w:t>
      </w:r>
      <w:r w:rsidR="003874AE">
        <w:rPr>
          <w:rFonts w:cs="Calibri"/>
          <w:bCs/>
        </w:rPr>
        <w:t xml:space="preserve">Iowa’s </w:t>
      </w:r>
      <w:r w:rsidRPr="00682E21">
        <w:rPr>
          <w:rFonts w:cs="Calibri"/>
          <w:bCs/>
        </w:rPr>
        <w:t>workers</w:t>
      </w:r>
      <w:r w:rsidR="003874AE">
        <w:rPr>
          <w:rFonts w:cs="Calibri"/>
          <w:bCs/>
        </w:rPr>
        <w:t>.</w:t>
      </w:r>
      <w:r w:rsidR="003245E5" w:rsidRPr="00682E21">
        <w:rPr>
          <w:rFonts w:cs="Calibri"/>
          <w:bCs/>
        </w:rPr>
        <w:t xml:space="preserve"> </w:t>
      </w:r>
    </w:p>
    <w:p w14:paraId="77692213" w14:textId="34E0B116" w:rsidR="00D660DF" w:rsidRPr="00D660DF" w:rsidRDefault="00D660DF" w:rsidP="00D660DF">
      <w:pPr>
        <w:widowControl/>
        <w:autoSpaceDE/>
        <w:adjustRightInd/>
        <w:rPr>
          <w:rFonts w:cs="Calibri"/>
          <w:b/>
        </w:rPr>
      </w:pPr>
      <w:r w:rsidRPr="00D660DF">
        <w:rPr>
          <w:rFonts w:cs="Calibri"/>
          <w:b/>
        </w:rPr>
        <w:t>SAMM 7</w:t>
      </w:r>
      <w:r w:rsidR="00682E21">
        <w:rPr>
          <w:rFonts w:cs="Calibri"/>
          <w:b/>
        </w:rPr>
        <w:t>b</w:t>
      </w:r>
      <w:r w:rsidRPr="00D660DF">
        <w:rPr>
          <w:rFonts w:cs="Calibri"/>
          <w:b/>
        </w:rPr>
        <w:t xml:space="preserve"> – Planned v</w:t>
      </w:r>
      <w:r w:rsidR="00722352">
        <w:rPr>
          <w:rFonts w:cs="Calibri"/>
          <w:b/>
        </w:rPr>
        <w:t>s</w:t>
      </w:r>
      <w:r w:rsidRPr="00D660DF">
        <w:rPr>
          <w:rFonts w:cs="Calibri"/>
          <w:b/>
        </w:rPr>
        <w:t>. actual inspections</w:t>
      </w:r>
      <w:r w:rsidR="00682E21">
        <w:rPr>
          <w:rFonts w:cs="Calibri"/>
          <w:b/>
        </w:rPr>
        <w:t xml:space="preserve"> (health)</w:t>
      </w:r>
    </w:p>
    <w:p w14:paraId="174D2971" w14:textId="77777777" w:rsidR="00D660DF" w:rsidRPr="00D660DF" w:rsidRDefault="00D660DF" w:rsidP="00D660DF">
      <w:pPr>
        <w:widowControl/>
        <w:autoSpaceDE/>
        <w:adjustRightInd/>
        <w:rPr>
          <w:rFonts w:cs="Calibri"/>
          <w:bCs/>
        </w:rPr>
      </w:pPr>
    </w:p>
    <w:p w14:paraId="063B9551" w14:textId="2CCDBB53" w:rsidR="00D660DF" w:rsidRPr="00D660DF" w:rsidRDefault="00D660DF" w:rsidP="00D660DF">
      <w:pPr>
        <w:widowControl/>
        <w:autoSpaceDE/>
        <w:adjustRightInd/>
        <w:rPr>
          <w:rFonts w:cs="Calibri"/>
          <w:bCs/>
        </w:rPr>
      </w:pPr>
      <w:r w:rsidRPr="00536A02">
        <w:rPr>
          <w:rFonts w:cs="Calibri"/>
          <w:bCs/>
          <w:u w:val="single"/>
        </w:rPr>
        <w:t>Discussion of State Plan data and FRL</w:t>
      </w:r>
      <w:r w:rsidRPr="00D660DF">
        <w:rPr>
          <w:rFonts w:cs="Calibri"/>
          <w:bCs/>
        </w:rPr>
        <w:t xml:space="preserve">: The FRL for planned versus actual inspections </w:t>
      </w:r>
      <w:r w:rsidR="00682E21">
        <w:rPr>
          <w:rFonts w:cs="Calibri"/>
          <w:bCs/>
        </w:rPr>
        <w:t xml:space="preserve">for health </w:t>
      </w:r>
      <w:r w:rsidRPr="00D660DF">
        <w:rPr>
          <w:rFonts w:cs="Calibri"/>
          <w:bCs/>
        </w:rPr>
        <w:t xml:space="preserve">ranges from </w:t>
      </w:r>
      <w:r>
        <w:rPr>
          <w:rFonts w:cs="Calibri"/>
          <w:bCs/>
        </w:rPr>
        <w:t>208.05 to 229.95</w:t>
      </w:r>
      <w:r w:rsidR="003505E0">
        <w:rPr>
          <w:rFonts w:cs="Calibri"/>
          <w:bCs/>
        </w:rPr>
        <w:t>.</w:t>
      </w:r>
      <w:r w:rsidRPr="00D660DF">
        <w:rPr>
          <w:rFonts w:cs="Calibri"/>
          <w:bCs/>
        </w:rPr>
        <w:t xml:space="preserve">  IOSHA conducted </w:t>
      </w:r>
      <w:r w:rsidR="009B0B1C">
        <w:rPr>
          <w:rFonts w:cs="Calibri"/>
          <w:bCs/>
        </w:rPr>
        <w:t>194</w:t>
      </w:r>
      <w:r w:rsidRPr="00D660DF">
        <w:rPr>
          <w:rFonts w:cs="Calibri"/>
          <w:bCs/>
        </w:rPr>
        <w:t xml:space="preserve"> of the </w:t>
      </w:r>
      <w:r w:rsidR="00F3202F" w:rsidRPr="00D660DF">
        <w:rPr>
          <w:rFonts w:cs="Calibri"/>
          <w:bCs/>
        </w:rPr>
        <w:t>2</w:t>
      </w:r>
      <w:r w:rsidR="00F3202F">
        <w:rPr>
          <w:rFonts w:cs="Calibri"/>
          <w:bCs/>
        </w:rPr>
        <w:t>19</w:t>
      </w:r>
      <w:r w:rsidR="00F3202F" w:rsidRPr="00D660DF">
        <w:rPr>
          <w:rFonts w:cs="Calibri"/>
          <w:bCs/>
        </w:rPr>
        <w:t xml:space="preserve"> planned</w:t>
      </w:r>
      <w:r w:rsidRPr="00D660DF">
        <w:rPr>
          <w:rFonts w:cs="Calibri"/>
          <w:bCs/>
        </w:rPr>
        <w:t xml:space="preserve"> health inspections</w:t>
      </w:r>
      <w:r w:rsidR="004F1EB5">
        <w:rPr>
          <w:rFonts w:cs="Calibri"/>
          <w:bCs/>
        </w:rPr>
        <w:t xml:space="preserve">, </w:t>
      </w:r>
      <w:r w:rsidR="00682E21">
        <w:rPr>
          <w:rFonts w:cs="Calibri"/>
          <w:bCs/>
        </w:rPr>
        <w:t>thu</w:t>
      </w:r>
      <w:r w:rsidR="00722352">
        <w:rPr>
          <w:rFonts w:cs="Calibri"/>
          <w:bCs/>
        </w:rPr>
        <w:t>s</w:t>
      </w:r>
      <w:r w:rsidR="00121233">
        <w:rPr>
          <w:rFonts w:cs="Calibri"/>
          <w:bCs/>
        </w:rPr>
        <w:t xml:space="preserve"> outside the FRL.</w:t>
      </w:r>
    </w:p>
    <w:p w14:paraId="36DBFFEB" w14:textId="77777777" w:rsidR="00D660DF" w:rsidRPr="00D660DF" w:rsidRDefault="00D660DF" w:rsidP="00D660DF">
      <w:pPr>
        <w:widowControl/>
        <w:autoSpaceDE/>
        <w:adjustRightInd/>
        <w:rPr>
          <w:rFonts w:cs="Calibri"/>
          <w:bCs/>
        </w:rPr>
      </w:pPr>
    </w:p>
    <w:p w14:paraId="30F5BCC1" w14:textId="13B66628" w:rsidR="00D660DF" w:rsidRDefault="00D660DF" w:rsidP="00D660DF">
      <w:pPr>
        <w:widowControl/>
        <w:autoSpaceDE/>
        <w:adjustRightInd/>
        <w:rPr>
          <w:rFonts w:cs="Calibri"/>
          <w:bCs/>
        </w:rPr>
      </w:pPr>
      <w:r w:rsidRPr="003505E0">
        <w:rPr>
          <w:rFonts w:cs="Calibri"/>
          <w:bCs/>
          <w:u w:val="single"/>
        </w:rPr>
        <w:t>Explanation</w:t>
      </w:r>
      <w:r w:rsidRPr="003505E0">
        <w:rPr>
          <w:rFonts w:cs="Calibri"/>
          <w:bCs/>
        </w:rPr>
        <w:t xml:space="preserve">: </w:t>
      </w:r>
      <w:r w:rsidR="00530162" w:rsidRPr="003505E0">
        <w:rPr>
          <w:rFonts w:cs="Calibri"/>
          <w:bCs/>
        </w:rPr>
        <w:t xml:space="preserve"> During FY</w:t>
      </w:r>
      <w:r w:rsidR="00C71790" w:rsidRPr="003505E0">
        <w:rPr>
          <w:rFonts w:cs="Calibri"/>
          <w:bCs/>
        </w:rPr>
        <w:t xml:space="preserve"> </w:t>
      </w:r>
      <w:r w:rsidR="00530162" w:rsidRPr="003505E0">
        <w:rPr>
          <w:rFonts w:cs="Calibri"/>
          <w:bCs/>
        </w:rPr>
        <w:t xml:space="preserve">2022 the state </w:t>
      </w:r>
      <w:r w:rsidR="003505E0" w:rsidRPr="003505E0">
        <w:rPr>
          <w:rFonts w:cs="Calibri"/>
          <w:bCs/>
        </w:rPr>
        <w:t xml:space="preserve">experienced significant staff turnover. IOSHA </w:t>
      </w:r>
      <w:r w:rsidR="00530162" w:rsidRPr="003505E0">
        <w:rPr>
          <w:rFonts w:cs="Calibri"/>
          <w:bCs/>
        </w:rPr>
        <w:t xml:space="preserve">hired six new </w:t>
      </w:r>
      <w:r w:rsidR="007A7A2C">
        <w:rPr>
          <w:rFonts w:cs="Calibri"/>
          <w:bCs/>
        </w:rPr>
        <w:t>CSHOs:</w:t>
      </w:r>
      <w:r w:rsidR="003505E0" w:rsidRPr="003505E0">
        <w:rPr>
          <w:rFonts w:cs="Calibri"/>
          <w:bCs/>
        </w:rPr>
        <w:t xml:space="preserve"> three</w:t>
      </w:r>
      <w:r w:rsidR="00530162" w:rsidRPr="003505E0">
        <w:rPr>
          <w:rFonts w:cs="Calibri"/>
          <w:bCs/>
        </w:rPr>
        <w:t xml:space="preserve"> </w:t>
      </w:r>
      <w:r w:rsidR="003874AE">
        <w:rPr>
          <w:rFonts w:cs="Calibri"/>
          <w:bCs/>
        </w:rPr>
        <w:t>i</w:t>
      </w:r>
      <w:r w:rsidR="00FE4881" w:rsidRPr="003505E0">
        <w:rPr>
          <w:rFonts w:cs="Calibri"/>
          <w:bCs/>
        </w:rPr>
        <w:t xml:space="preserve">ndustrial </w:t>
      </w:r>
      <w:r w:rsidR="003874AE">
        <w:rPr>
          <w:rFonts w:cs="Calibri"/>
          <w:bCs/>
        </w:rPr>
        <w:t>h</w:t>
      </w:r>
      <w:r w:rsidR="00FE4881" w:rsidRPr="003505E0">
        <w:rPr>
          <w:rFonts w:cs="Calibri"/>
          <w:bCs/>
        </w:rPr>
        <w:t>ygienist</w:t>
      </w:r>
      <w:r w:rsidR="003874AE">
        <w:rPr>
          <w:rFonts w:cs="Calibri"/>
          <w:bCs/>
        </w:rPr>
        <w:t>s</w:t>
      </w:r>
      <w:r w:rsidR="00FE4881" w:rsidRPr="003505E0">
        <w:rPr>
          <w:rFonts w:cs="Calibri"/>
          <w:bCs/>
        </w:rPr>
        <w:t xml:space="preserve"> and three </w:t>
      </w:r>
      <w:r w:rsidR="003874AE">
        <w:rPr>
          <w:rFonts w:cs="Calibri"/>
          <w:bCs/>
        </w:rPr>
        <w:t>s</w:t>
      </w:r>
      <w:r w:rsidR="00530162" w:rsidRPr="003505E0">
        <w:rPr>
          <w:rFonts w:cs="Calibri"/>
          <w:bCs/>
        </w:rPr>
        <w:t xml:space="preserve">afety </w:t>
      </w:r>
      <w:r w:rsidR="003874AE">
        <w:rPr>
          <w:rFonts w:cs="Calibri"/>
          <w:bCs/>
        </w:rPr>
        <w:t>c</w:t>
      </w:r>
      <w:r w:rsidR="00530162" w:rsidRPr="003505E0">
        <w:rPr>
          <w:rFonts w:cs="Calibri"/>
          <w:bCs/>
        </w:rPr>
        <w:t xml:space="preserve">ompliance </w:t>
      </w:r>
      <w:r w:rsidR="003874AE">
        <w:rPr>
          <w:rFonts w:cs="Calibri"/>
          <w:bCs/>
        </w:rPr>
        <w:t>o</w:t>
      </w:r>
      <w:r w:rsidR="00530162" w:rsidRPr="003505E0">
        <w:rPr>
          <w:rFonts w:cs="Calibri"/>
          <w:bCs/>
        </w:rPr>
        <w:t>fficers</w:t>
      </w:r>
      <w:r w:rsidR="003505E0" w:rsidRPr="003505E0">
        <w:rPr>
          <w:rFonts w:cs="Calibri"/>
          <w:bCs/>
        </w:rPr>
        <w:t xml:space="preserve">.  This resulted in </w:t>
      </w:r>
      <w:r w:rsidR="00DF6DEB" w:rsidRPr="003505E0">
        <w:rPr>
          <w:rFonts w:cs="Calibri"/>
          <w:bCs/>
        </w:rPr>
        <w:t>25% and 23%</w:t>
      </w:r>
      <w:r w:rsidR="003505E0" w:rsidRPr="003505E0">
        <w:rPr>
          <w:rFonts w:cs="Calibri"/>
          <w:bCs/>
        </w:rPr>
        <w:t>, respectively,</w:t>
      </w:r>
      <w:r w:rsidR="00DF6DEB" w:rsidRPr="003505E0">
        <w:rPr>
          <w:rFonts w:cs="Calibri"/>
          <w:bCs/>
        </w:rPr>
        <w:t xml:space="preserve"> of the total number of </w:t>
      </w:r>
      <w:r w:rsidR="00804734">
        <w:rPr>
          <w:rFonts w:cs="Calibri"/>
          <w:bCs/>
        </w:rPr>
        <w:t xml:space="preserve">CSHOs </w:t>
      </w:r>
      <w:r w:rsidR="00804734" w:rsidRPr="003505E0">
        <w:rPr>
          <w:rFonts w:cs="Calibri"/>
          <w:bCs/>
        </w:rPr>
        <w:t>to</w:t>
      </w:r>
      <w:r w:rsidR="003505E0" w:rsidRPr="003505E0">
        <w:rPr>
          <w:rFonts w:cs="Calibri"/>
          <w:bCs/>
        </w:rPr>
        <w:t xml:space="preserve"> be in trainee status</w:t>
      </w:r>
      <w:r w:rsidR="00DF6DEB" w:rsidRPr="003505E0">
        <w:rPr>
          <w:rFonts w:cs="Calibri"/>
          <w:bCs/>
        </w:rPr>
        <w:t>.</w:t>
      </w:r>
      <w:r w:rsidR="00FE4881" w:rsidRPr="003505E0">
        <w:rPr>
          <w:rFonts w:cs="Calibri"/>
          <w:bCs/>
        </w:rPr>
        <w:t xml:space="preserve"> </w:t>
      </w:r>
      <w:r w:rsidR="003505E0" w:rsidRPr="003505E0">
        <w:rPr>
          <w:rFonts w:cs="Calibri"/>
          <w:bCs/>
        </w:rPr>
        <w:t xml:space="preserve">Due to these circumstances, </w:t>
      </w:r>
      <w:r w:rsidRPr="003505E0">
        <w:rPr>
          <w:rFonts w:cs="Calibri"/>
          <w:bCs/>
        </w:rPr>
        <w:t>this result does not rise to the level of an observation.  OSHA will continue to discuss this performance measure during quarterly meetings.</w:t>
      </w:r>
    </w:p>
    <w:p w14:paraId="7CC058AB" w14:textId="7A169433" w:rsidR="009E27C5" w:rsidRDefault="009E27C5" w:rsidP="00D660DF">
      <w:pPr>
        <w:widowControl/>
        <w:autoSpaceDE/>
        <w:adjustRightInd/>
        <w:rPr>
          <w:rFonts w:cs="Calibri"/>
          <w:bCs/>
        </w:rPr>
      </w:pPr>
    </w:p>
    <w:p w14:paraId="73D3AD21" w14:textId="77777777" w:rsidR="009E27C5" w:rsidRPr="00026D40" w:rsidRDefault="009E27C5" w:rsidP="009E27C5">
      <w:pPr>
        <w:widowControl/>
        <w:autoSpaceDE/>
        <w:adjustRightInd/>
        <w:rPr>
          <w:rFonts w:cs="Calibri"/>
          <w:b/>
        </w:rPr>
      </w:pPr>
      <w:r w:rsidRPr="00026D40">
        <w:rPr>
          <w:rFonts w:cs="Calibri"/>
          <w:b/>
        </w:rPr>
        <w:t>SAMM 8 – Average current serious penalty on private sector with 1 to greater than 250 workers</w:t>
      </w:r>
    </w:p>
    <w:p w14:paraId="4F4060F0" w14:textId="4B24FFB8" w:rsidR="009E27C5" w:rsidRDefault="009E27C5" w:rsidP="00D660DF">
      <w:pPr>
        <w:widowControl/>
        <w:autoSpaceDE/>
        <w:adjustRightInd/>
        <w:rPr>
          <w:rFonts w:cs="Calibri"/>
          <w:bCs/>
        </w:rPr>
      </w:pPr>
    </w:p>
    <w:p w14:paraId="657306D7" w14:textId="1646E4BD" w:rsidR="009E27C5" w:rsidRDefault="009E27C5" w:rsidP="00D660DF">
      <w:pPr>
        <w:widowControl/>
        <w:autoSpaceDE/>
        <w:adjustRightInd/>
        <w:rPr>
          <w:rFonts w:cs="Calibri"/>
          <w:bCs/>
        </w:rPr>
      </w:pPr>
      <w:r w:rsidRPr="009E27C5">
        <w:rPr>
          <w:rFonts w:cs="Calibri"/>
          <w:bCs/>
          <w:u w:val="single"/>
        </w:rPr>
        <w:t>Discussion of State Plan data and FRL:</w:t>
      </w:r>
      <w:r>
        <w:rPr>
          <w:rFonts w:cs="Calibri"/>
          <w:bCs/>
        </w:rPr>
        <w:t xml:space="preserve"> </w:t>
      </w:r>
      <w:r w:rsidR="00285372">
        <w:rPr>
          <w:rFonts w:cs="Calibri"/>
          <w:bCs/>
        </w:rPr>
        <w:t>T</w:t>
      </w:r>
      <w:r>
        <w:rPr>
          <w:rFonts w:cs="Calibri"/>
          <w:bCs/>
        </w:rPr>
        <w:t xml:space="preserve">he FRL for average current serious penalty </w:t>
      </w:r>
      <w:r w:rsidR="00285372">
        <w:rPr>
          <w:rFonts w:cs="Calibri"/>
          <w:bCs/>
        </w:rPr>
        <w:t>in</w:t>
      </w:r>
      <w:r>
        <w:rPr>
          <w:rFonts w:cs="Calibri"/>
          <w:bCs/>
        </w:rPr>
        <w:t xml:space="preserve"> private sector</w:t>
      </w:r>
      <w:r w:rsidR="00285372">
        <w:rPr>
          <w:rFonts w:cs="Calibri"/>
          <w:bCs/>
        </w:rPr>
        <w:t xml:space="preserve"> with 1 to greater than 250 workers is +/-25% of $3,259.35</w:t>
      </w:r>
      <w:r w:rsidR="002B28AF">
        <w:rPr>
          <w:rFonts w:cs="Calibri"/>
          <w:bCs/>
        </w:rPr>
        <w:t xml:space="preserve">, or a </w:t>
      </w:r>
      <w:r w:rsidR="00285372">
        <w:rPr>
          <w:rFonts w:cs="Calibri"/>
          <w:bCs/>
        </w:rPr>
        <w:t>range of $</w:t>
      </w:r>
      <w:r>
        <w:rPr>
          <w:rFonts w:cs="Calibri"/>
          <w:bCs/>
        </w:rPr>
        <w:t>2,444.51 to $4,074.19</w:t>
      </w:r>
      <w:r w:rsidR="00285372">
        <w:rPr>
          <w:rFonts w:cs="Calibri"/>
          <w:bCs/>
        </w:rPr>
        <w:t>. IOSHA</w:t>
      </w:r>
      <w:r w:rsidR="00F96BB1">
        <w:rPr>
          <w:rFonts w:cs="Calibri"/>
          <w:bCs/>
        </w:rPr>
        <w:t>’s</w:t>
      </w:r>
      <w:r w:rsidR="00285372">
        <w:rPr>
          <w:rFonts w:cs="Calibri"/>
          <w:bCs/>
        </w:rPr>
        <w:t xml:space="preserve"> average current serious penalty is $5,343.66</w:t>
      </w:r>
      <w:r>
        <w:rPr>
          <w:rFonts w:cs="Calibri"/>
          <w:bCs/>
        </w:rPr>
        <w:t xml:space="preserve"> which is above the FRL.</w:t>
      </w:r>
    </w:p>
    <w:p w14:paraId="44028283" w14:textId="2F55B282" w:rsidR="009E27C5" w:rsidRDefault="009E27C5" w:rsidP="00D660DF">
      <w:pPr>
        <w:widowControl/>
        <w:autoSpaceDE/>
        <w:adjustRightInd/>
        <w:rPr>
          <w:rFonts w:cs="Calibri"/>
          <w:bCs/>
        </w:rPr>
      </w:pPr>
    </w:p>
    <w:p w14:paraId="05ADF3AE" w14:textId="5779CF97" w:rsidR="009E27C5" w:rsidRPr="009E27C5" w:rsidRDefault="009E27C5" w:rsidP="00D660DF">
      <w:pPr>
        <w:widowControl/>
        <w:autoSpaceDE/>
        <w:adjustRightInd/>
        <w:rPr>
          <w:rFonts w:cs="Calibri"/>
          <w:bCs/>
        </w:rPr>
      </w:pPr>
      <w:r w:rsidRPr="009E27C5">
        <w:rPr>
          <w:rFonts w:cs="Calibri"/>
          <w:bCs/>
          <w:u w:val="single"/>
        </w:rPr>
        <w:t>Explanation:</w:t>
      </w:r>
      <w:r>
        <w:rPr>
          <w:rFonts w:cs="Calibri"/>
          <w:bCs/>
        </w:rPr>
        <w:t xml:space="preserve">  IOSHA </w:t>
      </w:r>
      <w:r w:rsidR="001950ED">
        <w:rPr>
          <w:rFonts w:cs="Calibri"/>
          <w:bCs/>
        </w:rPr>
        <w:t xml:space="preserve">penalties </w:t>
      </w:r>
      <w:r w:rsidR="00285372">
        <w:rPr>
          <w:rFonts w:cs="Calibri"/>
          <w:bCs/>
        </w:rPr>
        <w:t xml:space="preserve">for serious violations continues to be </w:t>
      </w:r>
      <w:r w:rsidR="001950ED">
        <w:rPr>
          <w:rFonts w:cs="Calibri"/>
          <w:bCs/>
        </w:rPr>
        <w:t>above FRL showing a strong enforcement</w:t>
      </w:r>
      <w:r w:rsidR="00D5486D">
        <w:rPr>
          <w:rFonts w:cs="Calibri"/>
          <w:bCs/>
        </w:rPr>
        <w:t xml:space="preserve"> that</w:t>
      </w:r>
      <w:r w:rsidR="00755757">
        <w:rPr>
          <w:rFonts w:cs="Calibri"/>
          <w:bCs/>
        </w:rPr>
        <w:t xml:space="preserve"> mirrors </w:t>
      </w:r>
      <w:r w:rsidR="00804734">
        <w:rPr>
          <w:rFonts w:cs="Calibri"/>
          <w:bCs/>
        </w:rPr>
        <w:t>OSHA’s penalty</w:t>
      </w:r>
      <w:r w:rsidR="00755757">
        <w:rPr>
          <w:rFonts w:cs="Calibri"/>
          <w:bCs/>
        </w:rPr>
        <w:t xml:space="preserve"> structure</w:t>
      </w:r>
      <w:r w:rsidR="00F96BB1">
        <w:rPr>
          <w:rFonts w:cs="Calibri"/>
          <w:bCs/>
        </w:rPr>
        <w:t>.</w:t>
      </w:r>
      <w:r w:rsidR="00D5486D">
        <w:rPr>
          <w:rFonts w:cs="Calibri"/>
          <w:bCs/>
        </w:rPr>
        <w:t xml:space="preserve"> These penalties continue to be a strong deterrent to ensure safe and healthful workplaces for the employees in Iowa.</w:t>
      </w:r>
    </w:p>
    <w:p w14:paraId="0CD0F814" w14:textId="47C9D96D" w:rsidR="00026D40" w:rsidRDefault="00026D40" w:rsidP="00D660DF">
      <w:pPr>
        <w:widowControl/>
        <w:autoSpaceDE/>
        <w:adjustRightInd/>
        <w:rPr>
          <w:rFonts w:cs="Calibri"/>
          <w:bCs/>
        </w:rPr>
      </w:pPr>
    </w:p>
    <w:p w14:paraId="340590BF" w14:textId="78FCB246" w:rsidR="004B42DA" w:rsidRPr="004B42DA" w:rsidRDefault="004B42DA" w:rsidP="004B42DA">
      <w:pPr>
        <w:widowControl/>
        <w:autoSpaceDE/>
        <w:adjustRightInd/>
        <w:rPr>
          <w:rFonts w:cs="Calibri"/>
          <w:b/>
        </w:rPr>
      </w:pPr>
      <w:r w:rsidRPr="004B42DA">
        <w:rPr>
          <w:rFonts w:cs="Calibri"/>
          <w:b/>
        </w:rPr>
        <w:t>SAMM 9</w:t>
      </w:r>
      <w:r w:rsidR="00D401DE">
        <w:rPr>
          <w:rFonts w:cs="Calibri"/>
          <w:b/>
        </w:rPr>
        <w:t>b</w:t>
      </w:r>
      <w:r w:rsidRPr="004B42DA">
        <w:rPr>
          <w:rFonts w:cs="Calibri"/>
          <w:b/>
        </w:rPr>
        <w:t xml:space="preserve"> – Percent in-compliance</w:t>
      </w:r>
      <w:r w:rsidR="00D401DE">
        <w:rPr>
          <w:rFonts w:cs="Calibri"/>
          <w:b/>
        </w:rPr>
        <w:t xml:space="preserve"> (health)</w:t>
      </w:r>
    </w:p>
    <w:p w14:paraId="548EC434" w14:textId="77777777" w:rsidR="004B42DA" w:rsidRPr="004B42DA" w:rsidRDefault="004B42DA" w:rsidP="004B42DA">
      <w:pPr>
        <w:widowControl/>
        <w:autoSpaceDE/>
        <w:adjustRightInd/>
        <w:rPr>
          <w:rFonts w:cs="Calibri"/>
          <w:bCs/>
        </w:rPr>
      </w:pPr>
    </w:p>
    <w:p w14:paraId="0409F069" w14:textId="4EE9C378" w:rsidR="004B42DA" w:rsidRPr="004B42DA" w:rsidRDefault="004B42DA" w:rsidP="004B42DA">
      <w:pPr>
        <w:widowControl/>
        <w:autoSpaceDE/>
        <w:adjustRightInd/>
        <w:rPr>
          <w:rFonts w:cs="Calibri"/>
          <w:bCs/>
        </w:rPr>
      </w:pPr>
      <w:bookmarkStart w:id="34" w:name="_Hlk127974847"/>
      <w:r w:rsidRPr="00536A02">
        <w:rPr>
          <w:rFonts w:cs="Calibri"/>
          <w:bCs/>
          <w:u w:val="single"/>
        </w:rPr>
        <w:t>Discussion of State Plan data and FR</w:t>
      </w:r>
      <w:r w:rsidRPr="007A7A2C">
        <w:rPr>
          <w:rFonts w:cs="Calibri"/>
          <w:bCs/>
          <w:u w:val="single"/>
        </w:rPr>
        <w:t>L</w:t>
      </w:r>
      <w:r w:rsidRPr="00B81E74">
        <w:rPr>
          <w:rFonts w:cs="Calibri"/>
          <w:bCs/>
          <w:u w:val="single"/>
        </w:rPr>
        <w:t>:</w:t>
      </w:r>
      <w:r w:rsidRPr="004B42DA">
        <w:rPr>
          <w:rFonts w:cs="Calibri"/>
          <w:bCs/>
        </w:rPr>
        <w:t xml:space="preserve"> </w:t>
      </w:r>
      <w:r w:rsidR="00722352" w:rsidRPr="004B42DA">
        <w:rPr>
          <w:rFonts w:cs="Calibri"/>
          <w:bCs/>
        </w:rPr>
        <w:t xml:space="preserve">The FRL for percent in-compliance for health inspections is +/-20% of </w:t>
      </w:r>
      <w:r w:rsidR="00722352">
        <w:rPr>
          <w:rFonts w:cs="Calibri"/>
          <w:bCs/>
        </w:rPr>
        <w:t>44.42</w:t>
      </w:r>
      <w:r w:rsidR="00722352" w:rsidRPr="004B42DA">
        <w:rPr>
          <w:rFonts w:cs="Calibri"/>
          <w:bCs/>
        </w:rPr>
        <w:t xml:space="preserve">%, which equals a range from </w:t>
      </w:r>
      <w:r w:rsidR="00722352">
        <w:rPr>
          <w:rFonts w:cs="Calibri"/>
          <w:bCs/>
        </w:rPr>
        <w:t>35.54</w:t>
      </w:r>
      <w:r w:rsidR="00722352" w:rsidRPr="004B42DA">
        <w:rPr>
          <w:rFonts w:cs="Calibri"/>
          <w:bCs/>
        </w:rPr>
        <w:t xml:space="preserve">% to </w:t>
      </w:r>
      <w:r w:rsidR="00722352">
        <w:rPr>
          <w:rFonts w:cs="Calibri"/>
          <w:bCs/>
        </w:rPr>
        <w:t>53.30</w:t>
      </w:r>
      <w:r w:rsidR="00722352" w:rsidRPr="004B42DA">
        <w:rPr>
          <w:rFonts w:cs="Calibri"/>
          <w:bCs/>
        </w:rPr>
        <w:t xml:space="preserve">%.  IOSHA’s percent in-compliance for health was </w:t>
      </w:r>
      <w:r w:rsidR="00722352">
        <w:rPr>
          <w:rFonts w:cs="Calibri"/>
          <w:bCs/>
        </w:rPr>
        <w:t>60.23</w:t>
      </w:r>
      <w:r w:rsidR="00722352" w:rsidRPr="004B42DA">
        <w:rPr>
          <w:rFonts w:cs="Calibri"/>
          <w:bCs/>
        </w:rPr>
        <w:t xml:space="preserve">%, which was higher than the FRL. </w:t>
      </w:r>
    </w:p>
    <w:bookmarkEnd w:id="34"/>
    <w:p w14:paraId="0C58A6BE" w14:textId="77777777" w:rsidR="004B42DA" w:rsidRPr="004B42DA" w:rsidRDefault="004B42DA" w:rsidP="004B42DA">
      <w:pPr>
        <w:widowControl/>
        <w:autoSpaceDE/>
        <w:adjustRightInd/>
        <w:rPr>
          <w:rFonts w:cs="Calibri"/>
          <w:bCs/>
        </w:rPr>
      </w:pPr>
    </w:p>
    <w:p w14:paraId="12CCE831" w14:textId="6233D0D0" w:rsidR="00D660DF" w:rsidRDefault="004B42DA" w:rsidP="004B42DA">
      <w:pPr>
        <w:widowControl/>
        <w:autoSpaceDE/>
        <w:adjustRightInd/>
        <w:rPr>
          <w:rFonts w:cs="Calibri"/>
          <w:bCs/>
        </w:rPr>
      </w:pPr>
      <w:r w:rsidRPr="00536A02">
        <w:rPr>
          <w:rFonts w:cs="Calibri"/>
          <w:bCs/>
          <w:u w:val="single"/>
        </w:rPr>
        <w:t>Explanation:</w:t>
      </w:r>
      <w:r w:rsidRPr="004B42DA">
        <w:rPr>
          <w:rFonts w:cs="Calibri"/>
          <w:bCs/>
        </w:rPr>
        <w:t xml:space="preserve">  </w:t>
      </w:r>
      <w:r w:rsidR="009E64D3">
        <w:rPr>
          <w:rFonts w:cs="Calibri"/>
          <w:bCs/>
        </w:rPr>
        <w:t xml:space="preserve">Iowa State Code, Chapter 88B, Asbestos Removal and Encapsulation, mandates that at least once a year, during an actual asbestos project, an on-site inspection of each asbestos contractor will be performed.  IOSHA’s Local Emphasis Program (LEP) for Asbestos in Construction </w:t>
      </w:r>
      <w:r w:rsidR="009E64D3" w:rsidRPr="00745958">
        <w:rPr>
          <w:rFonts w:cs="Calibri"/>
          <w:bCs/>
        </w:rPr>
        <w:t xml:space="preserve">establishes the procedures for targeting asbestos project worksites.  </w:t>
      </w:r>
      <w:r w:rsidR="00645001" w:rsidRPr="00745958">
        <w:rPr>
          <w:rFonts w:cs="Calibri"/>
          <w:bCs/>
        </w:rPr>
        <w:t>During FY</w:t>
      </w:r>
      <w:r w:rsidR="00C71790" w:rsidRPr="00745958">
        <w:rPr>
          <w:rFonts w:cs="Calibri"/>
          <w:bCs/>
        </w:rPr>
        <w:t xml:space="preserve"> </w:t>
      </w:r>
      <w:r w:rsidR="00645001" w:rsidRPr="00745958">
        <w:rPr>
          <w:rFonts w:cs="Calibri"/>
          <w:bCs/>
        </w:rPr>
        <w:t xml:space="preserve">2022, </w:t>
      </w:r>
      <w:r w:rsidR="00745958" w:rsidRPr="00745958">
        <w:rPr>
          <w:rFonts w:cs="Calibri"/>
          <w:bCs/>
        </w:rPr>
        <w:t xml:space="preserve">over 50% of the health inspections were </w:t>
      </w:r>
      <w:r w:rsidR="00645001" w:rsidRPr="00745958">
        <w:rPr>
          <w:rFonts w:cs="Calibri"/>
          <w:bCs/>
        </w:rPr>
        <w:t>completed under this program</w:t>
      </w:r>
      <w:r w:rsidR="00745958" w:rsidRPr="00745958">
        <w:rPr>
          <w:rFonts w:cs="Calibri"/>
          <w:bCs/>
        </w:rPr>
        <w:t>, many of which resulted in no violations found.</w:t>
      </w:r>
      <w:r w:rsidR="00482770" w:rsidRPr="00745958">
        <w:rPr>
          <w:rFonts w:cs="Calibri"/>
          <w:bCs/>
        </w:rPr>
        <w:t xml:space="preserve"> </w:t>
      </w:r>
      <w:r w:rsidR="00645001" w:rsidRPr="00745958">
        <w:rPr>
          <w:rFonts w:cs="Calibri"/>
          <w:bCs/>
        </w:rPr>
        <w:t>During FY 2022</w:t>
      </w:r>
      <w:r w:rsidR="00F96BB1">
        <w:rPr>
          <w:rFonts w:cs="Calibri"/>
          <w:bCs/>
        </w:rPr>
        <w:t>,</w:t>
      </w:r>
      <w:r w:rsidR="00645001" w:rsidRPr="00745958">
        <w:rPr>
          <w:rFonts w:cs="Calibri"/>
          <w:bCs/>
        </w:rPr>
        <w:t xml:space="preserve"> the</w:t>
      </w:r>
      <w:r w:rsidR="00482770" w:rsidRPr="00745958">
        <w:rPr>
          <w:rFonts w:cs="Calibri"/>
          <w:bCs/>
        </w:rPr>
        <w:t xml:space="preserve"> </w:t>
      </w:r>
      <w:r w:rsidR="00570040" w:rsidRPr="00745958">
        <w:rPr>
          <w:rFonts w:cs="Calibri"/>
          <w:bCs/>
        </w:rPr>
        <w:t xml:space="preserve">CSHO that performs </w:t>
      </w:r>
      <w:r w:rsidR="00745958" w:rsidRPr="00745958">
        <w:rPr>
          <w:rFonts w:cs="Calibri"/>
          <w:bCs/>
        </w:rPr>
        <w:t xml:space="preserve">many of the </w:t>
      </w:r>
      <w:r w:rsidR="00482770" w:rsidRPr="00745958">
        <w:rPr>
          <w:rFonts w:cs="Calibri"/>
          <w:bCs/>
        </w:rPr>
        <w:t>asbestos inspect</w:t>
      </w:r>
      <w:r w:rsidR="00745958" w:rsidRPr="00745958">
        <w:rPr>
          <w:rFonts w:cs="Calibri"/>
          <w:bCs/>
        </w:rPr>
        <w:t xml:space="preserve">ions completed </w:t>
      </w:r>
      <w:r w:rsidR="00F96BB1">
        <w:rPr>
          <w:rFonts w:cs="Calibri"/>
          <w:bCs/>
        </w:rPr>
        <w:t xml:space="preserve">the </w:t>
      </w:r>
      <w:r w:rsidR="00482770" w:rsidRPr="00745958">
        <w:rPr>
          <w:rFonts w:cs="Calibri"/>
          <w:bCs/>
        </w:rPr>
        <w:t>O</w:t>
      </w:r>
      <w:r w:rsidR="005A595B">
        <w:rPr>
          <w:rFonts w:cs="Calibri"/>
          <w:bCs/>
        </w:rPr>
        <w:t>SHA Training Institute (O</w:t>
      </w:r>
      <w:r w:rsidR="00482770" w:rsidRPr="00745958">
        <w:rPr>
          <w:rFonts w:cs="Calibri"/>
          <w:bCs/>
        </w:rPr>
        <w:t>TI</w:t>
      </w:r>
      <w:r w:rsidR="005A595B">
        <w:rPr>
          <w:rFonts w:cs="Calibri"/>
          <w:bCs/>
        </w:rPr>
        <w:t>)</w:t>
      </w:r>
      <w:r w:rsidR="00482770" w:rsidRPr="00745958">
        <w:rPr>
          <w:rFonts w:cs="Calibri"/>
          <w:bCs/>
        </w:rPr>
        <w:t xml:space="preserve"> Construction Standards training</w:t>
      </w:r>
      <w:r w:rsidR="00745958" w:rsidRPr="00745958">
        <w:rPr>
          <w:rFonts w:cs="Calibri"/>
          <w:bCs/>
        </w:rPr>
        <w:t xml:space="preserve">, with the goal to enhance hazard </w:t>
      </w:r>
      <w:r w:rsidR="00482770" w:rsidRPr="00745958">
        <w:rPr>
          <w:rFonts w:cs="Calibri"/>
          <w:bCs/>
        </w:rPr>
        <w:t>recogn</w:t>
      </w:r>
      <w:r w:rsidR="00745958" w:rsidRPr="00745958">
        <w:rPr>
          <w:rFonts w:cs="Calibri"/>
          <w:bCs/>
        </w:rPr>
        <w:t xml:space="preserve">ition </w:t>
      </w:r>
      <w:r w:rsidR="00482770" w:rsidRPr="00745958">
        <w:rPr>
          <w:rFonts w:cs="Calibri"/>
          <w:bCs/>
        </w:rPr>
        <w:t xml:space="preserve">at these sites. </w:t>
      </w:r>
      <w:r w:rsidRPr="00745958">
        <w:rPr>
          <w:rFonts w:cs="Calibri"/>
          <w:bCs/>
        </w:rPr>
        <w:t xml:space="preserve"> Due to the circumstances, this result does not rise to the level of an observation.  OSHA will continue to discuss this performance measure during quarterly meetings.</w:t>
      </w:r>
    </w:p>
    <w:p w14:paraId="384B4245" w14:textId="3A3A10FB" w:rsidR="00E10CE2" w:rsidRDefault="00E10CE2" w:rsidP="004B42DA">
      <w:pPr>
        <w:widowControl/>
        <w:autoSpaceDE/>
        <w:adjustRightInd/>
        <w:rPr>
          <w:rFonts w:cs="Calibri"/>
          <w:bCs/>
        </w:rPr>
      </w:pPr>
    </w:p>
    <w:p w14:paraId="60AA44B3" w14:textId="2B26C362" w:rsidR="00E10CE2" w:rsidRDefault="00E10CE2" w:rsidP="004B42DA">
      <w:pPr>
        <w:widowControl/>
        <w:autoSpaceDE/>
        <w:adjustRightInd/>
        <w:rPr>
          <w:rFonts w:cs="Calibri"/>
          <w:b/>
        </w:rPr>
      </w:pPr>
      <w:r w:rsidRPr="00026D40">
        <w:rPr>
          <w:rFonts w:cs="Calibri"/>
          <w:b/>
        </w:rPr>
        <w:t>SAMM 10 – Percent of work-related fatalities responded to in one day.</w:t>
      </w:r>
    </w:p>
    <w:p w14:paraId="09224B04" w14:textId="627BC37D" w:rsidR="00967949" w:rsidRDefault="00967949" w:rsidP="004B42DA">
      <w:pPr>
        <w:widowControl/>
        <w:autoSpaceDE/>
        <w:adjustRightInd/>
        <w:rPr>
          <w:rFonts w:cs="Calibri"/>
          <w:b/>
        </w:rPr>
      </w:pPr>
    </w:p>
    <w:p w14:paraId="41078E44" w14:textId="2E1BCCB6" w:rsidR="00967949" w:rsidRDefault="00967949" w:rsidP="004B42DA">
      <w:pPr>
        <w:widowControl/>
        <w:autoSpaceDE/>
        <w:adjustRightInd/>
        <w:rPr>
          <w:rFonts w:cs="Calibri"/>
          <w:bCs/>
        </w:rPr>
      </w:pPr>
      <w:r w:rsidRPr="00722352">
        <w:rPr>
          <w:rFonts w:cs="Calibri"/>
          <w:bCs/>
          <w:u w:val="single"/>
        </w:rPr>
        <w:t>Discussion of State Plan data and FRL:</w:t>
      </w:r>
      <w:r>
        <w:rPr>
          <w:rFonts w:cs="Calibri"/>
          <w:bCs/>
        </w:rPr>
        <w:t xml:space="preserve"> The FRL for response to work-related fatalities</w:t>
      </w:r>
      <w:r w:rsidR="00D401DE">
        <w:rPr>
          <w:rFonts w:cs="Calibri"/>
          <w:bCs/>
        </w:rPr>
        <w:t>,</w:t>
      </w:r>
      <w:r>
        <w:rPr>
          <w:rFonts w:cs="Calibri"/>
          <w:bCs/>
        </w:rPr>
        <w:t xml:space="preserve"> is one day. IOSHA responded to fatalities in one day 92% of the time</w:t>
      </w:r>
      <w:r w:rsidR="004F1EB5">
        <w:rPr>
          <w:rFonts w:cs="Calibri"/>
          <w:bCs/>
        </w:rPr>
        <w:t>,</w:t>
      </w:r>
      <w:r>
        <w:rPr>
          <w:rFonts w:cs="Calibri"/>
          <w:bCs/>
        </w:rPr>
        <w:t xml:space="preserve"> which is outside the FRL.</w:t>
      </w:r>
    </w:p>
    <w:p w14:paraId="21CB3DF7" w14:textId="03D6DEAD" w:rsidR="004B42DA" w:rsidRPr="001C1E47" w:rsidRDefault="00967949" w:rsidP="00EC3C09">
      <w:pPr>
        <w:widowControl/>
        <w:autoSpaceDE/>
        <w:adjustRightInd/>
        <w:rPr>
          <w:rFonts w:cs="Calibri"/>
          <w:b/>
        </w:rPr>
      </w:pPr>
      <w:r w:rsidRPr="00967949">
        <w:rPr>
          <w:rFonts w:cs="Calibri"/>
          <w:bCs/>
          <w:u w:val="single"/>
        </w:rPr>
        <w:t>Explanation:</w:t>
      </w:r>
      <w:r w:rsidR="00482770">
        <w:rPr>
          <w:rFonts w:cs="Calibri"/>
          <w:bCs/>
        </w:rPr>
        <w:t xml:space="preserve"> Two </w:t>
      </w:r>
      <w:r w:rsidR="00D401DE">
        <w:rPr>
          <w:rFonts w:cs="Calibri"/>
          <w:bCs/>
        </w:rPr>
        <w:t xml:space="preserve">Unprogrammed Activities (UPAs) were reported as </w:t>
      </w:r>
      <w:r w:rsidR="00482770">
        <w:rPr>
          <w:rFonts w:cs="Calibri"/>
          <w:bCs/>
        </w:rPr>
        <w:t xml:space="preserve">COVID-19 </w:t>
      </w:r>
      <w:r w:rsidR="003245E5">
        <w:rPr>
          <w:rFonts w:cs="Calibri"/>
          <w:bCs/>
        </w:rPr>
        <w:t xml:space="preserve">illnesses and were initially handled as </w:t>
      </w:r>
      <w:r w:rsidR="00D401DE">
        <w:rPr>
          <w:rFonts w:cs="Calibri"/>
          <w:bCs/>
        </w:rPr>
        <w:t>Rapid Response Investigations (</w:t>
      </w:r>
      <w:r w:rsidR="003245E5">
        <w:rPr>
          <w:rFonts w:cs="Calibri"/>
          <w:bCs/>
        </w:rPr>
        <w:t>RRIs</w:t>
      </w:r>
      <w:r w:rsidR="00D401DE">
        <w:rPr>
          <w:rFonts w:cs="Calibri"/>
          <w:bCs/>
        </w:rPr>
        <w:t>)</w:t>
      </w:r>
      <w:r w:rsidR="003245E5">
        <w:rPr>
          <w:rFonts w:cs="Calibri"/>
          <w:bCs/>
        </w:rPr>
        <w:t>. Subsequently</w:t>
      </w:r>
      <w:r w:rsidR="00D401DE">
        <w:rPr>
          <w:rFonts w:cs="Calibri"/>
          <w:bCs/>
        </w:rPr>
        <w:t xml:space="preserve">, in both cases, </w:t>
      </w:r>
      <w:r w:rsidR="003245E5">
        <w:rPr>
          <w:rFonts w:cs="Calibri"/>
          <w:bCs/>
        </w:rPr>
        <w:t>they became fatalities</w:t>
      </w:r>
      <w:r w:rsidR="00D401DE">
        <w:rPr>
          <w:rFonts w:cs="Calibri"/>
          <w:bCs/>
        </w:rPr>
        <w:t>.  The Compliance Officers</w:t>
      </w:r>
      <w:r w:rsidR="003245E5">
        <w:rPr>
          <w:rFonts w:cs="Calibri"/>
          <w:bCs/>
        </w:rPr>
        <w:t xml:space="preserve"> were not aware of the urgency</w:t>
      </w:r>
      <w:r w:rsidR="00E960B4">
        <w:rPr>
          <w:rFonts w:cs="Calibri"/>
          <w:bCs/>
        </w:rPr>
        <w:t xml:space="preserve"> </w:t>
      </w:r>
      <w:r w:rsidR="003245E5">
        <w:rPr>
          <w:rFonts w:cs="Calibri"/>
          <w:bCs/>
        </w:rPr>
        <w:t>of responding</w:t>
      </w:r>
      <w:r w:rsidR="00E960B4">
        <w:rPr>
          <w:rFonts w:cs="Calibri"/>
          <w:bCs/>
        </w:rPr>
        <w:t xml:space="preserve"> (within one day)</w:t>
      </w:r>
      <w:r w:rsidR="003245E5">
        <w:rPr>
          <w:rFonts w:cs="Calibri"/>
          <w:bCs/>
        </w:rPr>
        <w:t xml:space="preserve"> to this type of fatality</w:t>
      </w:r>
      <w:r w:rsidR="00D401DE">
        <w:rPr>
          <w:rFonts w:cs="Calibri"/>
          <w:bCs/>
        </w:rPr>
        <w:t xml:space="preserve"> since engagement was already underway with the employers</w:t>
      </w:r>
      <w:r w:rsidR="00F96BB1">
        <w:rPr>
          <w:rFonts w:cs="Calibri"/>
          <w:bCs/>
        </w:rPr>
        <w:t>,</w:t>
      </w:r>
      <w:r w:rsidR="00D401DE">
        <w:rPr>
          <w:rFonts w:cs="Calibri"/>
          <w:bCs/>
        </w:rPr>
        <w:t xml:space="preserve"> </w:t>
      </w:r>
      <w:r w:rsidR="00E960B4">
        <w:rPr>
          <w:rFonts w:cs="Calibri"/>
          <w:bCs/>
        </w:rPr>
        <w:t>through the RRI process</w:t>
      </w:r>
      <w:r w:rsidR="003245E5">
        <w:rPr>
          <w:rFonts w:cs="Calibri"/>
          <w:bCs/>
        </w:rPr>
        <w:t xml:space="preserve">. This </w:t>
      </w:r>
      <w:r w:rsidR="00E960B4">
        <w:rPr>
          <w:rFonts w:cs="Calibri"/>
          <w:bCs/>
        </w:rPr>
        <w:t>state measure w</w:t>
      </w:r>
      <w:r w:rsidR="003245E5">
        <w:rPr>
          <w:rFonts w:cs="Calibri"/>
          <w:bCs/>
        </w:rPr>
        <w:t>as addressed with</w:t>
      </w:r>
      <w:r w:rsidR="00E960B4">
        <w:rPr>
          <w:rFonts w:cs="Calibri"/>
          <w:bCs/>
        </w:rPr>
        <w:t xml:space="preserve"> all staff through</w:t>
      </w:r>
      <w:r w:rsidR="003245E5">
        <w:rPr>
          <w:rFonts w:cs="Calibri"/>
          <w:bCs/>
        </w:rPr>
        <w:t xml:space="preserve"> additional training.    </w:t>
      </w:r>
    </w:p>
    <w:p w14:paraId="3E255CD9" w14:textId="77777777" w:rsidR="006D1B18" w:rsidRDefault="006D1B18" w:rsidP="007A71AC">
      <w:pPr>
        <w:widowControl/>
        <w:autoSpaceDE/>
        <w:autoSpaceDN/>
        <w:adjustRightInd/>
        <w:rPr>
          <w:rFonts w:cs="Calibri"/>
        </w:rPr>
      </w:pPr>
    </w:p>
    <w:p w14:paraId="38FCAF7F" w14:textId="77777777" w:rsidR="006D1B18" w:rsidRDefault="006D1B18" w:rsidP="007A71AC">
      <w:pPr>
        <w:widowControl/>
        <w:autoSpaceDE/>
        <w:autoSpaceDN/>
        <w:adjustRightInd/>
        <w:rPr>
          <w:rFonts w:cs="Calibri"/>
        </w:rPr>
      </w:pPr>
    </w:p>
    <w:p w14:paraId="4DD4CBB7" w14:textId="433B3DB2" w:rsidR="006D1B18" w:rsidRPr="001C1E47" w:rsidRDefault="006D1B18" w:rsidP="007A71AC">
      <w:pPr>
        <w:widowControl/>
        <w:autoSpaceDE/>
        <w:autoSpaceDN/>
        <w:adjustRightInd/>
        <w:rPr>
          <w:rFonts w:cs="Calibri"/>
        </w:rPr>
        <w:sectPr w:rsidR="006D1B18" w:rsidRPr="001C1E47" w:rsidSect="00783189">
          <w:footerReference w:type="default" r:id="rId10"/>
          <w:footerReference w:type="first" r:id="rId11"/>
          <w:pgSz w:w="12240" w:h="15840"/>
          <w:pgMar w:top="1440" w:right="1260" w:bottom="1260" w:left="1440" w:header="720" w:footer="526" w:gutter="0"/>
          <w:pgNumType w:start="1"/>
          <w:cols w:space="720"/>
          <w:titlePg/>
          <w:docGrid w:linePitch="360"/>
        </w:sectPr>
      </w:pPr>
      <w:r>
        <w:rPr>
          <w:rFonts w:cs="Calibri"/>
        </w:rPr>
        <w:tab/>
      </w:r>
      <w:r>
        <w:rPr>
          <w:rFonts w:cs="Calibri"/>
        </w:rPr>
        <w:tab/>
      </w:r>
      <w:r>
        <w:rPr>
          <w:rFonts w:cs="Calibri"/>
        </w:rPr>
        <w:tab/>
      </w:r>
      <w:r>
        <w:rPr>
          <w:rFonts w:cs="Calibri"/>
        </w:rPr>
        <w:tab/>
      </w:r>
      <w:r>
        <w:rPr>
          <w:rFonts w:cs="Calibri"/>
        </w:rPr>
        <w:tab/>
      </w:r>
    </w:p>
    <w:p w14:paraId="14AF2CBD" w14:textId="5D770B62" w:rsidR="008D57E5" w:rsidRPr="0002572C" w:rsidRDefault="008D57E5" w:rsidP="00412965">
      <w:pPr>
        <w:pStyle w:val="Heading3"/>
      </w:pPr>
      <w:bookmarkStart w:id="35" w:name="_Toc129699009"/>
      <w:bookmarkStart w:id="36" w:name="_Toc118905017"/>
      <w:r w:rsidRPr="0002572C">
        <w:lastRenderedPageBreak/>
        <w:t xml:space="preserve">Appendix A – New and Continued </w:t>
      </w:r>
      <w:r w:rsidR="00CD7077">
        <w:t>Finding</w:t>
      </w:r>
      <w:r w:rsidRPr="0002572C">
        <w:t>s and Recommendations</w:t>
      </w:r>
      <w:bookmarkEnd w:id="35"/>
    </w:p>
    <w:p w14:paraId="5F837E8B" w14:textId="77777777" w:rsidR="00D401DE" w:rsidRDefault="00D401DE" w:rsidP="008D57E5"/>
    <w:p w14:paraId="1F541312" w14:textId="425F5D1A" w:rsidR="008D57E5" w:rsidRDefault="008D57E5" w:rsidP="008D57E5">
      <w:r>
        <w:t>FY 2022 Iowa State Plan</w:t>
      </w:r>
      <w:r w:rsidRPr="00476C08">
        <w:rPr>
          <w:color w:val="0070C0"/>
        </w:rPr>
        <w:t xml:space="preserve"> </w:t>
      </w:r>
      <w:r>
        <w:t>Follow-up FAME Report</w:t>
      </w:r>
    </w:p>
    <w:p w14:paraId="776C6D28" w14:textId="77777777" w:rsidR="008D57E5" w:rsidRPr="001C1E47" w:rsidRDefault="008D57E5" w:rsidP="008D57E5">
      <w:pPr>
        <w:widowControl/>
        <w:tabs>
          <w:tab w:val="left" w:pos="3630"/>
        </w:tabs>
        <w:autoSpaceDE/>
        <w:autoSpaceDN/>
        <w:adjustRightInd/>
        <w:rPr>
          <w:rFonts w:cs="Calibri"/>
        </w:rPr>
      </w:pPr>
    </w:p>
    <w:p w14:paraId="15A48CA6" w14:textId="0F86518A" w:rsidR="008D57E5" w:rsidRPr="001C1E47" w:rsidRDefault="008D57E5" w:rsidP="008D57E5">
      <w:pPr>
        <w:widowControl/>
        <w:autoSpaceDE/>
        <w:autoSpaceDN/>
        <w:adjustRightInd/>
        <w:rPr>
          <w:rFonts w:cs="Calibri"/>
        </w:rPr>
      </w:pPr>
      <w:r>
        <w:rPr>
          <w:rFonts w:cs="Calibri"/>
        </w:rPr>
        <w:t xml:space="preserve">There were no new </w:t>
      </w:r>
      <w:r w:rsidR="00C11B15">
        <w:rPr>
          <w:rFonts w:cs="Calibri"/>
        </w:rPr>
        <w:t>f</w:t>
      </w:r>
      <w:r w:rsidR="00CD7077">
        <w:rPr>
          <w:rFonts w:cs="Calibri"/>
        </w:rPr>
        <w:t>inding</w:t>
      </w:r>
      <w:r>
        <w:rPr>
          <w:rFonts w:cs="Calibri"/>
        </w:rPr>
        <w:t>s in FY</w:t>
      </w:r>
      <w:r w:rsidR="004137DE">
        <w:rPr>
          <w:rFonts w:cs="Calibri"/>
        </w:rPr>
        <w:t xml:space="preserve"> </w:t>
      </w:r>
      <w:r>
        <w:rPr>
          <w:rFonts w:cs="Calibri"/>
        </w:rPr>
        <w:t>2022</w:t>
      </w:r>
      <w:r w:rsidR="00722352">
        <w:rPr>
          <w:rFonts w:cs="Calibri"/>
        </w:rPr>
        <w:t xml:space="preserve"> and </w:t>
      </w:r>
      <w:r w:rsidR="00D05A52">
        <w:rPr>
          <w:rFonts w:cs="Calibri"/>
        </w:rPr>
        <w:t xml:space="preserve">no continued </w:t>
      </w:r>
      <w:r w:rsidR="00C11B15">
        <w:rPr>
          <w:rFonts w:cs="Calibri"/>
        </w:rPr>
        <w:t>f</w:t>
      </w:r>
      <w:r w:rsidR="00D05A52">
        <w:rPr>
          <w:rFonts w:cs="Calibri"/>
        </w:rPr>
        <w:t xml:space="preserve">indings from the </w:t>
      </w:r>
      <w:r w:rsidR="00722352">
        <w:rPr>
          <w:rFonts w:cs="Calibri"/>
        </w:rPr>
        <w:t>FY 2021</w:t>
      </w:r>
      <w:r w:rsidR="00D05A52">
        <w:rPr>
          <w:rFonts w:cs="Calibri"/>
        </w:rPr>
        <w:t xml:space="preserve"> Report</w:t>
      </w:r>
      <w:r>
        <w:rPr>
          <w:rFonts w:cs="Calibri"/>
        </w:rPr>
        <w:t>.</w:t>
      </w:r>
    </w:p>
    <w:p w14:paraId="70EDA140" w14:textId="77777777" w:rsidR="007A7A2C" w:rsidRDefault="007A7A2C">
      <w:pPr>
        <w:widowControl/>
        <w:autoSpaceDE/>
        <w:autoSpaceDN/>
        <w:adjustRightInd/>
        <w:rPr>
          <w:rFonts w:asciiTheme="minorHAnsi" w:hAnsiTheme="minorHAnsi" w:cstheme="minorHAnsi"/>
          <w:b/>
          <w:bCs/>
          <w:sz w:val="28"/>
          <w:szCs w:val="28"/>
        </w:rPr>
      </w:pPr>
      <w:bookmarkStart w:id="37" w:name="_Toc129699010"/>
      <w:r>
        <w:br w:type="page"/>
      </w:r>
    </w:p>
    <w:p w14:paraId="78A72388" w14:textId="0E872045" w:rsidR="008D57E5" w:rsidRPr="0002572C" w:rsidRDefault="008D57E5" w:rsidP="00412965">
      <w:pPr>
        <w:pStyle w:val="Heading3"/>
      </w:pPr>
      <w:r w:rsidRPr="0002572C">
        <w:lastRenderedPageBreak/>
        <w:t>Appendix B – Observations Subject to Continued Monitoring</w:t>
      </w:r>
      <w:bookmarkEnd w:id="37"/>
    </w:p>
    <w:p w14:paraId="6E90C195" w14:textId="77777777" w:rsidR="00D401DE" w:rsidRDefault="00D401DE" w:rsidP="008D57E5"/>
    <w:p w14:paraId="3F0B1E27" w14:textId="48FF92F3" w:rsidR="008D57E5" w:rsidRPr="00F0678A" w:rsidRDefault="008D57E5" w:rsidP="008D57E5">
      <w:r>
        <w:t>FY 2022 Iowa</w:t>
      </w:r>
      <w:r w:rsidRPr="00476C08">
        <w:rPr>
          <w:color w:val="0070C0"/>
        </w:rPr>
        <w:t xml:space="preserve"> </w:t>
      </w:r>
      <w:r>
        <w:t>Follow-up FAME Report</w:t>
      </w:r>
      <w:r w:rsidR="00412965">
        <w:t xml:space="preserve"> </w:t>
      </w:r>
    </w:p>
    <w:p w14:paraId="4F778723" w14:textId="77777777" w:rsidR="008D57E5" w:rsidRPr="001C1E47" w:rsidRDefault="008D57E5" w:rsidP="008D57E5">
      <w:pPr>
        <w:widowControl/>
        <w:autoSpaceDE/>
        <w:autoSpaceDN/>
        <w:adjustRightInd/>
        <w:rPr>
          <w:rFonts w:cs="Calibri"/>
          <w:i/>
        </w:rPr>
      </w:pPr>
    </w:p>
    <w:p w14:paraId="37882F8B" w14:textId="77777777" w:rsidR="008D57E5" w:rsidRPr="001C1E47" w:rsidRDefault="008D57E5" w:rsidP="008D57E5">
      <w:pPr>
        <w:widowControl/>
        <w:autoSpaceDE/>
        <w:autoSpaceDN/>
        <w:adjustRightInd/>
        <w:rPr>
          <w:rFonts w:cs="Calibri"/>
          <w:i/>
        </w:rPr>
        <w:sectPr w:rsidR="008D57E5" w:rsidRPr="001C1E47" w:rsidSect="00DD7206">
          <w:footerReference w:type="default" r:id="rId12"/>
          <w:footerReference w:type="first" r:id="rId13"/>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425"/>
        <w:gridCol w:w="2922"/>
        <w:gridCol w:w="2657"/>
        <w:gridCol w:w="2630"/>
        <w:gridCol w:w="2316"/>
      </w:tblGrid>
      <w:tr w:rsidR="008D57E5" w:rsidRPr="00D07D54" w14:paraId="54C28D3B" w14:textId="77777777" w:rsidTr="007C0019">
        <w:trPr>
          <w:cantSplit/>
          <w:tblHeader/>
        </w:trPr>
        <w:tc>
          <w:tcPr>
            <w:tcW w:w="2425" w:type="dxa"/>
          </w:tcPr>
          <w:p w14:paraId="7E94BB90" w14:textId="77777777" w:rsidR="008D57E5" w:rsidRPr="00727233" w:rsidRDefault="008D57E5" w:rsidP="00C1799C">
            <w:pPr>
              <w:widowControl/>
              <w:autoSpaceDE/>
              <w:autoSpaceDN/>
              <w:adjustRightInd/>
              <w:rPr>
                <w:rFonts w:cs="Calibri"/>
                <w:b/>
              </w:rPr>
            </w:pPr>
            <w:r w:rsidRPr="00727233">
              <w:rPr>
                <w:rFonts w:cs="Calibri"/>
                <w:b/>
              </w:rPr>
              <w:t>Observation #</w:t>
            </w:r>
          </w:p>
          <w:p w14:paraId="2AEC7BE0" w14:textId="77777777" w:rsidR="008D57E5" w:rsidRPr="00727233" w:rsidRDefault="008D57E5" w:rsidP="00C1799C">
            <w:pPr>
              <w:widowControl/>
              <w:autoSpaceDE/>
              <w:autoSpaceDN/>
              <w:adjustRightInd/>
              <w:rPr>
                <w:rFonts w:cs="Calibri"/>
                <w:b/>
              </w:rPr>
            </w:pPr>
            <w:r w:rsidRPr="00727233">
              <w:rPr>
                <w:rFonts w:cs="Calibri"/>
                <w:b/>
              </w:rPr>
              <w:t>FY 2022-OB-#</w:t>
            </w:r>
          </w:p>
          <w:p w14:paraId="4D58FDE4" w14:textId="77777777" w:rsidR="008D57E5" w:rsidRPr="00727233" w:rsidRDefault="008D57E5" w:rsidP="00C1799C">
            <w:pPr>
              <w:widowControl/>
              <w:autoSpaceDE/>
              <w:autoSpaceDN/>
              <w:adjustRightInd/>
              <w:rPr>
                <w:rFonts w:cs="Calibri"/>
                <w:i/>
              </w:rPr>
            </w:pPr>
          </w:p>
        </w:tc>
        <w:tc>
          <w:tcPr>
            <w:tcW w:w="2922" w:type="dxa"/>
          </w:tcPr>
          <w:p w14:paraId="6A10F289" w14:textId="77777777" w:rsidR="008D57E5" w:rsidRPr="00727233" w:rsidRDefault="008D57E5" w:rsidP="00C1799C">
            <w:pPr>
              <w:widowControl/>
              <w:autoSpaceDE/>
              <w:autoSpaceDN/>
              <w:adjustRightInd/>
              <w:rPr>
                <w:rFonts w:cs="Calibri"/>
                <w:b/>
              </w:rPr>
            </w:pPr>
            <w:r w:rsidRPr="00727233">
              <w:rPr>
                <w:rFonts w:cs="Calibri"/>
                <w:b/>
              </w:rPr>
              <w:t>Observation#</w:t>
            </w:r>
          </w:p>
          <w:p w14:paraId="27356263" w14:textId="77777777" w:rsidR="008D57E5" w:rsidRPr="00727233" w:rsidRDefault="008D57E5" w:rsidP="00C1799C">
            <w:pPr>
              <w:widowControl/>
              <w:autoSpaceDE/>
              <w:autoSpaceDN/>
              <w:adjustRightInd/>
              <w:rPr>
                <w:rFonts w:cs="Calibri"/>
                <w:i/>
              </w:rPr>
            </w:pPr>
            <w:r w:rsidRPr="00727233">
              <w:rPr>
                <w:rFonts w:cs="Calibri"/>
                <w:b/>
              </w:rPr>
              <w:t xml:space="preserve">FY 2021-OB-01 </w:t>
            </w:r>
            <w:r w:rsidRPr="00727233">
              <w:rPr>
                <w:rFonts w:cs="Calibri"/>
                <w:b/>
                <w:i/>
              </w:rPr>
              <w:t>or</w:t>
            </w:r>
            <w:r w:rsidRPr="00727233">
              <w:rPr>
                <w:rFonts w:cs="Calibri"/>
                <w:b/>
              </w:rPr>
              <w:t xml:space="preserve"> FY 2021-01</w:t>
            </w:r>
          </w:p>
        </w:tc>
        <w:tc>
          <w:tcPr>
            <w:tcW w:w="2657" w:type="dxa"/>
          </w:tcPr>
          <w:p w14:paraId="460C4A07" w14:textId="77777777" w:rsidR="008D57E5" w:rsidRPr="00727233" w:rsidRDefault="008D57E5" w:rsidP="00C1799C">
            <w:pPr>
              <w:widowControl/>
              <w:autoSpaceDE/>
              <w:autoSpaceDN/>
              <w:adjustRightInd/>
              <w:rPr>
                <w:rFonts w:cs="Calibri"/>
                <w:i/>
              </w:rPr>
            </w:pPr>
            <w:r w:rsidRPr="00727233">
              <w:rPr>
                <w:rFonts w:cs="Calibri"/>
                <w:b/>
              </w:rPr>
              <w:t>Observation</w:t>
            </w:r>
          </w:p>
        </w:tc>
        <w:tc>
          <w:tcPr>
            <w:tcW w:w="2630" w:type="dxa"/>
          </w:tcPr>
          <w:p w14:paraId="6080D51E" w14:textId="77777777" w:rsidR="008D57E5" w:rsidRPr="00727233" w:rsidRDefault="008D57E5" w:rsidP="00C1799C">
            <w:pPr>
              <w:widowControl/>
              <w:autoSpaceDE/>
              <w:autoSpaceDN/>
              <w:adjustRightInd/>
              <w:rPr>
                <w:rFonts w:cs="Calibri"/>
                <w:i/>
              </w:rPr>
            </w:pPr>
            <w:r w:rsidRPr="00727233">
              <w:rPr>
                <w:rFonts w:cs="Calibri"/>
                <w:b/>
              </w:rPr>
              <w:t>Federal Monitoring Plan</w:t>
            </w:r>
          </w:p>
        </w:tc>
        <w:tc>
          <w:tcPr>
            <w:tcW w:w="2316" w:type="dxa"/>
          </w:tcPr>
          <w:p w14:paraId="497CD34A" w14:textId="77777777" w:rsidR="008D57E5" w:rsidRPr="00727233" w:rsidRDefault="008D57E5" w:rsidP="00C1799C">
            <w:pPr>
              <w:widowControl/>
              <w:autoSpaceDE/>
              <w:autoSpaceDN/>
              <w:adjustRightInd/>
              <w:rPr>
                <w:rFonts w:cs="Calibri"/>
                <w:b/>
              </w:rPr>
            </w:pPr>
            <w:r w:rsidRPr="00727233">
              <w:rPr>
                <w:rFonts w:cs="Calibri"/>
                <w:b/>
              </w:rPr>
              <w:t>Current Status</w:t>
            </w:r>
          </w:p>
        </w:tc>
      </w:tr>
      <w:tr w:rsidR="008D57E5" w:rsidRPr="00D07D54" w14:paraId="433FEC5B" w14:textId="77777777" w:rsidTr="007C0019">
        <w:trPr>
          <w:cantSplit/>
        </w:trPr>
        <w:tc>
          <w:tcPr>
            <w:tcW w:w="2425" w:type="dxa"/>
          </w:tcPr>
          <w:p w14:paraId="46B0F7FC" w14:textId="77777777" w:rsidR="008D57E5" w:rsidRPr="00727233" w:rsidRDefault="008D57E5" w:rsidP="00C1799C">
            <w:pPr>
              <w:widowControl/>
              <w:autoSpaceDE/>
              <w:autoSpaceDN/>
              <w:adjustRightInd/>
              <w:rPr>
                <w:rFonts w:cs="Calibri"/>
                <w:iCs/>
              </w:rPr>
            </w:pPr>
            <w:r w:rsidRPr="00727233">
              <w:rPr>
                <w:rFonts w:cs="Calibri"/>
                <w:iCs/>
              </w:rPr>
              <w:t>FY 2022-OB-01</w:t>
            </w:r>
          </w:p>
          <w:p w14:paraId="0E265970" w14:textId="77777777" w:rsidR="008D57E5" w:rsidRPr="00727233" w:rsidRDefault="008D57E5" w:rsidP="00C1799C">
            <w:pPr>
              <w:widowControl/>
              <w:autoSpaceDE/>
              <w:autoSpaceDN/>
              <w:adjustRightInd/>
              <w:rPr>
                <w:rFonts w:cs="Calibri"/>
                <w:iCs/>
              </w:rPr>
            </w:pPr>
          </w:p>
        </w:tc>
        <w:tc>
          <w:tcPr>
            <w:tcW w:w="2922" w:type="dxa"/>
          </w:tcPr>
          <w:p w14:paraId="7041DDD3" w14:textId="77777777" w:rsidR="008D57E5" w:rsidRPr="00727233" w:rsidRDefault="008D57E5" w:rsidP="00C1799C">
            <w:pPr>
              <w:widowControl/>
              <w:autoSpaceDE/>
              <w:autoSpaceDN/>
              <w:adjustRightInd/>
              <w:rPr>
                <w:rFonts w:cs="Calibri"/>
                <w:iCs/>
              </w:rPr>
            </w:pPr>
            <w:r w:rsidRPr="00727233">
              <w:rPr>
                <w:rFonts w:cs="Calibri"/>
                <w:iCs/>
              </w:rPr>
              <w:t>FY 2021-OB-01</w:t>
            </w:r>
          </w:p>
          <w:p w14:paraId="29E7D413" w14:textId="77777777" w:rsidR="008D57E5" w:rsidRPr="00727233" w:rsidRDefault="008D57E5" w:rsidP="00C1799C">
            <w:pPr>
              <w:widowControl/>
              <w:autoSpaceDE/>
              <w:autoSpaceDN/>
              <w:adjustRightInd/>
              <w:rPr>
                <w:rFonts w:cs="Calibri"/>
                <w:iCs/>
              </w:rPr>
            </w:pPr>
          </w:p>
        </w:tc>
        <w:tc>
          <w:tcPr>
            <w:tcW w:w="2657" w:type="dxa"/>
          </w:tcPr>
          <w:p w14:paraId="3DBFB073" w14:textId="77777777" w:rsidR="008D57E5" w:rsidRPr="00727233" w:rsidRDefault="008D57E5" w:rsidP="00C1799C">
            <w:pPr>
              <w:widowControl/>
              <w:autoSpaceDE/>
              <w:autoSpaceDN/>
              <w:adjustRightInd/>
              <w:rPr>
                <w:rFonts w:cs="Calibri"/>
                <w:iCs/>
              </w:rPr>
            </w:pPr>
            <w:r w:rsidRPr="00727233">
              <w:rPr>
                <w:rFonts w:cs="Calibri"/>
                <w:iCs/>
              </w:rPr>
              <w:t>Seven (7) of 80 (8.75%) case files reviewed, did not contain, both the OSHA 300 Logs and the OIS generated injury and illness printouts in the case file.</w:t>
            </w:r>
          </w:p>
        </w:tc>
        <w:tc>
          <w:tcPr>
            <w:tcW w:w="2630" w:type="dxa"/>
          </w:tcPr>
          <w:p w14:paraId="7DE0F38E" w14:textId="1C0F6C8B" w:rsidR="008D57E5" w:rsidRPr="00727233" w:rsidRDefault="008D57E5" w:rsidP="00C1799C">
            <w:pPr>
              <w:widowControl/>
              <w:autoSpaceDE/>
              <w:autoSpaceDN/>
              <w:adjustRightInd/>
              <w:rPr>
                <w:rFonts w:cs="Calibri"/>
                <w:iCs/>
              </w:rPr>
            </w:pPr>
            <w:r w:rsidRPr="00727233">
              <w:rPr>
                <w:rFonts w:cs="Calibri"/>
                <w:iCs/>
              </w:rPr>
              <w:t>As part of the FY</w:t>
            </w:r>
            <w:r w:rsidR="004137DE" w:rsidRPr="00727233">
              <w:rPr>
                <w:rFonts w:cs="Calibri"/>
                <w:iCs/>
              </w:rPr>
              <w:t xml:space="preserve"> </w:t>
            </w:r>
            <w:r w:rsidRPr="00727233">
              <w:rPr>
                <w:rFonts w:cs="Calibri"/>
                <w:iCs/>
              </w:rPr>
              <w:t>2024 FAME, a random selection of case files will be reviewed to determine if this continues to reflect a data trend.</w:t>
            </w:r>
          </w:p>
        </w:tc>
        <w:tc>
          <w:tcPr>
            <w:tcW w:w="2316" w:type="dxa"/>
          </w:tcPr>
          <w:p w14:paraId="39EC8F3D" w14:textId="77777777" w:rsidR="008D57E5" w:rsidRPr="00727233" w:rsidRDefault="008D57E5" w:rsidP="00C1799C">
            <w:pPr>
              <w:widowControl/>
              <w:autoSpaceDE/>
              <w:autoSpaceDN/>
              <w:adjustRightInd/>
              <w:rPr>
                <w:rFonts w:cs="Calibri"/>
                <w:iCs/>
              </w:rPr>
            </w:pPr>
            <w:r w:rsidRPr="00727233">
              <w:rPr>
                <w:rFonts w:cs="Calibri"/>
                <w:iCs/>
              </w:rPr>
              <w:t>Continued</w:t>
            </w:r>
          </w:p>
        </w:tc>
      </w:tr>
      <w:tr w:rsidR="008D57E5" w:rsidRPr="00D07D54" w14:paraId="60A11B78" w14:textId="77777777" w:rsidTr="007C0019">
        <w:trPr>
          <w:cantSplit/>
        </w:trPr>
        <w:tc>
          <w:tcPr>
            <w:tcW w:w="2425" w:type="dxa"/>
          </w:tcPr>
          <w:p w14:paraId="065B26B2" w14:textId="77777777" w:rsidR="008D57E5" w:rsidRPr="00727233" w:rsidRDefault="008D57E5" w:rsidP="00C1799C">
            <w:pPr>
              <w:widowControl/>
              <w:autoSpaceDE/>
              <w:autoSpaceDN/>
              <w:adjustRightInd/>
              <w:rPr>
                <w:rFonts w:cs="Calibri"/>
                <w:iCs/>
              </w:rPr>
            </w:pPr>
            <w:r w:rsidRPr="00727233">
              <w:rPr>
                <w:rFonts w:cs="Calibri"/>
                <w:iCs/>
              </w:rPr>
              <w:t>FY 2022-OB-02</w:t>
            </w:r>
          </w:p>
          <w:p w14:paraId="71E820A6" w14:textId="77777777" w:rsidR="008D57E5" w:rsidRPr="00727233" w:rsidRDefault="008D57E5" w:rsidP="00C1799C">
            <w:pPr>
              <w:widowControl/>
              <w:autoSpaceDE/>
              <w:autoSpaceDN/>
              <w:adjustRightInd/>
              <w:rPr>
                <w:rFonts w:cs="Calibri"/>
                <w:iCs/>
              </w:rPr>
            </w:pPr>
          </w:p>
        </w:tc>
        <w:tc>
          <w:tcPr>
            <w:tcW w:w="2922" w:type="dxa"/>
          </w:tcPr>
          <w:p w14:paraId="71398407" w14:textId="77777777" w:rsidR="008D57E5" w:rsidRPr="00727233" w:rsidRDefault="008D57E5" w:rsidP="00C1799C">
            <w:pPr>
              <w:widowControl/>
              <w:autoSpaceDE/>
              <w:autoSpaceDN/>
              <w:adjustRightInd/>
              <w:rPr>
                <w:rFonts w:cs="Calibri"/>
                <w:iCs/>
              </w:rPr>
            </w:pPr>
            <w:r w:rsidRPr="00727233">
              <w:rPr>
                <w:rFonts w:cs="Calibri"/>
                <w:iCs/>
              </w:rPr>
              <w:t>FY 2021-OB-02</w:t>
            </w:r>
          </w:p>
        </w:tc>
        <w:tc>
          <w:tcPr>
            <w:tcW w:w="2657" w:type="dxa"/>
          </w:tcPr>
          <w:p w14:paraId="468AE6F8" w14:textId="77777777" w:rsidR="008D57E5" w:rsidRPr="00727233" w:rsidRDefault="008D57E5" w:rsidP="00C1799C">
            <w:pPr>
              <w:widowControl/>
              <w:autoSpaceDE/>
              <w:autoSpaceDN/>
              <w:adjustRightInd/>
              <w:rPr>
                <w:rFonts w:cs="Calibri"/>
                <w:iCs/>
              </w:rPr>
            </w:pPr>
            <w:r w:rsidRPr="00727233">
              <w:rPr>
                <w:rFonts w:cs="Calibri"/>
                <w:iCs/>
              </w:rPr>
              <w:t>Six of 45 (13%) non-in-compliance case files reviewed did not include adequate employer knowledge in the worksheets to support citations as required by the IACPL 02-00-160, FOM, February 11, 2018, Chapter 4.II.C.4.</w:t>
            </w:r>
          </w:p>
        </w:tc>
        <w:tc>
          <w:tcPr>
            <w:tcW w:w="2630" w:type="dxa"/>
          </w:tcPr>
          <w:p w14:paraId="59CB9D9F" w14:textId="16C3D8CE" w:rsidR="008D57E5" w:rsidRPr="00727233" w:rsidRDefault="008D57E5" w:rsidP="00C1799C">
            <w:pPr>
              <w:widowControl/>
              <w:autoSpaceDE/>
              <w:autoSpaceDN/>
              <w:adjustRightInd/>
              <w:rPr>
                <w:rFonts w:cs="Calibri"/>
                <w:iCs/>
              </w:rPr>
            </w:pPr>
            <w:r w:rsidRPr="00727233">
              <w:rPr>
                <w:rFonts w:cs="Calibri"/>
                <w:iCs/>
              </w:rPr>
              <w:t>As part of the FY</w:t>
            </w:r>
            <w:r w:rsidR="004137DE" w:rsidRPr="00727233">
              <w:rPr>
                <w:rFonts w:cs="Calibri"/>
                <w:iCs/>
              </w:rPr>
              <w:t xml:space="preserve"> </w:t>
            </w:r>
            <w:r w:rsidRPr="00727233">
              <w:rPr>
                <w:rFonts w:cs="Calibri"/>
                <w:iCs/>
              </w:rPr>
              <w:t>2024 FAME, a random selection of case files will be reviewed to determine if this continues to reflect a data trend.</w:t>
            </w:r>
          </w:p>
        </w:tc>
        <w:tc>
          <w:tcPr>
            <w:tcW w:w="2316" w:type="dxa"/>
          </w:tcPr>
          <w:p w14:paraId="736ABB52" w14:textId="77777777" w:rsidR="008D57E5" w:rsidRPr="00727233" w:rsidRDefault="008D57E5" w:rsidP="00C1799C">
            <w:pPr>
              <w:widowControl/>
              <w:autoSpaceDE/>
              <w:autoSpaceDN/>
              <w:adjustRightInd/>
              <w:rPr>
                <w:rFonts w:cs="Calibri"/>
                <w:iCs/>
              </w:rPr>
            </w:pPr>
            <w:r w:rsidRPr="00727233">
              <w:rPr>
                <w:rFonts w:cs="Calibri"/>
                <w:iCs/>
              </w:rPr>
              <w:t>Continued</w:t>
            </w:r>
          </w:p>
        </w:tc>
      </w:tr>
      <w:tr w:rsidR="008D57E5" w:rsidRPr="00D07D54" w14:paraId="2D0128E6" w14:textId="77777777" w:rsidTr="007C0019">
        <w:trPr>
          <w:cantSplit/>
        </w:trPr>
        <w:tc>
          <w:tcPr>
            <w:tcW w:w="2425" w:type="dxa"/>
          </w:tcPr>
          <w:p w14:paraId="1FA7ACFA" w14:textId="77777777" w:rsidR="008D57E5" w:rsidRPr="00727233" w:rsidRDefault="008D57E5" w:rsidP="00C1799C">
            <w:pPr>
              <w:widowControl/>
              <w:autoSpaceDE/>
              <w:autoSpaceDN/>
              <w:adjustRightInd/>
              <w:rPr>
                <w:rFonts w:cs="Calibri"/>
                <w:iCs/>
              </w:rPr>
            </w:pPr>
            <w:r w:rsidRPr="00727233">
              <w:rPr>
                <w:rFonts w:cs="Calibri"/>
                <w:iCs/>
              </w:rPr>
              <w:lastRenderedPageBreak/>
              <w:t>FY 2022-OB-03</w:t>
            </w:r>
          </w:p>
          <w:p w14:paraId="7EA3B940" w14:textId="77777777" w:rsidR="008D57E5" w:rsidRPr="00727233" w:rsidRDefault="008D57E5" w:rsidP="00C1799C">
            <w:pPr>
              <w:widowControl/>
              <w:autoSpaceDE/>
              <w:autoSpaceDN/>
              <w:adjustRightInd/>
              <w:rPr>
                <w:rFonts w:cs="Calibri"/>
                <w:iCs/>
              </w:rPr>
            </w:pPr>
          </w:p>
        </w:tc>
        <w:tc>
          <w:tcPr>
            <w:tcW w:w="2922" w:type="dxa"/>
          </w:tcPr>
          <w:p w14:paraId="6A06C28F" w14:textId="6072A7F2" w:rsidR="008D57E5" w:rsidRPr="00727233" w:rsidRDefault="008D57E5" w:rsidP="00C1799C">
            <w:pPr>
              <w:widowControl/>
              <w:autoSpaceDE/>
              <w:autoSpaceDN/>
              <w:adjustRightInd/>
              <w:rPr>
                <w:rFonts w:cs="Calibri"/>
                <w:iCs/>
              </w:rPr>
            </w:pPr>
            <w:r w:rsidRPr="00086C37">
              <w:rPr>
                <w:rFonts w:cs="Calibri"/>
                <w:iCs/>
              </w:rPr>
              <w:t>FY 202</w:t>
            </w:r>
            <w:r w:rsidR="00086C37" w:rsidRPr="00086C37">
              <w:rPr>
                <w:rFonts w:cs="Calibri"/>
                <w:iCs/>
              </w:rPr>
              <w:t>1</w:t>
            </w:r>
            <w:r w:rsidRPr="00727233">
              <w:rPr>
                <w:rFonts w:cs="Calibri"/>
                <w:iCs/>
              </w:rPr>
              <w:t>-OB-03</w:t>
            </w:r>
          </w:p>
        </w:tc>
        <w:tc>
          <w:tcPr>
            <w:tcW w:w="2657" w:type="dxa"/>
          </w:tcPr>
          <w:p w14:paraId="2062E0F6" w14:textId="77777777" w:rsidR="008D57E5" w:rsidRPr="00727233" w:rsidRDefault="008D57E5" w:rsidP="00C1799C">
            <w:pPr>
              <w:widowControl/>
              <w:autoSpaceDE/>
              <w:autoSpaceDN/>
              <w:adjustRightInd/>
              <w:rPr>
                <w:rFonts w:cs="Calibri"/>
                <w:iCs/>
              </w:rPr>
            </w:pPr>
            <w:r w:rsidRPr="00727233">
              <w:rPr>
                <w:rFonts w:cs="Calibri"/>
                <w:iCs/>
              </w:rPr>
              <w:t>Five of the 45 (11%) non-in-compliance case files did not include adequate severity and probability justifications in the worksheets</w:t>
            </w:r>
          </w:p>
        </w:tc>
        <w:tc>
          <w:tcPr>
            <w:tcW w:w="2630" w:type="dxa"/>
          </w:tcPr>
          <w:p w14:paraId="0C5CFE42" w14:textId="4BD56D6F" w:rsidR="008D57E5" w:rsidRPr="00727233" w:rsidRDefault="008D57E5" w:rsidP="00C1799C">
            <w:pPr>
              <w:widowControl/>
              <w:autoSpaceDE/>
              <w:autoSpaceDN/>
              <w:adjustRightInd/>
              <w:rPr>
                <w:rFonts w:cs="Calibri"/>
                <w:iCs/>
              </w:rPr>
            </w:pPr>
            <w:r w:rsidRPr="00727233">
              <w:rPr>
                <w:rFonts w:cs="Calibri"/>
                <w:iCs/>
              </w:rPr>
              <w:t xml:space="preserve">Since the </w:t>
            </w:r>
            <w:r w:rsidR="00C11B15">
              <w:rPr>
                <w:rFonts w:cs="Calibri"/>
                <w:iCs/>
              </w:rPr>
              <w:t>State Plan</w:t>
            </w:r>
            <w:r w:rsidRPr="00727233">
              <w:rPr>
                <w:rFonts w:cs="Calibri"/>
                <w:iCs/>
              </w:rPr>
              <w:t xml:space="preserve">  continu</w:t>
            </w:r>
            <w:r w:rsidR="00C11B15">
              <w:rPr>
                <w:rFonts w:cs="Calibri"/>
                <w:iCs/>
              </w:rPr>
              <w:t xml:space="preserve">es </w:t>
            </w:r>
            <w:r w:rsidRPr="00727233">
              <w:rPr>
                <w:rFonts w:cs="Calibri"/>
                <w:iCs/>
              </w:rPr>
              <w:t xml:space="preserve"> to conduct training on this issue</w:t>
            </w:r>
            <w:r w:rsidR="00930055">
              <w:rPr>
                <w:rFonts w:cs="Calibri"/>
                <w:iCs/>
              </w:rPr>
              <w:t>, a</w:t>
            </w:r>
            <w:r w:rsidRPr="00727233">
              <w:rPr>
                <w:rFonts w:cs="Calibri"/>
                <w:iCs/>
              </w:rPr>
              <w:t>s part of the FY</w:t>
            </w:r>
            <w:r w:rsidR="004137DE" w:rsidRPr="00727233">
              <w:rPr>
                <w:rFonts w:cs="Calibri"/>
                <w:iCs/>
              </w:rPr>
              <w:t xml:space="preserve"> </w:t>
            </w:r>
            <w:r w:rsidRPr="00727233">
              <w:rPr>
                <w:rFonts w:cs="Calibri"/>
                <w:iCs/>
              </w:rPr>
              <w:t>2024 FAME, a random selection of case files will be reviewed to determine if this continues to reflect a data trend.</w:t>
            </w:r>
          </w:p>
        </w:tc>
        <w:tc>
          <w:tcPr>
            <w:tcW w:w="2316" w:type="dxa"/>
          </w:tcPr>
          <w:p w14:paraId="6692E8FD" w14:textId="77777777" w:rsidR="008D57E5" w:rsidRPr="00727233" w:rsidRDefault="008D57E5" w:rsidP="00C1799C">
            <w:pPr>
              <w:widowControl/>
              <w:autoSpaceDE/>
              <w:autoSpaceDN/>
              <w:adjustRightInd/>
              <w:rPr>
                <w:rFonts w:cs="Calibri"/>
                <w:iCs/>
              </w:rPr>
            </w:pPr>
            <w:r w:rsidRPr="00727233">
              <w:rPr>
                <w:rFonts w:cs="Calibri"/>
                <w:iCs/>
              </w:rPr>
              <w:t>Continued</w:t>
            </w:r>
          </w:p>
        </w:tc>
      </w:tr>
      <w:tr w:rsidR="008D57E5" w:rsidRPr="00D07D54" w14:paraId="0C78273F" w14:textId="77777777" w:rsidTr="007C0019">
        <w:trPr>
          <w:cantSplit/>
        </w:trPr>
        <w:tc>
          <w:tcPr>
            <w:tcW w:w="2425" w:type="dxa"/>
          </w:tcPr>
          <w:p w14:paraId="208AC41E" w14:textId="77777777" w:rsidR="008D57E5" w:rsidRPr="00727233" w:rsidRDefault="008D57E5" w:rsidP="00C1799C">
            <w:pPr>
              <w:widowControl/>
              <w:autoSpaceDE/>
              <w:autoSpaceDN/>
              <w:adjustRightInd/>
              <w:rPr>
                <w:rFonts w:cs="Calibri"/>
                <w:iCs/>
              </w:rPr>
            </w:pPr>
            <w:r w:rsidRPr="00727233">
              <w:rPr>
                <w:rFonts w:cs="Calibri"/>
                <w:iCs/>
              </w:rPr>
              <w:t>FY 2022-OB-04</w:t>
            </w:r>
          </w:p>
          <w:p w14:paraId="06926E18" w14:textId="77777777" w:rsidR="008D57E5" w:rsidRPr="00727233" w:rsidRDefault="008D57E5" w:rsidP="00C1799C">
            <w:pPr>
              <w:widowControl/>
              <w:autoSpaceDE/>
              <w:autoSpaceDN/>
              <w:adjustRightInd/>
              <w:rPr>
                <w:rFonts w:cs="Calibri"/>
                <w:iCs/>
              </w:rPr>
            </w:pPr>
          </w:p>
        </w:tc>
        <w:tc>
          <w:tcPr>
            <w:tcW w:w="2922" w:type="dxa"/>
          </w:tcPr>
          <w:p w14:paraId="3A96553A" w14:textId="77777777" w:rsidR="008D57E5" w:rsidRPr="00727233" w:rsidRDefault="008D57E5" w:rsidP="00C1799C">
            <w:pPr>
              <w:widowControl/>
              <w:autoSpaceDE/>
              <w:autoSpaceDN/>
              <w:adjustRightInd/>
              <w:rPr>
                <w:rFonts w:cs="Calibri"/>
                <w:iCs/>
              </w:rPr>
            </w:pPr>
            <w:r w:rsidRPr="00727233">
              <w:rPr>
                <w:rFonts w:cs="Calibri"/>
                <w:iCs/>
              </w:rPr>
              <w:t>FY 2021-OB-04</w:t>
            </w:r>
          </w:p>
        </w:tc>
        <w:tc>
          <w:tcPr>
            <w:tcW w:w="2657" w:type="dxa"/>
          </w:tcPr>
          <w:p w14:paraId="345068FD" w14:textId="77777777" w:rsidR="008D57E5" w:rsidRPr="00727233" w:rsidRDefault="008D57E5" w:rsidP="00C1799C">
            <w:pPr>
              <w:widowControl/>
              <w:autoSpaceDE/>
              <w:autoSpaceDN/>
              <w:adjustRightInd/>
              <w:rPr>
                <w:rFonts w:cs="Calibri"/>
                <w:iCs/>
              </w:rPr>
            </w:pPr>
            <w:r w:rsidRPr="00727233">
              <w:rPr>
                <w:rFonts w:cs="Calibri"/>
                <w:iCs/>
              </w:rPr>
              <w:t>Several files reviewed did not contain the last year’s self-evaluation reports from the VPP participants. CSP 03-01-005 Section VII. L.7 states that self-evaluation reports should be maintained in the participant’s file.</w:t>
            </w:r>
          </w:p>
        </w:tc>
        <w:tc>
          <w:tcPr>
            <w:tcW w:w="2630" w:type="dxa"/>
          </w:tcPr>
          <w:p w14:paraId="0BD8805D" w14:textId="55D425F2" w:rsidR="008D57E5" w:rsidRPr="00727233" w:rsidRDefault="008D57E5" w:rsidP="00C1799C">
            <w:pPr>
              <w:widowControl/>
              <w:autoSpaceDE/>
              <w:autoSpaceDN/>
              <w:adjustRightInd/>
              <w:rPr>
                <w:rFonts w:cs="Calibri"/>
                <w:iCs/>
              </w:rPr>
            </w:pPr>
            <w:r w:rsidRPr="00727233">
              <w:rPr>
                <w:rFonts w:cs="Calibri"/>
                <w:iCs/>
              </w:rPr>
              <w:t>Since there is a new VPP manager and only 8 VPP</w:t>
            </w:r>
            <w:r w:rsidR="00C11B15">
              <w:rPr>
                <w:rFonts w:cs="Calibri"/>
                <w:iCs/>
              </w:rPr>
              <w:t>s</w:t>
            </w:r>
            <w:r w:rsidRPr="00727233">
              <w:rPr>
                <w:rFonts w:cs="Calibri"/>
                <w:iCs/>
              </w:rPr>
              <w:t xml:space="preserve"> ha</w:t>
            </w:r>
            <w:r w:rsidR="00C11B15">
              <w:rPr>
                <w:rFonts w:cs="Calibri"/>
                <w:iCs/>
              </w:rPr>
              <w:t>ve</w:t>
            </w:r>
            <w:r w:rsidRPr="00727233">
              <w:rPr>
                <w:rFonts w:cs="Calibri"/>
                <w:iCs/>
              </w:rPr>
              <w:t xml:space="preserve"> been completed</w:t>
            </w:r>
            <w:r w:rsidR="00930055">
              <w:rPr>
                <w:rFonts w:cs="Calibri"/>
                <w:iCs/>
              </w:rPr>
              <w:t>,</w:t>
            </w:r>
            <w:r w:rsidRPr="00727233">
              <w:rPr>
                <w:rFonts w:cs="Calibri"/>
                <w:iCs/>
              </w:rPr>
              <w:t xml:space="preserve"> </w:t>
            </w:r>
            <w:r w:rsidR="00930055">
              <w:rPr>
                <w:rFonts w:cs="Calibri"/>
                <w:iCs/>
              </w:rPr>
              <w:t>a</w:t>
            </w:r>
            <w:r w:rsidRPr="00727233">
              <w:rPr>
                <w:rFonts w:cs="Calibri"/>
                <w:iCs/>
              </w:rPr>
              <w:t>s part of the FY</w:t>
            </w:r>
            <w:r w:rsidR="004137DE" w:rsidRPr="00727233">
              <w:rPr>
                <w:rFonts w:cs="Calibri"/>
                <w:iCs/>
              </w:rPr>
              <w:t xml:space="preserve"> </w:t>
            </w:r>
            <w:r w:rsidRPr="00727233">
              <w:rPr>
                <w:rFonts w:cs="Calibri"/>
                <w:iCs/>
              </w:rPr>
              <w:t xml:space="preserve">2024 FAME, a random selection of case files will be reviewed to determine if this continues to reflect a data trend. </w:t>
            </w:r>
          </w:p>
        </w:tc>
        <w:tc>
          <w:tcPr>
            <w:tcW w:w="2316" w:type="dxa"/>
          </w:tcPr>
          <w:p w14:paraId="0BC12A15" w14:textId="77777777" w:rsidR="008D57E5" w:rsidRPr="00727233" w:rsidRDefault="008D57E5" w:rsidP="00C1799C">
            <w:pPr>
              <w:widowControl/>
              <w:autoSpaceDE/>
              <w:autoSpaceDN/>
              <w:adjustRightInd/>
              <w:rPr>
                <w:rFonts w:cs="Calibri"/>
                <w:iCs/>
              </w:rPr>
            </w:pPr>
            <w:r w:rsidRPr="00727233">
              <w:rPr>
                <w:rFonts w:cs="Calibri"/>
                <w:iCs/>
              </w:rPr>
              <w:t>Continued</w:t>
            </w:r>
          </w:p>
        </w:tc>
      </w:tr>
      <w:tr w:rsidR="008D57E5" w:rsidRPr="00D07D54" w14:paraId="010546A3" w14:textId="77777777" w:rsidTr="007C0019">
        <w:trPr>
          <w:cantSplit/>
        </w:trPr>
        <w:tc>
          <w:tcPr>
            <w:tcW w:w="2425" w:type="dxa"/>
          </w:tcPr>
          <w:p w14:paraId="78865787" w14:textId="77777777" w:rsidR="008D57E5" w:rsidRPr="00727233" w:rsidRDefault="008D57E5" w:rsidP="00C1799C">
            <w:pPr>
              <w:widowControl/>
              <w:autoSpaceDE/>
              <w:autoSpaceDN/>
              <w:adjustRightInd/>
              <w:rPr>
                <w:rFonts w:cs="Calibri"/>
                <w:iCs/>
              </w:rPr>
            </w:pPr>
            <w:r w:rsidRPr="00727233">
              <w:rPr>
                <w:rFonts w:cs="Calibri"/>
                <w:iCs/>
              </w:rPr>
              <w:t>FY 2022-OB-05</w:t>
            </w:r>
          </w:p>
          <w:p w14:paraId="54D8C65C" w14:textId="77777777" w:rsidR="008D57E5" w:rsidRPr="00727233" w:rsidRDefault="008D57E5" w:rsidP="00C1799C">
            <w:pPr>
              <w:widowControl/>
              <w:autoSpaceDE/>
              <w:autoSpaceDN/>
              <w:adjustRightInd/>
              <w:rPr>
                <w:rFonts w:cs="Calibri"/>
                <w:iCs/>
              </w:rPr>
            </w:pPr>
          </w:p>
        </w:tc>
        <w:tc>
          <w:tcPr>
            <w:tcW w:w="2922" w:type="dxa"/>
          </w:tcPr>
          <w:p w14:paraId="1B3E9C0E" w14:textId="77777777" w:rsidR="008D57E5" w:rsidRPr="00727233" w:rsidRDefault="008D57E5" w:rsidP="00C1799C">
            <w:pPr>
              <w:widowControl/>
              <w:autoSpaceDE/>
              <w:autoSpaceDN/>
              <w:adjustRightInd/>
              <w:rPr>
                <w:rFonts w:cs="Calibri"/>
                <w:iCs/>
              </w:rPr>
            </w:pPr>
            <w:r w:rsidRPr="00727233">
              <w:rPr>
                <w:rFonts w:cs="Calibri"/>
                <w:iCs/>
              </w:rPr>
              <w:t>FY 2021-OB-05</w:t>
            </w:r>
          </w:p>
        </w:tc>
        <w:tc>
          <w:tcPr>
            <w:tcW w:w="2657" w:type="dxa"/>
          </w:tcPr>
          <w:p w14:paraId="4BF57663" w14:textId="5855FB87" w:rsidR="008D57E5" w:rsidRPr="00727233" w:rsidRDefault="008D57E5" w:rsidP="00C1799C">
            <w:pPr>
              <w:widowControl/>
              <w:autoSpaceDE/>
              <w:autoSpaceDN/>
              <w:adjustRightInd/>
              <w:rPr>
                <w:rFonts w:cs="Calibri"/>
                <w:iCs/>
              </w:rPr>
            </w:pPr>
            <w:r w:rsidRPr="00727233">
              <w:rPr>
                <w:rFonts w:cs="Calibri"/>
                <w:iCs/>
              </w:rPr>
              <w:t xml:space="preserve">Final communication documents showing completed Audit Item </w:t>
            </w:r>
            <w:r w:rsidR="00CD7077" w:rsidRPr="00727233">
              <w:rPr>
                <w:rFonts w:cs="Calibri"/>
                <w:iCs/>
              </w:rPr>
              <w:t>Finding</w:t>
            </w:r>
            <w:r w:rsidRPr="00727233">
              <w:rPr>
                <w:rFonts w:cs="Calibri"/>
                <w:iCs/>
              </w:rPr>
              <w:t>s between IOSHA and the VPP participant were omitted from the file.</w:t>
            </w:r>
          </w:p>
          <w:p w14:paraId="22CBA1BD" w14:textId="77777777" w:rsidR="008D57E5" w:rsidRPr="00727233" w:rsidRDefault="008D57E5" w:rsidP="00C1799C">
            <w:pPr>
              <w:widowControl/>
              <w:autoSpaceDE/>
              <w:autoSpaceDN/>
              <w:adjustRightInd/>
              <w:rPr>
                <w:rFonts w:cs="Calibri"/>
                <w:iCs/>
              </w:rPr>
            </w:pPr>
          </w:p>
        </w:tc>
        <w:tc>
          <w:tcPr>
            <w:tcW w:w="2630" w:type="dxa"/>
          </w:tcPr>
          <w:p w14:paraId="7908871B" w14:textId="594F7B6E" w:rsidR="008D57E5" w:rsidRPr="00727233" w:rsidRDefault="008D57E5" w:rsidP="00C1799C">
            <w:pPr>
              <w:widowControl/>
              <w:autoSpaceDE/>
              <w:autoSpaceDN/>
              <w:adjustRightInd/>
              <w:rPr>
                <w:rFonts w:cs="Calibri"/>
                <w:iCs/>
              </w:rPr>
            </w:pPr>
            <w:r w:rsidRPr="00727233">
              <w:rPr>
                <w:rFonts w:cs="Calibri"/>
                <w:iCs/>
              </w:rPr>
              <w:t>As part of the FY</w:t>
            </w:r>
            <w:r w:rsidR="004137DE" w:rsidRPr="00727233">
              <w:rPr>
                <w:rFonts w:cs="Calibri"/>
                <w:iCs/>
              </w:rPr>
              <w:t xml:space="preserve"> </w:t>
            </w:r>
            <w:r w:rsidRPr="00727233">
              <w:rPr>
                <w:rFonts w:cs="Calibri"/>
                <w:iCs/>
              </w:rPr>
              <w:t>2024 FAME, a random selection of case files will be reviewed to determine if this continues to reflect a data trend</w:t>
            </w:r>
            <w:r w:rsidR="00C11B15">
              <w:rPr>
                <w:rFonts w:cs="Calibri"/>
                <w:iCs/>
              </w:rPr>
              <w:t>,</w:t>
            </w:r>
            <w:r w:rsidRPr="00727233">
              <w:rPr>
                <w:rFonts w:cs="Calibri"/>
                <w:iCs/>
              </w:rPr>
              <w:t xml:space="preserve"> since there is a new VPP manager.</w:t>
            </w:r>
          </w:p>
        </w:tc>
        <w:tc>
          <w:tcPr>
            <w:tcW w:w="2316" w:type="dxa"/>
          </w:tcPr>
          <w:p w14:paraId="57340088" w14:textId="77777777" w:rsidR="008D57E5" w:rsidRPr="00727233" w:rsidRDefault="008D57E5" w:rsidP="00C1799C">
            <w:pPr>
              <w:widowControl/>
              <w:autoSpaceDE/>
              <w:autoSpaceDN/>
              <w:adjustRightInd/>
              <w:rPr>
                <w:rFonts w:cs="Calibri"/>
                <w:iCs/>
              </w:rPr>
            </w:pPr>
            <w:r w:rsidRPr="00727233">
              <w:rPr>
                <w:rFonts w:cs="Calibri"/>
                <w:iCs/>
              </w:rPr>
              <w:t>Continued</w:t>
            </w:r>
          </w:p>
        </w:tc>
      </w:tr>
    </w:tbl>
    <w:p w14:paraId="42739DE7" w14:textId="77777777" w:rsidR="008D57E5" w:rsidRPr="001C1E47" w:rsidRDefault="008D57E5" w:rsidP="008D57E5">
      <w:pPr>
        <w:widowControl/>
        <w:autoSpaceDE/>
        <w:autoSpaceDN/>
        <w:adjustRightInd/>
        <w:rPr>
          <w:rFonts w:cs="Calibri"/>
          <w:i/>
          <w:sz w:val="22"/>
          <w:szCs w:val="22"/>
        </w:rPr>
        <w:sectPr w:rsidR="008D57E5" w:rsidRPr="001C1E47" w:rsidSect="00476C08">
          <w:headerReference w:type="first" r:id="rId14"/>
          <w:footerReference w:type="first" r:id="rId15"/>
          <w:type w:val="continuous"/>
          <w:pgSz w:w="15840" w:h="12240" w:orient="landscape"/>
          <w:pgMar w:top="1440" w:right="1440" w:bottom="1440" w:left="1440" w:header="720" w:footer="720" w:gutter="0"/>
          <w:cols w:space="720"/>
          <w:titlePg/>
          <w:docGrid w:linePitch="360"/>
        </w:sectPr>
      </w:pPr>
    </w:p>
    <w:p w14:paraId="687D73B8" w14:textId="158613F1" w:rsidR="008D57E5" w:rsidRDefault="008D57E5" w:rsidP="00412965">
      <w:pPr>
        <w:pStyle w:val="Heading3"/>
      </w:pPr>
      <w:bookmarkStart w:id="38" w:name="_Toc129699011"/>
      <w:r w:rsidRPr="00747710">
        <w:lastRenderedPageBreak/>
        <w:t>Appendix C - Status of FY 20</w:t>
      </w:r>
      <w:r w:rsidR="00AD6EBC">
        <w:t>21</w:t>
      </w:r>
      <w:r w:rsidRPr="00747710">
        <w:t xml:space="preserve"> </w:t>
      </w:r>
      <w:r w:rsidR="00CD7077">
        <w:t>Finding</w:t>
      </w:r>
      <w:r w:rsidRPr="00747710">
        <w:t>s and Recommendations</w:t>
      </w:r>
      <w:bookmarkEnd w:id="38"/>
    </w:p>
    <w:p w14:paraId="2FCD461E" w14:textId="77777777" w:rsidR="008D57E5" w:rsidRPr="00747710" w:rsidRDefault="008D57E5" w:rsidP="008D57E5">
      <w:r w:rsidRPr="00747710">
        <w:t xml:space="preserve">FY 2022 </w:t>
      </w:r>
      <w:r>
        <w:t>Iowa</w:t>
      </w:r>
      <w:r w:rsidRPr="00476C08">
        <w:rPr>
          <w:color w:val="0070C0"/>
        </w:rPr>
        <w:t xml:space="preserve"> </w:t>
      </w:r>
      <w:r w:rsidRPr="00747710">
        <w:t>Follow-up FAME Report</w:t>
      </w:r>
    </w:p>
    <w:p w14:paraId="7107B26E" w14:textId="77777777" w:rsidR="008D57E5" w:rsidRDefault="008D57E5" w:rsidP="008D57E5">
      <w:pPr>
        <w:widowControl/>
        <w:autoSpaceDE/>
        <w:autoSpaceDN/>
        <w:adjustRightInd/>
        <w:rPr>
          <w:rFonts w:cs="Calibri"/>
          <w:iCs/>
        </w:rPr>
      </w:pPr>
    </w:p>
    <w:tbl>
      <w:tblPr>
        <w:tblStyle w:val="TableGridLight"/>
        <w:tblpPr w:leftFromText="180" w:rightFromText="180" w:vertAnchor="page" w:horzAnchor="page" w:tblpX="1467" w:tblpY="2409"/>
        <w:tblW w:w="13320" w:type="dxa"/>
        <w:tblLayout w:type="fixed"/>
        <w:tblLook w:val="00A0" w:firstRow="1" w:lastRow="0" w:firstColumn="1" w:lastColumn="0" w:noHBand="0" w:noVBand="0"/>
      </w:tblPr>
      <w:tblGrid>
        <w:gridCol w:w="1435"/>
        <w:gridCol w:w="2250"/>
        <w:gridCol w:w="2610"/>
        <w:gridCol w:w="3240"/>
        <w:gridCol w:w="1980"/>
        <w:gridCol w:w="1805"/>
      </w:tblGrid>
      <w:tr w:rsidR="008D57E5" w:rsidRPr="001C1E47" w14:paraId="3F10B63B" w14:textId="77777777" w:rsidTr="00727233">
        <w:trPr>
          <w:trHeight w:val="412"/>
        </w:trPr>
        <w:tc>
          <w:tcPr>
            <w:tcW w:w="1435" w:type="dxa"/>
          </w:tcPr>
          <w:p w14:paraId="4F551561" w14:textId="3C4D23DA" w:rsidR="008D57E5" w:rsidRPr="00727233" w:rsidRDefault="008D57E5" w:rsidP="00B62AD8">
            <w:pPr>
              <w:rPr>
                <w:rFonts w:cs="Calibri"/>
                <w:b/>
              </w:rPr>
            </w:pPr>
            <w:r w:rsidRPr="00727233">
              <w:rPr>
                <w:rFonts w:cs="Calibri"/>
                <w:b/>
              </w:rPr>
              <w:t>FY 2021</w:t>
            </w:r>
            <w:r w:rsidR="0042478D">
              <w:rPr>
                <w:rFonts w:cs="Calibri"/>
                <w:b/>
              </w:rPr>
              <w:t>- #</w:t>
            </w:r>
          </w:p>
        </w:tc>
        <w:tc>
          <w:tcPr>
            <w:tcW w:w="2250" w:type="dxa"/>
          </w:tcPr>
          <w:p w14:paraId="0E2207FA" w14:textId="7BF863C5" w:rsidR="008D57E5" w:rsidRPr="00727233" w:rsidRDefault="00CD7077" w:rsidP="00B62AD8">
            <w:pPr>
              <w:rPr>
                <w:rFonts w:cs="Calibri"/>
                <w:b/>
              </w:rPr>
            </w:pPr>
            <w:r w:rsidRPr="00727233">
              <w:rPr>
                <w:rFonts w:cs="Calibri"/>
                <w:b/>
              </w:rPr>
              <w:t>Finding</w:t>
            </w:r>
          </w:p>
        </w:tc>
        <w:tc>
          <w:tcPr>
            <w:tcW w:w="2610" w:type="dxa"/>
          </w:tcPr>
          <w:p w14:paraId="4A98BE36" w14:textId="77777777" w:rsidR="008D57E5" w:rsidRPr="00727233" w:rsidRDefault="008D57E5" w:rsidP="00B62AD8">
            <w:pPr>
              <w:rPr>
                <w:rFonts w:cs="Calibri"/>
                <w:b/>
              </w:rPr>
            </w:pPr>
            <w:r w:rsidRPr="00727233">
              <w:rPr>
                <w:rFonts w:cs="Calibri"/>
                <w:b/>
              </w:rPr>
              <w:t>Recommendation</w:t>
            </w:r>
          </w:p>
        </w:tc>
        <w:tc>
          <w:tcPr>
            <w:tcW w:w="3240" w:type="dxa"/>
          </w:tcPr>
          <w:p w14:paraId="60C606E4" w14:textId="77777777" w:rsidR="008D57E5" w:rsidRPr="00727233" w:rsidRDefault="008D57E5" w:rsidP="00B62AD8">
            <w:pPr>
              <w:rPr>
                <w:rFonts w:cs="Calibri"/>
                <w:b/>
              </w:rPr>
            </w:pPr>
            <w:r w:rsidRPr="00727233">
              <w:rPr>
                <w:rFonts w:cs="Calibri"/>
                <w:b/>
              </w:rPr>
              <w:t>State Plan Corrective Action</w:t>
            </w:r>
          </w:p>
        </w:tc>
        <w:tc>
          <w:tcPr>
            <w:tcW w:w="1980" w:type="dxa"/>
          </w:tcPr>
          <w:p w14:paraId="28033A89" w14:textId="77777777" w:rsidR="008D57E5" w:rsidRPr="00727233" w:rsidRDefault="008D57E5" w:rsidP="00B62AD8">
            <w:pPr>
              <w:rPr>
                <w:rFonts w:cs="Calibri"/>
                <w:b/>
              </w:rPr>
            </w:pPr>
            <w:r w:rsidRPr="00727233">
              <w:rPr>
                <w:rFonts w:cs="Calibri"/>
                <w:b/>
              </w:rPr>
              <w:t>Completion Date</w:t>
            </w:r>
          </w:p>
        </w:tc>
        <w:tc>
          <w:tcPr>
            <w:tcW w:w="1805" w:type="dxa"/>
          </w:tcPr>
          <w:p w14:paraId="1EE96E37" w14:textId="77777777" w:rsidR="008D57E5" w:rsidRPr="00727233" w:rsidRDefault="008D57E5" w:rsidP="00B62AD8">
            <w:pPr>
              <w:rPr>
                <w:rFonts w:cs="Calibri"/>
                <w:b/>
              </w:rPr>
            </w:pPr>
            <w:r w:rsidRPr="00727233">
              <w:rPr>
                <w:rFonts w:cs="Calibri"/>
                <w:b/>
              </w:rPr>
              <w:t xml:space="preserve">Current Status </w:t>
            </w:r>
          </w:p>
          <w:p w14:paraId="7C3602A7" w14:textId="77777777" w:rsidR="008D57E5" w:rsidRPr="00727233" w:rsidRDefault="008D57E5" w:rsidP="00B62AD8">
            <w:pPr>
              <w:rPr>
                <w:rFonts w:cs="Calibri"/>
                <w:b/>
              </w:rPr>
            </w:pPr>
            <w:r w:rsidRPr="00727233">
              <w:rPr>
                <w:rFonts w:cs="Calibri"/>
                <w:b/>
              </w:rPr>
              <w:t>and Date</w:t>
            </w:r>
          </w:p>
        </w:tc>
      </w:tr>
      <w:tr w:rsidR="008D57E5" w:rsidRPr="001C1E47" w14:paraId="381763DA" w14:textId="77777777" w:rsidTr="00727233">
        <w:trPr>
          <w:trHeight w:val="412"/>
        </w:trPr>
        <w:tc>
          <w:tcPr>
            <w:tcW w:w="1435" w:type="dxa"/>
          </w:tcPr>
          <w:p w14:paraId="7F2BCF1F" w14:textId="004D3C70" w:rsidR="008D57E5" w:rsidRPr="00727233" w:rsidRDefault="008D57E5" w:rsidP="00B62AD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bCs/>
              </w:rPr>
            </w:pPr>
            <w:r w:rsidRPr="00727233">
              <w:rPr>
                <w:rFonts w:eastAsia="PMingLiU" w:cs="Calibri"/>
                <w:b/>
                <w:bCs/>
              </w:rPr>
              <w:t>FY</w:t>
            </w:r>
            <w:r w:rsidR="004137DE" w:rsidRPr="00727233">
              <w:rPr>
                <w:rFonts w:eastAsia="PMingLiU" w:cs="Calibri"/>
                <w:b/>
                <w:bCs/>
              </w:rPr>
              <w:t xml:space="preserve"> </w:t>
            </w:r>
            <w:r w:rsidRPr="00727233">
              <w:rPr>
                <w:rFonts w:eastAsia="PMingLiU" w:cs="Calibri"/>
                <w:b/>
                <w:bCs/>
              </w:rPr>
              <w:t>2021-01 </w:t>
            </w:r>
          </w:p>
        </w:tc>
        <w:tc>
          <w:tcPr>
            <w:tcW w:w="2250" w:type="dxa"/>
          </w:tcPr>
          <w:p w14:paraId="0CD6399F" w14:textId="77777777" w:rsidR="009B6E80" w:rsidRPr="009B6E80" w:rsidRDefault="009B6E80" w:rsidP="009B6E8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9B6E80">
              <w:rPr>
                <w:rFonts w:eastAsia="PMingLiU" w:cs="Calibri"/>
                <w:bCs/>
              </w:rPr>
              <w:t>In FY 2020, the SAMM</w:t>
            </w:r>
          </w:p>
          <w:p w14:paraId="116D4F92" w14:textId="77777777" w:rsidR="009B6E80" w:rsidRPr="009B6E80" w:rsidRDefault="009B6E80" w:rsidP="009B6E8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9B6E80">
              <w:rPr>
                <w:rFonts w:eastAsia="PMingLiU" w:cs="Calibri"/>
                <w:bCs/>
              </w:rPr>
              <w:t>data (SAMM 2a) showed the average number of working days to initiate non-formal complaint investigations was 2.95 days, which was outside the</w:t>
            </w:r>
          </w:p>
          <w:p w14:paraId="4EB5C25C" w14:textId="29926078" w:rsidR="008D57E5" w:rsidRPr="00727233" w:rsidRDefault="009B6E80" w:rsidP="009B6E8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9B6E80">
              <w:rPr>
                <w:rFonts w:eastAsia="PMingLiU" w:cs="Calibri"/>
                <w:bCs/>
              </w:rPr>
              <w:t>FRL of one day.</w:t>
            </w:r>
          </w:p>
        </w:tc>
        <w:tc>
          <w:tcPr>
            <w:tcW w:w="2610" w:type="dxa"/>
          </w:tcPr>
          <w:p w14:paraId="2DEE250E" w14:textId="0174C28F" w:rsidR="008D57E5" w:rsidRPr="00727233" w:rsidRDefault="008D57E5" w:rsidP="00B62AD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Cs/>
              </w:rPr>
            </w:pPr>
            <w:r w:rsidRPr="00727233">
              <w:rPr>
                <w:rFonts w:eastAsia="PMingLiU" w:cs="Calibri"/>
                <w:bCs/>
              </w:rPr>
              <w:t xml:space="preserve">IOSHA will continue to review their complaint process to ensure that </w:t>
            </w:r>
            <w:r w:rsidR="00C11B15">
              <w:rPr>
                <w:rFonts w:eastAsia="PMingLiU" w:cs="Calibri"/>
                <w:bCs/>
              </w:rPr>
              <w:t xml:space="preserve">the </w:t>
            </w:r>
            <w:r w:rsidRPr="00727233">
              <w:rPr>
                <w:rFonts w:eastAsia="PMingLiU" w:cs="Calibri"/>
                <w:bCs/>
              </w:rPr>
              <w:t>investigation complaint process continue</w:t>
            </w:r>
            <w:r w:rsidR="00C11B15">
              <w:rPr>
                <w:rFonts w:eastAsia="PMingLiU" w:cs="Calibri"/>
                <w:bCs/>
              </w:rPr>
              <w:t>s</w:t>
            </w:r>
            <w:r w:rsidRPr="00727233">
              <w:rPr>
                <w:rFonts w:eastAsia="PMingLiU" w:cs="Calibri"/>
                <w:bCs/>
              </w:rPr>
              <w:t xml:space="preserve"> to be within one day, on average.</w:t>
            </w:r>
          </w:p>
        </w:tc>
        <w:tc>
          <w:tcPr>
            <w:tcW w:w="3240" w:type="dxa"/>
          </w:tcPr>
          <w:p w14:paraId="24105790" w14:textId="77777777" w:rsidR="008D57E5" w:rsidRPr="00727233" w:rsidRDefault="008D57E5" w:rsidP="00B62AD8">
            <w:pPr>
              <w:pStyle w:val="TableParagraph"/>
              <w:spacing w:before="7" w:line="264" w:lineRule="auto"/>
              <w:ind w:right="265"/>
              <w:rPr>
                <w:rFonts w:asciiTheme="minorHAnsi" w:hAnsiTheme="minorHAnsi" w:cstheme="minorHAnsi"/>
                <w:sz w:val="24"/>
                <w:szCs w:val="24"/>
              </w:rPr>
            </w:pPr>
            <w:r w:rsidRPr="00727233">
              <w:rPr>
                <w:rFonts w:asciiTheme="minorHAnsi" w:hAnsiTheme="minorHAnsi" w:cstheme="minorHAnsi"/>
                <w:sz w:val="24"/>
                <w:szCs w:val="24"/>
              </w:rPr>
              <w:t>IOSHA has</w:t>
            </w:r>
            <w:r w:rsidRPr="00727233">
              <w:rPr>
                <w:rFonts w:asciiTheme="minorHAnsi" w:hAnsiTheme="minorHAnsi" w:cstheme="minorHAnsi"/>
                <w:spacing w:val="-12"/>
                <w:sz w:val="24"/>
                <w:szCs w:val="24"/>
              </w:rPr>
              <w:t xml:space="preserve"> </w:t>
            </w:r>
            <w:r w:rsidRPr="00727233">
              <w:rPr>
                <w:rFonts w:asciiTheme="minorHAnsi" w:hAnsiTheme="minorHAnsi" w:cstheme="minorHAnsi"/>
                <w:sz w:val="24"/>
                <w:szCs w:val="24"/>
              </w:rPr>
              <w:t>assigned</w:t>
            </w:r>
            <w:r w:rsidRPr="00727233">
              <w:rPr>
                <w:rFonts w:asciiTheme="minorHAnsi" w:hAnsiTheme="minorHAnsi" w:cstheme="minorHAnsi"/>
                <w:spacing w:val="-13"/>
                <w:sz w:val="24"/>
                <w:szCs w:val="24"/>
              </w:rPr>
              <w:t xml:space="preserve"> </w:t>
            </w:r>
            <w:r w:rsidRPr="00727233">
              <w:rPr>
                <w:rFonts w:asciiTheme="minorHAnsi" w:hAnsiTheme="minorHAnsi" w:cstheme="minorHAnsi"/>
                <w:sz w:val="24"/>
                <w:szCs w:val="24"/>
              </w:rPr>
              <w:t xml:space="preserve">two full time Compliance Officers to handle Duty Officer </w:t>
            </w:r>
            <w:r w:rsidRPr="00727233">
              <w:rPr>
                <w:rFonts w:asciiTheme="minorHAnsi" w:hAnsiTheme="minorHAnsi" w:cstheme="minorHAnsi"/>
                <w:spacing w:val="-2"/>
                <w:sz w:val="24"/>
                <w:szCs w:val="24"/>
              </w:rPr>
              <w:t>responsibilities.</w:t>
            </w:r>
          </w:p>
          <w:p w14:paraId="21FC021C" w14:textId="7BDDE07A" w:rsidR="008D57E5" w:rsidRDefault="008D57E5" w:rsidP="00B62AD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rPr>
            </w:pPr>
            <w:r w:rsidRPr="00727233">
              <w:rPr>
                <w:rFonts w:asciiTheme="minorHAnsi" w:hAnsiTheme="minorHAnsi" w:cstheme="minorHAnsi"/>
              </w:rPr>
              <w:t>Quarterly</w:t>
            </w:r>
            <w:r w:rsidRPr="00727233">
              <w:rPr>
                <w:rFonts w:asciiTheme="minorHAnsi" w:hAnsiTheme="minorHAnsi" w:cstheme="minorHAnsi"/>
                <w:spacing w:val="-13"/>
              </w:rPr>
              <w:t xml:space="preserve"> </w:t>
            </w:r>
            <w:r w:rsidRPr="00727233">
              <w:rPr>
                <w:rFonts w:asciiTheme="minorHAnsi" w:hAnsiTheme="minorHAnsi" w:cstheme="minorHAnsi"/>
              </w:rPr>
              <w:t>SAMM</w:t>
            </w:r>
            <w:r w:rsidRPr="00727233">
              <w:rPr>
                <w:rFonts w:asciiTheme="minorHAnsi" w:hAnsiTheme="minorHAnsi" w:cstheme="minorHAnsi"/>
                <w:spacing w:val="-12"/>
              </w:rPr>
              <w:t xml:space="preserve"> </w:t>
            </w:r>
            <w:r w:rsidRPr="00727233">
              <w:rPr>
                <w:rFonts w:asciiTheme="minorHAnsi" w:hAnsiTheme="minorHAnsi" w:cstheme="minorHAnsi"/>
              </w:rPr>
              <w:t xml:space="preserve">data </w:t>
            </w:r>
            <w:r w:rsidR="0042478D">
              <w:rPr>
                <w:rFonts w:asciiTheme="minorHAnsi" w:hAnsiTheme="minorHAnsi" w:cstheme="minorHAnsi"/>
              </w:rPr>
              <w:t>was</w:t>
            </w:r>
            <w:r w:rsidRPr="00727233">
              <w:rPr>
                <w:rFonts w:asciiTheme="minorHAnsi" w:hAnsiTheme="minorHAnsi" w:cstheme="minorHAnsi"/>
              </w:rPr>
              <w:t xml:space="preserve"> reviewed during quarterly meetings.</w:t>
            </w:r>
          </w:p>
          <w:p w14:paraId="12422810" w14:textId="77777777" w:rsidR="0042478D" w:rsidRDefault="0042478D" w:rsidP="0042478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u w:val="single"/>
              </w:rPr>
            </w:pPr>
          </w:p>
          <w:p w14:paraId="33CBD9A8" w14:textId="77777777" w:rsidR="0042478D" w:rsidRDefault="0042478D" w:rsidP="0042478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rPr>
            </w:pPr>
            <w:r w:rsidRPr="0042478D">
              <w:rPr>
                <w:rFonts w:asciiTheme="minorHAnsi" w:hAnsiTheme="minorHAnsi" w:cstheme="minorHAnsi"/>
                <w:bCs/>
                <w:u w:val="single"/>
              </w:rPr>
              <w:t>SAMM 2a statistics</w:t>
            </w:r>
            <w:r w:rsidRPr="0042478D">
              <w:rPr>
                <w:rFonts w:asciiTheme="minorHAnsi" w:hAnsiTheme="minorHAnsi" w:cstheme="minorHAnsi"/>
                <w:bCs/>
              </w:rPr>
              <w:t xml:space="preserve"> </w:t>
            </w:r>
          </w:p>
          <w:p w14:paraId="1CC3F946" w14:textId="0F07A82F" w:rsidR="0042478D" w:rsidRPr="0042478D" w:rsidRDefault="0042478D" w:rsidP="0042478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rPr>
            </w:pPr>
            <w:r w:rsidRPr="0042478D">
              <w:rPr>
                <w:rFonts w:asciiTheme="minorHAnsi" w:hAnsiTheme="minorHAnsi" w:cstheme="minorHAnsi"/>
                <w:bCs/>
              </w:rPr>
              <w:t>FY 2020: 2.95</w:t>
            </w:r>
          </w:p>
          <w:p w14:paraId="253EAF80" w14:textId="77777777" w:rsidR="0042478D" w:rsidRPr="0042478D" w:rsidRDefault="0042478D" w:rsidP="0042478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rPr>
            </w:pPr>
            <w:r w:rsidRPr="0042478D">
              <w:rPr>
                <w:rFonts w:asciiTheme="minorHAnsi" w:hAnsiTheme="minorHAnsi" w:cstheme="minorHAnsi"/>
                <w:bCs/>
              </w:rPr>
              <w:t>FY 2021: 2.16</w:t>
            </w:r>
          </w:p>
          <w:p w14:paraId="4BCA41BD" w14:textId="77777777" w:rsidR="0042478D" w:rsidRDefault="0042478D" w:rsidP="00B62AD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rPr>
            </w:pPr>
          </w:p>
          <w:p w14:paraId="5BE9BAFF" w14:textId="46962798" w:rsidR="008D57E5" w:rsidRPr="00727233" w:rsidRDefault="008D57E5" w:rsidP="00B62AD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rPr>
            </w:pPr>
            <w:r w:rsidRPr="00727233">
              <w:rPr>
                <w:rFonts w:asciiTheme="minorHAnsi" w:hAnsiTheme="minorHAnsi" w:cstheme="minorHAnsi"/>
              </w:rPr>
              <w:t xml:space="preserve">In FY 2022, the SAMM data (SAMM 2a) showed the average number of working days to initiate </w:t>
            </w:r>
            <w:r w:rsidR="009C6556">
              <w:rPr>
                <w:rFonts w:asciiTheme="minorHAnsi" w:hAnsiTheme="minorHAnsi" w:cstheme="minorHAnsi"/>
              </w:rPr>
              <w:t xml:space="preserve">a </w:t>
            </w:r>
            <w:r w:rsidRPr="00727233">
              <w:rPr>
                <w:rFonts w:asciiTheme="minorHAnsi" w:hAnsiTheme="minorHAnsi" w:cstheme="minorHAnsi"/>
              </w:rPr>
              <w:t xml:space="preserve">non-formal complaint investigation was 0.93 days which is </w:t>
            </w:r>
            <w:r w:rsidR="009C6556">
              <w:rPr>
                <w:rFonts w:asciiTheme="minorHAnsi" w:hAnsiTheme="minorHAnsi" w:cstheme="minorHAnsi"/>
              </w:rPr>
              <w:t>within</w:t>
            </w:r>
            <w:r w:rsidRPr="00727233">
              <w:rPr>
                <w:rFonts w:asciiTheme="minorHAnsi" w:hAnsiTheme="minorHAnsi" w:cstheme="minorHAnsi"/>
              </w:rPr>
              <w:t xml:space="preserve"> the FRL of one day.</w:t>
            </w:r>
          </w:p>
        </w:tc>
        <w:tc>
          <w:tcPr>
            <w:tcW w:w="1980" w:type="dxa"/>
          </w:tcPr>
          <w:p w14:paraId="30B7A5C6" w14:textId="77777777" w:rsidR="008D57E5" w:rsidRPr="00727233" w:rsidRDefault="008D57E5" w:rsidP="00B62AD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sidRPr="00727233">
              <w:rPr>
                <w:rFonts w:eastAsia="PMingLiU" w:cs="Calibri"/>
                <w:bCs/>
              </w:rPr>
              <w:t>9/30/2022</w:t>
            </w:r>
          </w:p>
        </w:tc>
        <w:tc>
          <w:tcPr>
            <w:tcW w:w="1805" w:type="dxa"/>
          </w:tcPr>
          <w:p w14:paraId="105F6E4E" w14:textId="77777777" w:rsidR="008D57E5" w:rsidRPr="00727233" w:rsidRDefault="008D57E5" w:rsidP="00B62AD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bCs/>
              </w:rPr>
            </w:pPr>
            <w:r w:rsidRPr="00727233">
              <w:rPr>
                <w:rFonts w:eastAsia="PMingLiU" w:cs="Calibri"/>
                <w:bCs/>
              </w:rPr>
              <w:t>Completed</w:t>
            </w:r>
          </w:p>
        </w:tc>
      </w:tr>
    </w:tbl>
    <w:p w14:paraId="745E80E7" w14:textId="77777777" w:rsidR="008D57E5" w:rsidRDefault="008D57E5" w:rsidP="008D57E5">
      <w:pPr>
        <w:widowControl/>
        <w:autoSpaceDE/>
        <w:autoSpaceDN/>
        <w:adjustRightInd/>
        <w:rPr>
          <w:rFonts w:cs="Calibri"/>
          <w:iCs/>
          <w:color w:val="0070C0"/>
        </w:rPr>
        <w:sectPr w:rsidR="008D57E5" w:rsidSect="00D07D54">
          <w:headerReference w:type="default" r:id="rId16"/>
          <w:footerReference w:type="default" r:id="rId17"/>
          <w:pgSz w:w="15840" w:h="12240" w:orient="landscape" w:code="1"/>
          <w:pgMar w:top="1440" w:right="1440" w:bottom="1440" w:left="1440" w:header="720" w:footer="720" w:gutter="0"/>
          <w:cols w:space="720"/>
          <w:noEndnote/>
          <w:docGrid w:linePitch="326"/>
        </w:sectPr>
      </w:pPr>
    </w:p>
    <w:p w14:paraId="68840E88" w14:textId="206E5736" w:rsidR="008D57E5" w:rsidRDefault="008D57E5" w:rsidP="008D57E5">
      <w:pPr>
        <w:keepNext/>
        <w:keepLines/>
        <w:spacing w:before="120"/>
        <w:outlineLvl w:val="2"/>
        <w:rPr>
          <w:rFonts w:cs="Calibri"/>
          <w:b/>
          <w:bCs/>
          <w:sz w:val="28"/>
          <w:szCs w:val="28"/>
        </w:rPr>
      </w:pPr>
      <w:bookmarkStart w:id="39" w:name="_Toc129699012"/>
      <w:r w:rsidRPr="004E492F">
        <w:rPr>
          <w:rFonts w:cs="Calibri"/>
          <w:b/>
          <w:bCs/>
          <w:sz w:val="28"/>
          <w:szCs w:val="28"/>
        </w:rPr>
        <w:lastRenderedPageBreak/>
        <w:t>Appendix D – FY 2022 State Activity Mandated Measures (SAMM) Report</w:t>
      </w:r>
      <w:bookmarkEnd w:id="39"/>
    </w:p>
    <w:p w14:paraId="44146352" w14:textId="77777777" w:rsidR="005327EF" w:rsidRPr="004E492F" w:rsidRDefault="005327EF" w:rsidP="008D57E5">
      <w:pPr>
        <w:keepNext/>
        <w:keepLines/>
        <w:spacing w:before="120"/>
        <w:outlineLvl w:val="2"/>
        <w:rPr>
          <w:rFonts w:cs="Calibri"/>
          <w:b/>
          <w:bCs/>
          <w:color w:val="0070C0"/>
          <w:sz w:val="28"/>
          <w:szCs w:val="28"/>
        </w:rPr>
      </w:pPr>
    </w:p>
    <w:p w14:paraId="2D2E77E9" w14:textId="77777777" w:rsidR="008D57E5" w:rsidRPr="004E492F" w:rsidRDefault="008D57E5" w:rsidP="008D57E5">
      <w:pPr>
        <w:tabs>
          <w:tab w:val="center" w:pos="4680"/>
          <w:tab w:val="right" w:pos="9360"/>
        </w:tabs>
      </w:pPr>
      <w:r w:rsidRPr="004E492F">
        <w:t xml:space="preserve">FY 2022 </w:t>
      </w:r>
      <w:r>
        <w:t>IOWA OSHA</w:t>
      </w:r>
      <w:r w:rsidRPr="00C53BB7">
        <w:t xml:space="preserve"> </w:t>
      </w:r>
      <w:r w:rsidRPr="004E492F">
        <w:t>Follow-up FAME Report</w:t>
      </w:r>
    </w:p>
    <w:p w14:paraId="6ABAECD3" w14:textId="77777777" w:rsidR="008D57E5" w:rsidRPr="004E492F" w:rsidRDefault="008D57E5" w:rsidP="008D57E5">
      <w:pPr>
        <w:rPr>
          <w:rFonts w:cs="Calibri"/>
          <w:b/>
          <w:color w:val="1F497D"/>
          <w:sz w:val="28"/>
          <w:szCs w:val="28"/>
        </w:rPr>
      </w:pPr>
    </w:p>
    <w:tbl>
      <w:tblPr>
        <w:tblStyle w:val="GridTable41"/>
        <w:tblW w:w="10350" w:type="dxa"/>
        <w:tblInd w:w="-365" w:type="dxa"/>
        <w:tblLook w:val="06A0" w:firstRow="1" w:lastRow="0" w:firstColumn="1" w:lastColumn="0" w:noHBand="1" w:noVBand="1"/>
        <w:tblCaption w:val="FY 20XX SAMM Report"/>
        <w:tblDescription w:val="Appendix D"/>
      </w:tblPr>
      <w:tblGrid>
        <w:gridCol w:w="1034"/>
        <w:gridCol w:w="2206"/>
        <w:gridCol w:w="1289"/>
        <w:gridCol w:w="1411"/>
        <w:gridCol w:w="4410"/>
      </w:tblGrid>
      <w:tr w:rsidR="008D57E5" w:rsidRPr="004E492F" w14:paraId="4A2E3EC9" w14:textId="77777777" w:rsidTr="00C1799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cBorders>
            <w:shd w:val="clear" w:color="auto" w:fill="auto"/>
          </w:tcPr>
          <w:p w14:paraId="201C49EC"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color w:val="000000"/>
              </w:rPr>
            </w:pPr>
            <w:r w:rsidRPr="004E492F">
              <w:rPr>
                <w:rFonts w:eastAsia="PMingLiU" w:cs="Calibri"/>
                <w:color w:val="000000"/>
              </w:rPr>
              <w:t>SAMM Number</w:t>
            </w:r>
          </w:p>
        </w:tc>
        <w:tc>
          <w:tcPr>
            <w:tcW w:w="2206" w:type="dxa"/>
            <w:tcBorders>
              <w:left w:val="single" w:sz="4" w:space="0" w:color="000000"/>
              <w:right w:val="single" w:sz="4" w:space="0" w:color="000000"/>
            </w:tcBorders>
            <w:shd w:val="clear" w:color="auto" w:fill="auto"/>
          </w:tcPr>
          <w:p w14:paraId="784CB274"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4E492F">
              <w:rPr>
                <w:rFonts w:eastAsia="PMingLiU" w:cs="Calibri"/>
                <w:color w:val="000000"/>
              </w:rPr>
              <w:t>SAMM Name</w:t>
            </w:r>
          </w:p>
        </w:tc>
        <w:tc>
          <w:tcPr>
            <w:tcW w:w="1289" w:type="dxa"/>
            <w:tcBorders>
              <w:left w:val="single" w:sz="4" w:space="0" w:color="000000"/>
              <w:right w:val="single" w:sz="4" w:space="0" w:color="000000"/>
            </w:tcBorders>
            <w:shd w:val="clear" w:color="auto" w:fill="auto"/>
          </w:tcPr>
          <w:p w14:paraId="31671689"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4E492F">
              <w:rPr>
                <w:rFonts w:eastAsia="PMingLiU" w:cs="Calibri"/>
                <w:color w:val="000000"/>
              </w:rPr>
              <w:t>State Plan Data</w:t>
            </w:r>
          </w:p>
        </w:tc>
        <w:tc>
          <w:tcPr>
            <w:tcW w:w="1411" w:type="dxa"/>
            <w:tcBorders>
              <w:left w:val="single" w:sz="4" w:space="0" w:color="000000"/>
              <w:right w:val="single" w:sz="4" w:space="0" w:color="000000"/>
            </w:tcBorders>
            <w:shd w:val="clear" w:color="auto" w:fill="auto"/>
          </w:tcPr>
          <w:p w14:paraId="5AD84C20"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4E492F">
              <w:rPr>
                <w:rFonts w:eastAsia="PMingLiU" w:cs="Calibri"/>
                <w:color w:val="000000"/>
              </w:rPr>
              <w:t>Further Review Level</w:t>
            </w:r>
          </w:p>
        </w:tc>
        <w:tc>
          <w:tcPr>
            <w:tcW w:w="4410" w:type="dxa"/>
            <w:tcBorders>
              <w:left w:val="single" w:sz="4" w:space="0" w:color="000000"/>
            </w:tcBorders>
            <w:shd w:val="clear" w:color="auto" w:fill="auto"/>
          </w:tcPr>
          <w:p w14:paraId="36ED56F8"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4E492F">
              <w:rPr>
                <w:rFonts w:eastAsia="PMingLiU" w:cs="Calibri"/>
                <w:color w:val="000000"/>
              </w:rPr>
              <w:t>Notes</w:t>
            </w:r>
          </w:p>
        </w:tc>
      </w:tr>
      <w:tr w:rsidR="008D57E5" w:rsidRPr="004E492F" w14:paraId="7542BC0F"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6B2B84ED"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1a</w:t>
            </w:r>
          </w:p>
        </w:tc>
        <w:tc>
          <w:tcPr>
            <w:tcW w:w="2206" w:type="dxa"/>
          </w:tcPr>
          <w:p w14:paraId="7F97651D" w14:textId="0C83A4A1"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 xml:space="preserve">Average number of </w:t>
            </w:r>
            <w:r w:rsidR="005A595B" w:rsidRPr="007305A2">
              <w:rPr>
                <w:rFonts w:asciiTheme="minorHAnsi" w:hAnsiTheme="minorHAnsi" w:cstheme="minorHAnsi"/>
              </w:rPr>
              <w:t>workdays</w:t>
            </w:r>
            <w:r w:rsidRPr="007305A2">
              <w:rPr>
                <w:rFonts w:asciiTheme="minorHAnsi" w:hAnsiTheme="minorHAnsi" w:cstheme="minorHAnsi"/>
              </w:rPr>
              <w:t xml:space="preserve"> to initiate complaint inspections (state formula)</w:t>
            </w:r>
          </w:p>
        </w:tc>
        <w:tc>
          <w:tcPr>
            <w:tcW w:w="1289" w:type="dxa"/>
          </w:tcPr>
          <w:p w14:paraId="6E0F14D3"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3.39</w:t>
            </w:r>
          </w:p>
        </w:tc>
        <w:tc>
          <w:tcPr>
            <w:tcW w:w="1411" w:type="dxa"/>
          </w:tcPr>
          <w:p w14:paraId="539ED644"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eastAsia="PMingLiU" w:hAnsiTheme="minorHAnsi" w:cstheme="minorHAnsi"/>
              </w:rPr>
              <w:t>5</w:t>
            </w:r>
          </w:p>
        </w:tc>
        <w:tc>
          <w:tcPr>
            <w:tcW w:w="4410" w:type="dxa"/>
          </w:tcPr>
          <w:p w14:paraId="0F8ED309"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The further review level is negotiated by OSHA and the State Plan.</w:t>
            </w:r>
          </w:p>
        </w:tc>
      </w:tr>
      <w:tr w:rsidR="008D57E5" w:rsidRPr="004E492F" w14:paraId="4C3CEE69"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1C3589B5"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1b</w:t>
            </w:r>
          </w:p>
        </w:tc>
        <w:tc>
          <w:tcPr>
            <w:tcW w:w="2206" w:type="dxa"/>
          </w:tcPr>
          <w:p w14:paraId="4CF09AC7" w14:textId="5153BDDF"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 xml:space="preserve">Average number of </w:t>
            </w:r>
            <w:r w:rsidR="005A595B" w:rsidRPr="007305A2">
              <w:rPr>
                <w:rFonts w:asciiTheme="minorHAnsi" w:hAnsiTheme="minorHAnsi" w:cstheme="minorHAnsi"/>
              </w:rPr>
              <w:t>workdays</w:t>
            </w:r>
            <w:r w:rsidRPr="007305A2">
              <w:rPr>
                <w:rFonts w:asciiTheme="minorHAnsi" w:hAnsiTheme="minorHAnsi" w:cstheme="minorHAnsi"/>
              </w:rPr>
              <w:t xml:space="preserve"> to initiate complaint inspections (federal formula)</w:t>
            </w:r>
          </w:p>
        </w:tc>
        <w:tc>
          <w:tcPr>
            <w:tcW w:w="1289" w:type="dxa"/>
          </w:tcPr>
          <w:p w14:paraId="456E9CB5"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2.99</w:t>
            </w:r>
          </w:p>
        </w:tc>
        <w:tc>
          <w:tcPr>
            <w:tcW w:w="1411" w:type="dxa"/>
          </w:tcPr>
          <w:p w14:paraId="3F7EB27B"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N/A</w:t>
            </w:r>
          </w:p>
        </w:tc>
        <w:tc>
          <w:tcPr>
            <w:tcW w:w="4410" w:type="dxa"/>
          </w:tcPr>
          <w:p w14:paraId="7A91F3A5"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This measure is for informational purposes only and is not a mandated measure.</w:t>
            </w:r>
          </w:p>
        </w:tc>
      </w:tr>
      <w:tr w:rsidR="008D57E5" w:rsidRPr="004E492F" w14:paraId="5911D126"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58931A85"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2a</w:t>
            </w:r>
          </w:p>
        </w:tc>
        <w:tc>
          <w:tcPr>
            <w:tcW w:w="2206" w:type="dxa"/>
          </w:tcPr>
          <w:p w14:paraId="1E6D3B22" w14:textId="0B1FE191"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 xml:space="preserve">Average number of </w:t>
            </w:r>
            <w:r w:rsidR="005A595B" w:rsidRPr="007305A2">
              <w:rPr>
                <w:rFonts w:asciiTheme="minorHAnsi" w:hAnsiTheme="minorHAnsi" w:cstheme="minorHAnsi"/>
              </w:rPr>
              <w:t>workdays</w:t>
            </w:r>
            <w:r w:rsidRPr="007305A2">
              <w:rPr>
                <w:rFonts w:asciiTheme="minorHAnsi" w:hAnsiTheme="minorHAnsi" w:cstheme="minorHAnsi"/>
              </w:rPr>
              <w:t xml:space="preserve"> to initiate complaint investigations (state formula)</w:t>
            </w:r>
          </w:p>
        </w:tc>
        <w:tc>
          <w:tcPr>
            <w:tcW w:w="1289" w:type="dxa"/>
          </w:tcPr>
          <w:p w14:paraId="5F824085"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0.93</w:t>
            </w:r>
          </w:p>
        </w:tc>
        <w:tc>
          <w:tcPr>
            <w:tcW w:w="1411" w:type="dxa"/>
          </w:tcPr>
          <w:p w14:paraId="22F21EDC"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1</w:t>
            </w:r>
          </w:p>
        </w:tc>
        <w:tc>
          <w:tcPr>
            <w:tcW w:w="4410" w:type="dxa"/>
          </w:tcPr>
          <w:p w14:paraId="3D96B105"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The further review level is negotiated by OSHA and the State Plan.</w:t>
            </w:r>
          </w:p>
        </w:tc>
      </w:tr>
      <w:tr w:rsidR="008D57E5" w:rsidRPr="004E492F" w14:paraId="22FFA253"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1B9191D2"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2b</w:t>
            </w:r>
          </w:p>
        </w:tc>
        <w:tc>
          <w:tcPr>
            <w:tcW w:w="2206" w:type="dxa"/>
          </w:tcPr>
          <w:p w14:paraId="3A93F829" w14:textId="37C260B1"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 xml:space="preserve">Average number of </w:t>
            </w:r>
            <w:r w:rsidR="005A595B" w:rsidRPr="007305A2">
              <w:rPr>
                <w:rFonts w:asciiTheme="minorHAnsi" w:hAnsiTheme="minorHAnsi" w:cstheme="minorHAnsi"/>
              </w:rPr>
              <w:t>workdays</w:t>
            </w:r>
            <w:r w:rsidRPr="007305A2">
              <w:rPr>
                <w:rFonts w:asciiTheme="minorHAnsi" w:hAnsiTheme="minorHAnsi" w:cstheme="minorHAnsi"/>
              </w:rPr>
              <w:t xml:space="preserve"> to initiate complaint investigations (federal formula)</w:t>
            </w:r>
          </w:p>
        </w:tc>
        <w:tc>
          <w:tcPr>
            <w:tcW w:w="1289" w:type="dxa"/>
          </w:tcPr>
          <w:p w14:paraId="59A412B0"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0.83</w:t>
            </w:r>
          </w:p>
        </w:tc>
        <w:tc>
          <w:tcPr>
            <w:tcW w:w="1411" w:type="dxa"/>
          </w:tcPr>
          <w:p w14:paraId="066DC2F5"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N/A</w:t>
            </w:r>
          </w:p>
        </w:tc>
        <w:tc>
          <w:tcPr>
            <w:tcW w:w="4410" w:type="dxa"/>
          </w:tcPr>
          <w:p w14:paraId="3BDCDC63"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This measure is for informational purposes only and is not a mandated measure.</w:t>
            </w:r>
          </w:p>
        </w:tc>
      </w:tr>
      <w:tr w:rsidR="008D57E5" w:rsidRPr="004E492F" w14:paraId="3373ECE0"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44031442"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3</w:t>
            </w:r>
          </w:p>
        </w:tc>
        <w:tc>
          <w:tcPr>
            <w:tcW w:w="2206" w:type="dxa"/>
          </w:tcPr>
          <w:p w14:paraId="452CF41B"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Percent of complaints and referrals responded to within one workday (imminent danger)</w:t>
            </w:r>
          </w:p>
        </w:tc>
        <w:tc>
          <w:tcPr>
            <w:tcW w:w="1289" w:type="dxa"/>
          </w:tcPr>
          <w:p w14:paraId="689D7843"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100</w:t>
            </w:r>
            <w:r w:rsidRPr="007305A2">
              <w:rPr>
                <w:rFonts w:asciiTheme="minorHAnsi" w:hAnsiTheme="minorHAnsi" w:cstheme="minorHAnsi"/>
              </w:rPr>
              <w:t>%</w:t>
            </w:r>
          </w:p>
        </w:tc>
        <w:tc>
          <w:tcPr>
            <w:tcW w:w="1411" w:type="dxa"/>
          </w:tcPr>
          <w:p w14:paraId="7C1B94FA"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eastAsia="PMingLiU" w:hAnsiTheme="minorHAnsi" w:cstheme="minorHAnsi"/>
              </w:rPr>
              <w:t>100%</w:t>
            </w:r>
          </w:p>
        </w:tc>
        <w:tc>
          <w:tcPr>
            <w:tcW w:w="4410" w:type="dxa"/>
          </w:tcPr>
          <w:p w14:paraId="492F3793"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The further review level is fixed for all State Plans.</w:t>
            </w:r>
          </w:p>
        </w:tc>
      </w:tr>
      <w:tr w:rsidR="008D57E5" w:rsidRPr="004E492F" w14:paraId="3BA63FE7"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01532B7D"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4</w:t>
            </w:r>
          </w:p>
        </w:tc>
        <w:tc>
          <w:tcPr>
            <w:tcW w:w="2206" w:type="dxa"/>
          </w:tcPr>
          <w:p w14:paraId="6EB81347"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Number of denials where entry not obtained</w:t>
            </w:r>
          </w:p>
        </w:tc>
        <w:tc>
          <w:tcPr>
            <w:tcW w:w="1289" w:type="dxa"/>
          </w:tcPr>
          <w:p w14:paraId="26C885D4"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0</w:t>
            </w:r>
          </w:p>
        </w:tc>
        <w:tc>
          <w:tcPr>
            <w:tcW w:w="1411" w:type="dxa"/>
          </w:tcPr>
          <w:p w14:paraId="75C2DEC5"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0</w:t>
            </w:r>
          </w:p>
        </w:tc>
        <w:tc>
          <w:tcPr>
            <w:tcW w:w="4410" w:type="dxa"/>
          </w:tcPr>
          <w:p w14:paraId="4FE913B7"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The further review level is fixed for all State Plans.</w:t>
            </w:r>
          </w:p>
        </w:tc>
      </w:tr>
      <w:tr w:rsidR="008D57E5" w:rsidRPr="004E492F" w14:paraId="39B155C3" w14:textId="77777777" w:rsidTr="00C1799C">
        <w:trPr>
          <w:trHeight w:val="854"/>
        </w:trPr>
        <w:tc>
          <w:tcPr>
            <w:cnfStyle w:val="001000000000" w:firstRow="0" w:lastRow="0" w:firstColumn="1" w:lastColumn="0" w:oddVBand="0" w:evenVBand="0" w:oddHBand="0" w:evenHBand="0" w:firstRowFirstColumn="0" w:firstRowLastColumn="0" w:lastRowFirstColumn="0" w:lastRowLastColumn="0"/>
            <w:tcW w:w="1034" w:type="dxa"/>
          </w:tcPr>
          <w:p w14:paraId="73EE5463"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5a</w:t>
            </w:r>
          </w:p>
        </w:tc>
        <w:tc>
          <w:tcPr>
            <w:tcW w:w="2206" w:type="dxa"/>
          </w:tcPr>
          <w:p w14:paraId="19284125"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Average number of violations per inspection with violations by violation type (SWRU)</w:t>
            </w:r>
          </w:p>
        </w:tc>
        <w:tc>
          <w:tcPr>
            <w:tcW w:w="1289" w:type="dxa"/>
          </w:tcPr>
          <w:p w14:paraId="3857E090"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1.78</w:t>
            </w:r>
          </w:p>
        </w:tc>
        <w:tc>
          <w:tcPr>
            <w:tcW w:w="1411" w:type="dxa"/>
          </w:tcPr>
          <w:p w14:paraId="1E4ED007"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+/- 20% of</w:t>
            </w:r>
          </w:p>
          <w:p w14:paraId="508F5C9B"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1.77</w:t>
            </w:r>
          </w:p>
          <w:p w14:paraId="26E08BC3"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0F5E8F6F"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eastAsia="PMingLiU" w:hAnsiTheme="minorHAnsi" w:cstheme="minorHAnsi"/>
              </w:rPr>
              <w:t xml:space="preserve">The further review level is based on a three-year national average.  The range of acceptable data not requiring further review is from 1.42 to 2.12 for SWRU. </w:t>
            </w:r>
          </w:p>
        </w:tc>
      </w:tr>
      <w:tr w:rsidR="008D57E5" w:rsidRPr="004E492F" w14:paraId="400A4512"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6333FBC5"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lastRenderedPageBreak/>
              <w:t>5b</w:t>
            </w:r>
          </w:p>
        </w:tc>
        <w:tc>
          <w:tcPr>
            <w:tcW w:w="2206" w:type="dxa"/>
          </w:tcPr>
          <w:p w14:paraId="5C4E9DEA"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Average number of violations per inspection with violations by violation type (other)</w:t>
            </w:r>
          </w:p>
        </w:tc>
        <w:tc>
          <w:tcPr>
            <w:tcW w:w="1289" w:type="dxa"/>
          </w:tcPr>
          <w:p w14:paraId="4F0D02AF"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0.53</w:t>
            </w:r>
          </w:p>
        </w:tc>
        <w:tc>
          <w:tcPr>
            <w:tcW w:w="1411" w:type="dxa"/>
          </w:tcPr>
          <w:p w14:paraId="412CC3E6"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+/- 20% of</w:t>
            </w:r>
          </w:p>
          <w:p w14:paraId="6D641D9A"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0.90</w:t>
            </w:r>
          </w:p>
        </w:tc>
        <w:tc>
          <w:tcPr>
            <w:tcW w:w="4410" w:type="dxa"/>
          </w:tcPr>
          <w:p w14:paraId="34D08EFD"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eastAsia="PMingLiU" w:hAnsiTheme="minorHAnsi" w:cstheme="minorHAnsi"/>
              </w:rPr>
              <w:t>The further review level is based on a three-year national average.  The range of acceptable data not requiring further review is from 0.72 to 1.08 for OTS.</w:t>
            </w:r>
          </w:p>
        </w:tc>
      </w:tr>
      <w:tr w:rsidR="008D57E5" w:rsidRPr="004E492F" w14:paraId="7F955B73"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6508901D"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6</w:t>
            </w:r>
          </w:p>
        </w:tc>
        <w:tc>
          <w:tcPr>
            <w:tcW w:w="2206" w:type="dxa"/>
          </w:tcPr>
          <w:p w14:paraId="148D9ACE"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Percent of total inspections in state and local government workplaces</w:t>
            </w:r>
          </w:p>
        </w:tc>
        <w:tc>
          <w:tcPr>
            <w:tcW w:w="1289" w:type="dxa"/>
          </w:tcPr>
          <w:p w14:paraId="17788464"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4.17</w:t>
            </w:r>
            <w:r w:rsidRPr="007305A2">
              <w:rPr>
                <w:rFonts w:asciiTheme="minorHAnsi" w:hAnsiTheme="minorHAnsi" w:cstheme="minorHAnsi"/>
              </w:rPr>
              <w:t>%</w:t>
            </w:r>
          </w:p>
        </w:tc>
        <w:tc>
          <w:tcPr>
            <w:tcW w:w="1411" w:type="dxa"/>
          </w:tcPr>
          <w:p w14:paraId="057BA29C"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+/- 5% of</w:t>
            </w:r>
          </w:p>
          <w:p w14:paraId="7319E993"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4.80%</w:t>
            </w:r>
          </w:p>
        </w:tc>
        <w:tc>
          <w:tcPr>
            <w:tcW w:w="4410" w:type="dxa"/>
          </w:tcPr>
          <w:p w14:paraId="4422A15E"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eastAsia="PMingLiU" w:hAnsiTheme="minorHAnsi" w:cstheme="minorHAnsi"/>
              </w:rPr>
              <w:t>The further review level is based on a number negotiated by OSHA and the State Plan through the grant application.  The range of acceptable data not requiring further review is from 4.56 to 5.04%.</w:t>
            </w:r>
          </w:p>
        </w:tc>
      </w:tr>
      <w:tr w:rsidR="008D57E5" w:rsidRPr="004E492F" w14:paraId="55002127"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1FE255D9"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7a</w:t>
            </w:r>
          </w:p>
        </w:tc>
        <w:tc>
          <w:tcPr>
            <w:tcW w:w="2206" w:type="dxa"/>
          </w:tcPr>
          <w:p w14:paraId="49041E1A"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Planned v. actual inspections (safety)</w:t>
            </w:r>
          </w:p>
        </w:tc>
        <w:tc>
          <w:tcPr>
            <w:tcW w:w="1289" w:type="dxa"/>
          </w:tcPr>
          <w:p w14:paraId="3E03B518"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453</w:t>
            </w:r>
          </w:p>
        </w:tc>
        <w:tc>
          <w:tcPr>
            <w:tcW w:w="1411" w:type="dxa"/>
          </w:tcPr>
          <w:p w14:paraId="2F4737E8"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 xml:space="preserve">+/- 5% of </w:t>
            </w:r>
          </w:p>
          <w:p w14:paraId="5A387F1E"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eastAsia="PMingLiU" w:hAnsiTheme="minorHAnsi" w:cstheme="minorHAnsi"/>
              </w:rPr>
              <w:t>469</w:t>
            </w:r>
          </w:p>
        </w:tc>
        <w:tc>
          <w:tcPr>
            <w:tcW w:w="4410" w:type="dxa"/>
          </w:tcPr>
          <w:p w14:paraId="447198CF"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The further review level is based on a number negotiated by OSHA and the State Plan through the grant application.  The range of acceptable data not requiring further review is from 445.55 to 492.45 for safety.</w:t>
            </w:r>
          </w:p>
        </w:tc>
      </w:tr>
      <w:tr w:rsidR="008D57E5" w:rsidRPr="004E492F" w14:paraId="11713A08"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0104BADA"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7b</w:t>
            </w:r>
          </w:p>
        </w:tc>
        <w:tc>
          <w:tcPr>
            <w:tcW w:w="2206" w:type="dxa"/>
          </w:tcPr>
          <w:p w14:paraId="2D80DCF7"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Planned v. actual inspections (health)</w:t>
            </w:r>
          </w:p>
        </w:tc>
        <w:tc>
          <w:tcPr>
            <w:tcW w:w="1289" w:type="dxa"/>
          </w:tcPr>
          <w:p w14:paraId="43A9CA2C"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194</w:t>
            </w:r>
          </w:p>
        </w:tc>
        <w:tc>
          <w:tcPr>
            <w:tcW w:w="1411" w:type="dxa"/>
          </w:tcPr>
          <w:p w14:paraId="63BDC22D"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 xml:space="preserve">+/- 5% of </w:t>
            </w:r>
          </w:p>
          <w:p w14:paraId="01CF25BF"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eastAsia="PMingLiU" w:hAnsiTheme="minorHAnsi" w:cstheme="minorHAnsi"/>
              </w:rPr>
              <w:t>219</w:t>
            </w:r>
          </w:p>
        </w:tc>
        <w:tc>
          <w:tcPr>
            <w:tcW w:w="4410" w:type="dxa"/>
          </w:tcPr>
          <w:p w14:paraId="02E7CB5C"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The further review level is based on a number negotiated by OSHA and the State Plan through the grant application.  The range of acceptable data not requiring further review is from 208.05 to 229.95 for health.</w:t>
            </w:r>
          </w:p>
        </w:tc>
      </w:tr>
      <w:tr w:rsidR="008D57E5" w:rsidRPr="004E492F" w14:paraId="59622EFE"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3FCBF275"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8</w:t>
            </w:r>
          </w:p>
        </w:tc>
        <w:tc>
          <w:tcPr>
            <w:tcW w:w="2206" w:type="dxa"/>
          </w:tcPr>
          <w:p w14:paraId="0E215582"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Average current serious penalty in private sector - total (1 to greater than 250 workers)</w:t>
            </w:r>
          </w:p>
        </w:tc>
        <w:tc>
          <w:tcPr>
            <w:tcW w:w="1289" w:type="dxa"/>
          </w:tcPr>
          <w:p w14:paraId="2FDA05D0"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2E0FE0">
              <w:rPr>
                <w:rFonts w:asciiTheme="minorHAnsi" w:eastAsia="PMingLiU" w:hAnsiTheme="minorHAnsi" w:cstheme="minorHAnsi"/>
              </w:rPr>
              <w:t>$5,343.66</w:t>
            </w:r>
          </w:p>
        </w:tc>
        <w:tc>
          <w:tcPr>
            <w:tcW w:w="1411" w:type="dxa"/>
          </w:tcPr>
          <w:p w14:paraId="5A1DCF22"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 xml:space="preserve">+/- 25% of </w:t>
            </w:r>
          </w:p>
          <w:p w14:paraId="44A02BA2"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eastAsia="PMingLiU" w:hAnsiTheme="minorHAnsi" w:cstheme="minorHAnsi"/>
              </w:rPr>
              <w:t>$3,259.35</w:t>
            </w:r>
          </w:p>
          <w:p w14:paraId="4FB6CF5A"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333D7FF2" w14:textId="77777777" w:rsidR="008D57E5" w:rsidRPr="007305A2" w:rsidRDefault="008D57E5" w:rsidP="00C1799C">
            <w:pPr>
              <w:ind w:right="133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The further review level is based on a three-year national average.  The range of acceptable data not requiring further review is from $2,444.51 to $4,074.19.</w:t>
            </w:r>
          </w:p>
        </w:tc>
      </w:tr>
      <w:tr w:rsidR="008D57E5" w:rsidRPr="004E492F" w14:paraId="49193E3E"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26B1BC70"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206" w:type="dxa"/>
          </w:tcPr>
          <w:p w14:paraId="0B96D953" w14:textId="77777777" w:rsidR="008D57E5" w:rsidRPr="007305A2" w:rsidRDefault="008D57E5" w:rsidP="00C179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b/>
              </w:rPr>
              <w:t>a</w:t>
            </w:r>
            <w:r w:rsidRPr="007305A2">
              <w:rPr>
                <w:rFonts w:asciiTheme="minorHAnsi" w:hAnsiTheme="minorHAnsi" w:cstheme="minorHAnsi"/>
              </w:rPr>
              <w:t>.  Average current serious penalty in private sector</w:t>
            </w:r>
          </w:p>
          <w:p w14:paraId="351C0751"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 xml:space="preserve"> (1-25 workers)</w:t>
            </w:r>
          </w:p>
        </w:tc>
        <w:tc>
          <w:tcPr>
            <w:tcW w:w="1289" w:type="dxa"/>
          </w:tcPr>
          <w:p w14:paraId="0F5170D1"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2E0FE0">
              <w:rPr>
                <w:rFonts w:asciiTheme="minorHAnsi" w:eastAsia="PMingLiU" w:hAnsiTheme="minorHAnsi" w:cstheme="minorHAnsi"/>
              </w:rPr>
              <w:t>$1,991.00</w:t>
            </w:r>
          </w:p>
        </w:tc>
        <w:tc>
          <w:tcPr>
            <w:tcW w:w="1411" w:type="dxa"/>
          </w:tcPr>
          <w:p w14:paraId="4261B2DB"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 xml:space="preserve">+/- 25% of </w:t>
            </w:r>
          </w:p>
          <w:p w14:paraId="3917467D"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$2,145.46</w:t>
            </w:r>
          </w:p>
          <w:p w14:paraId="4CF7F576"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5F9097B7"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The further review level is based on a three-year national average.  The range of acceptable data not requiring further review is from $1,609.10 to $2,681.83.</w:t>
            </w:r>
          </w:p>
        </w:tc>
      </w:tr>
      <w:tr w:rsidR="008D57E5" w:rsidRPr="004E492F" w14:paraId="0AA258F8"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6875A68A"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206" w:type="dxa"/>
          </w:tcPr>
          <w:p w14:paraId="0482EA0E" w14:textId="77777777" w:rsidR="008D57E5" w:rsidRPr="007305A2" w:rsidRDefault="008D57E5" w:rsidP="00C179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b/>
              </w:rPr>
              <w:t>b</w:t>
            </w:r>
            <w:r w:rsidRPr="007305A2">
              <w:rPr>
                <w:rFonts w:asciiTheme="minorHAnsi" w:hAnsiTheme="minorHAnsi" w:cstheme="minorHAnsi"/>
              </w:rPr>
              <w:t xml:space="preserve">. Average current serious penalty in private sector </w:t>
            </w:r>
          </w:p>
          <w:p w14:paraId="2D59E079"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(26-100 workers</w:t>
            </w:r>
            <w:r w:rsidRPr="007305A2">
              <w:rPr>
                <w:rFonts w:asciiTheme="minorHAnsi" w:hAnsiTheme="minorHAnsi" w:cstheme="minorHAnsi"/>
                <w:b/>
              </w:rPr>
              <w:t>)</w:t>
            </w:r>
          </w:p>
        </w:tc>
        <w:tc>
          <w:tcPr>
            <w:tcW w:w="1289" w:type="dxa"/>
          </w:tcPr>
          <w:p w14:paraId="6C053D13"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2E0FE0">
              <w:rPr>
                <w:rFonts w:asciiTheme="minorHAnsi" w:eastAsia="PMingLiU" w:hAnsiTheme="minorHAnsi" w:cstheme="minorHAnsi"/>
              </w:rPr>
              <w:t>$4,620.91</w:t>
            </w:r>
          </w:p>
        </w:tc>
        <w:tc>
          <w:tcPr>
            <w:tcW w:w="1411" w:type="dxa"/>
          </w:tcPr>
          <w:p w14:paraId="2004E7CF"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 xml:space="preserve">+/- 25% of </w:t>
            </w:r>
          </w:p>
          <w:p w14:paraId="773DA4DF"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$3,818.56</w:t>
            </w:r>
          </w:p>
          <w:p w14:paraId="12EAF374"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5A8A671B"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The further review level is based on a three-year national average.  The range of acceptable data not requiring further review is from $2,863.92 to $4,773.20.</w:t>
            </w:r>
          </w:p>
        </w:tc>
      </w:tr>
      <w:tr w:rsidR="008D57E5" w:rsidRPr="004E492F" w14:paraId="387E3EB4"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113BD3A0"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206" w:type="dxa"/>
          </w:tcPr>
          <w:p w14:paraId="3F325713" w14:textId="77777777" w:rsidR="008D57E5" w:rsidRPr="007305A2" w:rsidRDefault="008D57E5" w:rsidP="00C179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b/>
              </w:rPr>
              <w:t>c</w:t>
            </w:r>
            <w:r w:rsidRPr="007305A2">
              <w:rPr>
                <w:rFonts w:asciiTheme="minorHAnsi" w:hAnsiTheme="minorHAnsi" w:cstheme="minorHAnsi"/>
              </w:rPr>
              <w:t>. Average current serious penalty in private sector</w:t>
            </w:r>
          </w:p>
          <w:p w14:paraId="0943455A"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lastRenderedPageBreak/>
              <w:t>(101-250 workers)</w:t>
            </w:r>
          </w:p>
        </w:tc>
        <w:tc>
          <w:tcPr>
            <w:tcW w:w="1289" w:type="dxa"/>
          </w:tcPr>
          <w:p w14:paraId="74C8522D"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2E0FE0">
              <w:rPr>
                <w:rFonts w:asciiTheme="minorHAnsi" w:eastAsia="PMingLiU" w:hAnsiTheme="minorHAnsi" w:cstheme="minorHAnsi"/>
              </w:rPr>
              <w:lastRenderedPageBreak/>
              <w:t>$6,610.90</w:t>
            </w:r>
          </w:p>
        </w:tc>
        <w:tc>
          <w:tcPr>
            <w:tcW w:w="1411" w:type="dxa"/>
          </w:tcPr>
          <w:p w14:paraId="4405894D"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 xml:space="preserve">+/- 25% of </w:t>
            </w:r>
          </w:p>
          <w:p w14:paraId="237119AE"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$5,469.60</w:t>
            </w:r>
          </w:p>
          <w:p w14:paraId="44F2DF5C"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346F9A46"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 xml:space="preserve">The further review level is based on a three-year national average.  The range of acceptable data not requiring further </w:t>
            </w:r>
            <w:r w:rsidRPr="007305A2">
              <w:rPr>
                <w:rFonts w:asciiTheme="minorHAnsi" w:hAnsiTheme="minorHAnsi" w:cstheme="minorHAnsi"/>
              </w:rPr>
              <w:lastRenderedPageBreak/>
              <w:t>review is from $4,102.20 to $6,837.00.</w:t>
            </w:r>
          </w:p>
        </w:tc>
      </w:tr>
      <w:tr w:rsidR="008D57E5" w:rsidRPr="004E492F" w14:paraId="75F07455"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5E385FF9"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p>
        </w:tc>
        <w:tc>
          <w:tcPr>
            <w:tcW w:w="2206" w:type="dxa"/>
          </w:tcPr>
          <w:p w14:paraId="33C6B278" w14:textId="77777777" w:rsidR="008D57E5" w:rsidRPr="007305A2" w:rsidRDefault="008D57E5" w:rsidP="00C1799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b/>
              </w:rPr>
              <w:t>d</w:t>
            </w:r>
            <w:r w:rsidRPr="007305A2">
              <w:rPr>
                <w:rFonts w:asciiTheme="minorHAnsi" w:hAnsiTheme="minorHAnsi" w:cstheme="minorHAnsi"/>
              </w:rPr>
              <w:t>. Average current serious penalty in private sector</w:t>
            </w:r>
          </w:p>
          <w:p w14:paraId="68B9655B"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(greater than 250 workers)</w:t>
            </w:r>
          </w:p>
        </w:tc>
        <w:tc>
          <w:tcPr>
            <w:tcW w:w="1289" w:type="dxa"/>
          </w:tcPr>
          <w:p w14:paraId="2B724401"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2E0FE0">
              <w:rPr>
                <w:rFonts w:asciiTheme="minorHAnsi" w:eastAsia="PMingLiU" w:hAnsiTheme="minorHAnsi" w:cstheme="minorHAnsi"/>
              </w:rPr>
              <w:t>$7,810.39</w:t>
            </w:r>
          </w:p>
        </w:tc>
        <w:tc>
          <w:tcPr>
            <w:tcW w:w="1411" w:type="dxa"/>
          </w:tcPr>
          <w:p w14:paraId="59A79C13"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 xml:space="preserve">+/- 25% of </w:t>
            </w:r>
          </w:p>
          <w:p w14:paraId="0E1B6A35"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$6,725.78</w:t>
            </w:r>
          </w:p>
          <w:p w14:paraId="4CC63CE8"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410" w:type="dxa"/>
          </w:tcPr>
          <w:p w14:paraId="6C1B7F53"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The further review level is based on a three-year national average.  The range of acceptable data not requiring further review is from $5,044.34 to $8,407.23.</w:t>
            </w:r>
          </w:p>
        </w:tc>
      </w:tr>
      <w:tr w:rsidR="008D57E5" w:rsidRPr="004E492F" w14:paraId="64C6B5D7"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24ABD159"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9a</w:t>
            </w:r>
          </w:p>
        </w:tc>
        <w:tc>
          <w:tcPr>
            <w:tcW w:w="2206" w:type="dxa"/>
          </w:tcPr>
          <w:p w14:paraId="6E8B0F88"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Percent in compliance (safety)</w:t>
            </w:r>
          </w:p>
        </w:tc>
        <w:tc>
          <w:tcPr>
            <w:tcW w:w="1289" w:type="dxa"/>
          </w:tcPr>
          <w:p w14:paraId="67DFCA31"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34.26</w:t>
            </w:r>
            <w:r w:rsidRPr="007305A2">
              <w:rPr>
                <w:rFonts w:asciiTheme="minorHAnsi" w:eastAsia="PMingLiU" w:hAnsiTheme="minorHAnsi" w:cstheme="minorHAnsi"/>
              </w:rPr>
              <w:t>%</w:t>
            </w:r>
          </w:p>
        </w:tc>
        <w:tc>
          <w:tcPr>
            <w:tcW w:w="1411" w:type="dxa"/>
          </w:tcPr>
          <w:p w14:paraId="0F5CA853"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+/- 20% of</w:t>
            </w:r>
          </w:p>
          <w:p w14:paraId="70B2288E"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32.25%</w:t>
            </w:r>
          </w:p>
        </w:tc>
        <w:tc>
          <w:tcPr>
            <w:tcW w:w="4410" w:type="dxa"/>
          </w:tcPr>
          <w:p w14:paraId="7DCAB676"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The further review level is based on a three-year national average.  The range of acceptable data not requiring further review is from 25.80% to 38.70% for safety.</w:t>
            </w:r>
          </w:p>
        </w:tc>
      </w:tr>
      <w:tr w:rsidR="008D57E5" w:rsidRPr="004E492F" w14:paraId="552DBBCE"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363AE561"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9b</w:t>
            </w:r>
          </w:p>
        </w:tc>
        <w:tc>
          <w:tcPr>
            <w:tcW w:w="2206" w:type="dxa"/>
          </w:tcPr>
          <w:p w14:paraId="0C7E7FC6"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Percent in compliance (health)</w:t>
            </w:r>
          </w:p>
        </w:tc>
        <w:tc>
          <w:tcPr>
            <w:tcW w:w="1289" w:type="dxa"/>
          </w:tcPr>
          <w:p w14:paraId="6BF897FB"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60.23</w:t>
            </w:r>
            <w:r w:rsidRPr="007305A2">
              <w:rPr>
                <w:rFonts w:asciiTheme="minorHAnsi" w:eastAsia="PMingLiU" w:hAnsiTheme="minorHAnsi" w:cstheme="minorHAnsi"/>
              </w:rPr>
              <w:t>%</w:t>
            </w:r>
          </w:p>
        </w:tc>
        <w:tc>
          <w:tcPr>
            <w:tcW w:w="1411" w:type="dxa"/>
          </w:tcPr>
          <w:p w14:paraId="3AEB7C35"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+/- 20% of</w:t>
            </w:r>
          </w:p>
          <w:p w14:paraId="7708D930"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44.42%</w:t>
            </w:r>
          </w:p>
        </w:tc>
        <w:tc>
          <w:tcPr>
            <w:tcW w:w="4410" w:type="dxa"/>
          </w:tcPr>
          <w:p w14:paraId="298101C5"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The further review level is based on a three-year national average.  The range of acceptable data not requiring further review is from 35.54% to 53.30% for health.</w:t>
            </w:r>
          </w:p>
        </w:tc>
      </w:tr>
      <w:tr w:rsidR="008D57E5" w:rsidRPr="004E492F" w14:paraId="0FC0ED2B"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568AB47D"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10</w:t>
            </w:r>
          </w:p>
        </w:tc>
        <w:tc>
          <w:tcPr>
            <w:tcW w:w="2206" w:type="dxa"/>
          </w:tcPr>
          <w:p w14:paraId="223AF368"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Percent of work-related fatalities responded to in one workday</w:t>
            </w:r>
          </w:p>
        </w:tc>
        <w:tc>
          <w:tcPr>
            <w:tcW w:w="1289" w:type="dxa"/>
          </w:tcPr>
          <w:p w14:paraId="4A98A802"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92</w:t>
            </w:r>
            <w:r w:rsidRPr="007305A2">
              <w:rPr>
                <w:rFonts w:asciiTheme="minorHAnsi" w:eastAsia="PMingLiU" w:hAnsiTheme="minorHAnsi" w:cstheme="minorHAnsi"/>
              </w:rPr>
              <w:t>%</w:t>
            </w:r>
          </w:p>
        </w:tc>
        <w:tc>
          <w:tcPr>
            <w:tcW w:w="1411" w:type="dxa"/>
          </w:tcPr>
          <w:p w14:paraId="5D723CA7"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eastAsia="PMingLiU" w:hAnsiTheme="minorHAnsi" w:cstheme="minorHAnsi"/>
              </w:rPr>
              <w:t>100%</w:t>
            </w:r>
          </w:p>
        </w:tc>
        <w:tc>
          <w:tcPr>
            <w:tcW w:w="4410" w:type="dxa"/>
          </w:tcPr>
          <w:p w14:paraId="028DAA0A"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The further review level is fixed for all State Plans.</w:t>
            </w:r>
          </w:p>
        </w:tc>
      </w:tr>
      <w:tr w:rsidR="008D57E5" w:rsidRPr="004E492F" w14:paraId="09204DD1"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7757528D"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11a</w:t>
            </w:r>
          </w:p>
        </w:tc>
        <w:tc>
          <w:tcPr>
            <w:tcW w:w="2206" w:type="dxa"/>
          </w:tcPr>
          <w:p w14:paraId="6C06EA73"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Average lapse time (safety)</w:t>
            </w:r>
          </w:p>
        </w:tc>
        <w:tc>
          <w:tcPr>
            <w:tcW w:w="1289" w:type="dxa"/>
          </w:tcPr>
          <w:p w14:paraId="605D2819"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52.92</w:t>
            </w:r>
          </w:p>
        </w:tc>
        <w:tc>
          <w:tcPr>
            <w:tcW w:w="1411" w:type="dxa"/>
          </w:tcPr>
          <w:p w14:paraId="70D83DB1"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 xml:space="preserve">+/- 20% of </w:t>
            </w:r>
          </w:p>
          <w:p w14:paraId="32C39DBF"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54.58</w:t>
            </w:r>
          </w:p>
        </w:tc>
        <w:tc>
          <w:tcPr>
            <w:tcW w:w="4410" w:type="dxa"/>
          </w:tcPr>
          <w:p w14:paraId="15877857"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The further review level is based on a three-year national average.  The range of acceptable data not requiring further review is from 43.66 to 65.50 for safety.</w:t>
            </w:r>
          </w:p>
        </w:tc>
      </w:tr>
      <w:tr w:rsidR="008D57E5" w:rsidRPr="004E492F" w14:paraId="0DB46DCB"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375604D9"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11b</w:t>
            </w:r>
          </w:p>
        </w:tc>
        <w:tc>
          <w:tcPr>
            <w:tcW w:w="2206" w:type="dxa"/>
          </w:tcPr>
          <w:p w14:paraId="7A04BBF7"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Average lapse time (health)</w:t>
            </w:r>
          </w:p>
        </w:tc>
        <w:tc>
          <w:tcPr>
            <w:tcW w:w="1289" w:type="dxa"/>
          </w:tcPr>
          <w:p w14:paraId="22ABE958"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64.25</w:t>
            </w:r>
          </w:p>
        </w:tc>
        <w:tc>
          <w:tcPr>
            <w:tcW w:w="1411" w:type="dxa"/>
          </w:tcPr>
          <w:p w14:paraId="38239D20"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 xml:space="preserve">+/- 20% of </w:t>
            </w:r>
          </w:p>
          <w:p w14:paraId="494FAB64"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69.03</w:t>
            </w:r>
          </w:p>
        </w:tc>
        <w:tc>
          <w:tcPr>
            <w:tcW w:w="4410" w:type="dxa"/>
          </w:tcPr>
          <w:p w14:paraId="106F0235"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The further review level is based on a three-year national average.  The range of acceptable data not requiring further review is from 55.22 to 82.84 for health.</w:t>
            </w:r>
          </w:p>
        </w:tc>
      </w:tr>
      <w:tr w:rsidR="008D57E5" w:rsidRPr="004E492F" w14:paraId="62C66D4A"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5DE4C39C"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12</w:t>
            </w:r>
          </w:p>
        </w:tc>
        <w:tc>
          <w:tcPr>
            <w:tcW w:w="2206" w:type="dxa"/>
          </w:tcPr>
          <w:p w14:paraId="2C3120B9"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Percent penalty retained</w:t>
            </w:r>
          </w:p>
        </w:tc>
        <w:tc>
          <w:tcPr>
            <w:tcW w:w="1289" w:type="dxa"/>
          </w:tcPr>
          <w:p w14:paraId="73C12601"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71.35</w:t>
            </w:r>
            <w:r w:rsidRPr="007305A2">
              <w:rPr>
                <w:rFonts w:asciiTheme="minorHAnsi" w:hAnsiTheme="minorHAnsi" w:cstheme="minorHAnsi"/>
              </w:rPr>
              <w:t>%</w:t>
            </w:r>
          </w:p>
        </w:tc>
        <w:tc>
          <w:tcPr>
            <w:tcW w:w="1411" w:type="dxa"/>
          </w:tcPr>
          <w:p w14:paraId="53DBFB88" w14:textId="77777777" w:rsidR="008D57E5" w:rsidRPr="007305A2"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+/- 15% of</w:t>
            </w:r>
          </w:p>
          <w:p w14:paraId="394D8452"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69.97%</w:t>
            </w:r>
          </w:p>
        </w:tc>
        <w:tc>
          <w:tcPr>
            <w:tcW w:w="4410" w:type="dxa"/>
          </w:tcPr>
          <w:p w14:paraId="6DDA178D"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The further review level is based on a three-year national average.  The range of acceptable data not requiring further review is from 59.47% to 80.47%.</w:t>
            </w:r>
          </w:p>
        </w:tc>
      </w:tr>
      <w:tr w:rsidR="008D57E5" w:rsidRPr="004E492F" w14:paraId="40F56299"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715B8D77"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13</w:t>
            </w:r>
          </w:p>
        </w:tc>
        <w:tc>
          <w:tcPr>
            <w:tcW w:w="2206" w:type="dxa"/>
          </w:tcPr>
          <w:p w14:paraId="604F0969"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Percent of initial inspections with worker walk-around representation or worker interview</w:t>
            </w:r>
          </w:p>
        </w:tc>
        <w:tc>
          <w:tcPr>
            <w:tcW w:w="1289" w:type="dxa"/>
          </w:tcPr>
          <w:p w14:paraId="5328F2A9"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100</w:t>
            </w:r>
            <w:r w:rsidRPr="007305A2">
              <w:rPr>
                <w:rFonts w:asciiTheme="minorHAnsi" w:hAnsiTheme="minorHAnsi" w:cstheme="minorHAnsi"/>
              </w:rPr>
              <w:t>%</w:t>
            </w:r>
          </w:p>
        </w:tc>
        <w:tc>
          <w:tcPr>
            <w:tcW w:w="1411" w:type="dxa"/>
          </w:tcPr>
          <w:p w14:paraId="64F21E5A"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100%</w:t>
            </w:r>
          </w:p>
        </w:tc>
        <w:tc>
          <w:tcPr>
            <w:tcW w:w="4410" w:type="dxa"/>
          </w:tcPr>
          <w:p w14:paraId="37833E2F"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7305A2">
              <w:rPr>
                <w:rFonts w:asciiTheme="minorHAnsi" w:hAnsiTheme="minorHAnsi" w:cstheme="minorHAnsi"/>
              </w:rPr>
              <w:t>The further review level is fixed for all State Plans.</w:t>
            </w:r>
          </w:p>
        </w:tc>
      </w:tr>
      <w:tr w:rsidR="008D57E5" w:rsidRPr="004E492F" w14:paraId="103B47F5"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20D45309"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lastRenderedPageBreak/>
              <w:t>14</w:t>
            </w:r>
          </w:p>
        </w:tc>
        <w:tc>
          <w:tcPr>
            <w:tcW w:w="2206" w:type="dxa"/>
          </w:tcPr>
          <w:p w14:paraId="0C8256BE"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Percent of 11(c) investigations completed within 90 days</w:t>
            </w:r>
          </w:p>
        </w:tc>
        <w:tc>
          <w:tcPr>
            <w:tcW w:w="1289" w:type="dxa"/>
          </w:tcPr>
          <w:p w14:paraId="7F465BA9"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N/A*</w:t>
            </w:r>
          </w:p>
        </w:tc>
        <w:tc>
          <w:tcPr>
            <w:tcW w:w="1411" w:type="dxa"/>
          </w:tcPr>
          <w:p w14:paraId="49375BC7"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N/A*</w:t>
            </w:r>
          </w:p>
        </w:tc>
        <w:tc>
          <w:tcPr>
            <w:tcW w:w="4410" w:type="dxa"/>
          </w:tcPr>
          <w:p w14:paraId="6BC8C505"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This measure is not being reported for FY 2022. Please see note below.</w:t>
            </w:r>
          </w:p>
        </w:tc>
      </w:tr>
      <w:tr w:rsidR="008D57E5" w:rsidRPr="004E492F" w14:paraId="6B08B4DB"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4D442E49"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15</w:t>
            </w:r>
          </w:p>
        </w:tc>
        <w:tc>
          <w:tcPr>
            <w:tcW w:w="2206" w:type="dxa"/>
          </w:tcPr>
          <w:p w14:paraId="4BB08DC5"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Percent of 11(c) complaints that are meritorious</w:t>
            </w:r>
          </w:p>
        </w:tc>
        <w:tc>
          <w:tcPr>
            <w:tcW w:w="1289" w:type="dxa"/>
          </w:tcPr>
          <w:p w14:paraId="4F3BA3F2"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N/A*</w:t>
            </w:r>
          </w:p>
        </w:tc>
        <w:tc>
          <w:tcPr>
            <w:tcW w:w="1411" w:type="dxa"/>
          </w:tcPr>
          <w:p w14:paraId="3E0D4B8A"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N/A*</w:t>
            </w:r>
          </w:p>
        </w:tc>
        <w:tc>
          <w:tcPr>
            <w:tcW w:w="4410" w:type="dxa"/>
          </w:tcPr>
          <w:p w14:paraId="1F17B1B2"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82B43">
              <w:rPr>
                <w:rFonts w:asciiTheme="minorHAnsi" w:hAnsiTheme="minorHAnsi" w:cstheme="minorHAnsi"/>
              </w:rPr>
              <w:t>This measure is not being reported for FY 2022. Please see note below.</w:t>
            </w:r>
            <w:r>
              <w:rPr>
                <w:rFonts w:asciiTheme="minorHAnsi" w:hAnsiTheme="minorHAnsi" w:cstheme="minorHAnsi"/>
              </w:rPr>
              <w:t xml:space="preserve"> </w:t>
            </w:r>
          </w:p>
        </w:tc>
      </w:tr>
      <w:tr w:rsidR="008D57E5" w:rsidRPr="004E492F" w14:paraId="5C0A37E9"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480F226E"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16</w:t>
            </w:r>
          </w:p>
        </w:tc>
        <w:tc>
          <w:tcPr>
            <w:tcW w:w="2206" w:type="dxa"/>
          </w:tcPr>
          <w:p w14:paraId="07A8ACF5"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Average number of calendar days to complete an 11(c) investigation</w:t>
            </w:r>
          </w:p>
        </w:tc>
        <w:tc>
          <w:tcPr>
            <w:tcW w:w="1289" w:type="dxa"/>
          </w:tcPr>
          <w:p w14:paraId="6CFFE20E"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eastAsia="PMingLiU" w:hAnsiTheme="minorHAnsi" w:cstheme="minorHAnsi"/>
              </w:rPr>
              <w:t>N/A*</w:t>
            </w:r>
          </w:p>
        </w:tc>
        <w:tc>
          <w:tcPr>
            <w:tcW w:w="1411" w:type="dxa"/>
            <w:shd w:val="clear" w:color="auto" w:fill="auto"/>
          </w:tcPr>
          <w:p w14:paraId="2F9035FD"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N/A*</w:t>
            </w:r>
          </w:p>
        </w:tc>
        <w:tc>
          <w:tcPr>
            <w:tcW w:w="4410" w:type="dxa"/>
          </w:tcPr>
          <w:p w14:paraId="4A73EAF9"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B50BA9">
              <w:rPr>
                <w:rFonts w:asciiTheme="minorHAnsi" w:eastAsia="PMingLiU" w:hAnsiTheme="minorHAnsi" w:cstheme="minorHAnsi"/>
              </w:rPr>
              <w:t>This measure is not being reported for FY 2022. Please see note below.</w:t>
            </w:r>
          </w:p>
        </w:tc>
      </w:tr>
      <w:tr w:rsidR="008D57E5" w:rsidRPr="004E492F" w14:paraId="4EEEF6B8" w14:textId="77777777" w:rsidTr="00C1799C">
        <w:tc>
          <w:tcPr>
            <w:cnfStyle w:val="001000000000" w:firstRow="0" w:lastRow="0" w:firstColumn="1" w:lastColumn="0" w:oddVBand="0" w:evenVBand="0" w:oddHBand="0" w:evenHBand="0" w:firstRowFirstColumn="0" w:firstRowLastColumn="0" w:lastRowFirstColumn="0" w:lastRowLastColumn="0"/>
            <w:tcW w:w="1034" w:type="dxa"/>
          </w:tcPr>
          <w:p w14:paraId="0F0FBD3D" w14:textId="77777777" w:rsidR="008D57E5" w:rsidRPr="004E492F"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cs="Calibri"/>
              </w:rPr>
            </w:pPr>
            <w:r w:rsidRPr="004E492F">
              <w:rPr>
                <w:rFonts w:eastAsia="PMingLiU" w:cs="Calibri"/>
              </w:rPr>
              <w:t>17</w:t>
            </w:r>
          </w:p>
        </w:tc>
        <w:tc>
          <w:tcPr>
            <w:tcW w:w="2206" w:type="dxa"/>
          </w:tcPr>
          <w:p w14:paraId="69DB8D99"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305A2">
              <w:rPr>
                <w:rFonts w:asciiTheme="minorHAnsi" w:hAnsiTheme="minorHAnsi" w:cstheme="minorHAnsi"/>
              </w:rPr>
              <w:t>Percent of enforcement presence</w:t>
            </w:r>
          </w:p>
        </w:tc>
        <w:tc>
          <w:tcPr>
            <w:tcW w:w="1289" w:type="dxa"/>
          </w:tcPr>
          <w:p w14:paraId="26D40884"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0.97</w:t>
            </w:r>
            <w:r w:rsidRPr="00EE16A8">
              <w:rPr>
                <w:rFonts w:asciiTheme="minorHAnsi" w:hAnsiTheme="minorHAnsi" w:cstheme="minorHAnsi"/>
              </w:rPr>
              <w:t>%</w:t>
            </w:r>
          </w:p>
        </w:tc>
        <w:tc>
          <w:tcPr>
            <w:tcW w:w="1411" w:type="dxa"/>
          </w:tcPr>
          <w:p w14:paraId="2F5772F1" w14:textId="77777777" w:rsidR="008D57E5" w:rsidRPr="00EE16A8" w:rsidRDefault="008D57E5" w:rsidP="00C179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E16A8">
              <w:rPr>
                <w:rFonts w:asciiTheme="minorHAnsi" w:hAnsiTheme="minorHAnsi" w:cstheme="minorHAnsi"/>
              </w:rPr>
              <w:t>+/- 25% of</w:t>
            </w:r>
          </w:p>
          <w:p w14:paraId="48E149DD"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1.64</w:t>
            </w:r>
            <w:r w:rsidRPr="00EE16A8">
              <w:rPr>
                <w:rFonts w:asciiTheme="minorHAnsi" w:hAnsiTheme="minorHAnsi" w:cstheme="minorHAnsi"/>
              </w:rPr>
              <w:t>%</w:t>
            </w:r>
          </w:p>
        </w:tc>
        <w:tc>
          <w:tcPr>
            <w:tcW w:w="4410" w:type="dxa"/>
          </w:tcPr>
          <w:p w14:paraId="05DB739D" w14:textId="77777777" w:rsidR="008D57E5" w:rsidRPr="007305A2" w:rsidRDefault="008D57E5" w:rsidP="00C1799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EE16A8">
              <w:rPr>
                <w:rFonts w:asciiTheme="minorHAnsi" w:hAnsiTheme="minorHAnsi" w:cstheme="minorHAnsi"/>
              </w:rPr>
              <w:t xml:space="preserve">The further review level is based on a three-year national average.  The range of acceptable data not requiring further review is from </w:t>
            </w:r>
            <w:r>
              <w:rPr>
                <w:rFonts w:asciiTheme="minorHAnsi" w:hAnsiTheme="minorHAnsi" w:cstheme="minorHAnsi"/>
              </w:rPr>
              <w:t>1.23</w:t>
            </w:r>
            <w:r w:rsidRPr="00EE16A8">
              <w:rPr>
                <w:rFonts w:asciiTheme="minorHAnsi" w:hAnsiTheme="minorHAnsi" w:cstheme="minorHAnsi"/>
              </w:rPr>
              <w:t xml:space="preserve">% to </w:t>
            </w:r>
            <w:r>
              <w:rPr>
                <w:rFonts w:asciiTheme="minorHAnsi" w:hAnsiTheme="minorHAnsi" w:cstheme="minorHAnsi"/>
              </w:rPr>
              <w:t>2.05</w:t>
            </w:r>
            <w:r w:rsidRPr="00EE16A8">
              <w:rPr>
                <w:rFonts w:asciiTheme="minorHAnsi" w:hAnsiTheme="minorHAnsi" w:cstheme="minorHAnsi"/>
              </w:rPr>
              <w:t>%.</w:t>
            </w:r>
          </w:p>
        </w:tc>
      </w:tr>
    </w:tbl>
    <w:p w14:paraId="407BE2E3" w14:textId="77777777" w:rsidR="008D57E5" w:rsidRPr="004E492F" w:rsidRDefault="008D57E5" w:rsidP="008D57E5">
      <w:pPr>
        <w:rPr>
          <w:rFonts w:cs="Calibri"/>
          <w:b/>
          <w:color w:val="1F497D"/>
          <w:sz w:val="28"/>
          <w:szCs w:val="28"/>
        </w:rPr>
      </w:pPr>
    </w:p>
    <w:p w14:paraId="6BBBE379" w14:textId="44C7A78C" w:rsidR="008D57E5" w:rsidRDefault="008D57E5" w:rsidP="008D57E5">
      <w:r>
        <w:t>NOTE:  The national averages in this report are three-year rolling averages.  Unless otherwise noted, the data contained in this Appendix D are pulled from the State Activity Mandated Measures (SAMM) Report in OIS run on November 14, 2022, as part of OSHA’s official end-of-year data run.</w:t>
      </w:r>
    </w:p>
    <w:p w14:paraId="3A738971" w14:textId="77777777" w:rsidR="007A7A2C" w:rsidRDefault="007A7A2C" w:rsidP="008D57E5"/>
    <w:p w14:paraId="22127DF6" w14:textId="77777777" w:rsidR="008D57E5" w:rsidRDefault="008D57E5" w:rsidP="008D57E5">
      <w:r>
        <w:t xml:space="preserve">*Due to the transition of 11(c) data from IMIS to OIS, SAMMs 14, 15, and 16 are not being reported for FY 2022. </w:t>
      </w:r>
    </w:p>
    <w:p w14:paraId="3A771A83" w14:textId="77777777" w:rsidR="008D57E5" w:rsidRDefault="008D57E5" w:rsidP="008D57E5">
      <w:pPr>
        <w:widowControl/>
        <w:autoSpaceDE/>
        <w:autoSpaceDN/>
        <w:adjustRightInd/>
        <w:ind w:left="1080"/>
        <w:rPr>
          <w:rFonts w:cs="Calibri"/>
          <w:iCs/>
          <w:color w:val="0070C0"/>
        </w:rPr>
      </w:pPr>
    </w:p>
    <w:p w14:paraId="03C787CD" w14:textId="77777777" w:rsidR="008D57E5" w:rsidRDefault="008D57E5" w:rsidP="008D57E5">
      <w:pPr>
        <w:widowControl/>
        <w:autoSpaceDE/>
        <w:autoSpaceDN/>
        <w:adjustRightInd/>
        <w:rPr>
          <w:rFonts w:cs="Calibri"/>
          <w:iCs/>
          <w:color w:val="0070C0"/>
        </w:rPr>
      </w:pPr>
    </w:p>
    <w:bookmarkEnd w:id="36"/>
    <w:p w14:paraId="6AEAFCEC" w14:textId="09DA3DD1" w:rsidR="008D57E5" w:rsidRPr="001C1E47" w:rsidRDefault="00E53BA9" w:rsidP="00B81E74">
      <w:pPr>
        <w:tabs>
          <w:tab w:val="left" w:pos="2540"/>
        </w:tabs>
        <w:rPr>
          <w:rFonts w:cs="Calibri"/>
        </w:rPr>
      </w:pPr>
      <w:r>
        <w:rPr>
          <w:rFonts w:cs="Calibri"/>
        </w:rPr>
        <w:tab/>
      </w:r>
    </w:p>
    <w:sectPr w:rsidR="008D57E5" w:rsidRPr="001C1E47" w:rsidSect="00FE65FF">
      <w:headerReference w:type="default" r:id="rId18"/>
      <w:footerReference w:type="default" r:id="rId19"/>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E435" w14:textId="77777777" w:rsidR="00FF2A99" w:rsidRDefault="00FF2A99" w:rsidP="00C872A0">
      <w:r>
        <w:separator/>
      </w:r>
    </w:p>
  </w:endnote>
  <w:endnote w:type="continuationSeparator" w:id="0">
    <w:p w14:paraId="26E28572" w14:textId="77777777" w:rsidR="00FF2A99" w:rsidRDefault="00FF2A99"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auto"/>
    <w:pitch w:val="fixed"/>
    <w:sig w:usb0="00000001" w:usb1="09060000" w:usb2="00000010" w:usb3="00000000" w:csb0="00080000" w:csb1="00000000"/>
  </w:font>
  <w:font w:name="MS Mincho">
    <w:altName w:val="Yu Gothic"/>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8889224"/>
      <w:docPartObj>
        <w:docPartGallery w:val="Page Numbers (Bottom of Page)"/>
        <w:docPartUnique/>
      </w:docPartObj>
    </w:sdtPr>
    <w:sdtEndPr>
      <w:rPr>
        <w:noProof/>
      </w:rPr>
    </w:sdtEndPr>
    <w:sdtContent>
      <w:p w14:paraId="4680D2B4" w14:textId="77777777" w:rsidR="008D57E5" w:rsidRDefault="008D57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201835" w14:textId="77777777" w:rsidR="008D57E5" w:rsidRDefault="008D57E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869490"/>
      <w:docPartObj>
        <w:docPartGallery w:val="Page Numbers (Bottom of Page)"/>
        <w:docPartUnique/>
      </w:docPartObj>
    </w:sdtPr>
    <w:sdtEndPr>
      <w:rPr>
        <w:noProof/>
      </w:rPr>
    </w:sdtEndPr>
    <w:sdtContent>
      <w:p w14:paraId="0D375887" w14:textId="77777777" w:rsidR="008D57E5" w:rsidRDefault="008D57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4BE82B" w14:textId="77777777" w:rsidR="008D57E5" w:rsidRDefault="008D57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FA10" w14:textId="77777777" w:rsidR="008D57E5" w:rsidRDefault="008D57E5">
    <w:pPr>
      <w:pStyle w:val="Footer"/>
      <w:jc w:val="center"/>
    </w:pPr>
    <w:r>
      <w:t>B-1</w:t>
    </w:r>
  </w:p>
  <w:p w14:paraId="7303E3DE" w14:textId="77777777" w:rsidR="008D57E5" w:rsidRDefault="008D57E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270044"/>
      <w:docPartObj>
        <w:docPartGallery w:val="Page Numbers (Bottom of Page)"/>
        <w:docPartUnique/>
      </w:docPartObj>
    </w:sdtPr>
    <w:sdtEndPr>
      <w:rPr>
        <w:noProof/>
      </w:rPr>
    </w:sdtEndPr>
    <w:sdtContent>
      <w:p w14:paraId="76882C57" w14:textId="77777777" w:rsidR="008D57E5" w:rsidRDefault="008D57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9FADE" w14:textId="77777777" w:rsidR="008D57E5" w:rsidRPr="00E20610" w:rsidRDefault="008D57E5" w:rsidP="00E2061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E3E39" w14:textId="77777777" w:rsidR="00FF2A99" w:rsidRDefault="00FF2A99" w:rsidP="00C872A0">
      <w:r>
        <w:separator/>
      </w:r>
    </w:p>
  </w:footnote>
  <w:footnote w:type="continuationSeparator" w:id="0">
    <w:p w14:paraId="449D81DB" w14:textId="77777777" w:rsidR="00FF2A99" w:rsidRDefault="00FF2A99"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D5E6" w14:textId="77777777" w:rsidR="008D57E5" w:rsidRPr="00283FF9" w:rsidRDefault="008D57E5" w:rsidP="00476C08">
    <w:pPr>
      <w:pStyle w:val="Heading2"/>
    </w:pPr>
    <w:r w:rsidRPr="00283FF9">
      <w:t>Appendix B – Observations and Federal Monitoring Plans</w:t>
    </w:r>
  </w:p>
  <w:p w14:paraId="42EE88A9" w14:textId="77777777" w:rsidR="008D57E5" w:rsidRDefault="008D57E5" w:rsidP="000A134A">
    <w:pPr>
      <w:jc w:val="center"/>
    </w:pPr>
    <w:r>
      <w:t>FY 2022 [</w:t>
    </w:r>
    <w:r>
      <w:rPr>
        <w:i/>
      </w:rPr>
      <w:t>State Plan Name</w:t>
    </w:r>
    <w:r w:rsidRPr="001056A7">
      <w:t>]</w:t>
    </w:r>
    <w:r w:rsidRPr="003E7A6E">
      <w:t xml:space="preserve"> </w:t>
    </w:r>
    <w:r>
      <w:t>Follow-up FAME Report</w:t>
    </w:r>
  </w:p>
  <w:p w14:paraId="53FD8666" w14:textId="77777777" w:rsidR="008D57E5" w:rsidRDefault="008D57E5" w:rsidP="000A134A">
    <w:pPr>
      <w:jc w:val="center"/>
    </w:pPr>
  </w:p>
  <w:p w14:paraId="4019E114" w14:textId="77777777" w:rsidR="008D57E5" w:rsidRDefault="008D57E5" w:rsidP="000A134A">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F8DF" w14:textId="77777777" w:rsidR="008D57E5" w:rsidRPr="00D2585B" w:rsidRDefault="008D57E5" w:rsidP="00D258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B477B"/>
    <w:multiLevelType w:val="hybridMultilevel"/>
    <w:tmpl w:val="4216AC04"/>
    <w:lvl w:ilvl="0" w:tplc="89A4F528">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0"/>
  </w:num>
  <w:num w:numId="5" w16cid:durableId="437339714">
    <w:abstractNumId w:val="28"/>
  </w:num>
  <w:num w:numId="6" w16cid:durableId="1373268660">
    <w:abstractNumId w:val="25"/>
  </w:num>
  <w:num w:numId="7" w16cid:durableId="1614284284">
    <w:abstractNumId w:val="26"/>
  </w:num>
  <w:num w:numId="8" w16cid:durableId="1901401974">
    <w:abstractNumId w:val="29"/>
  </w:num>
  <w:num w:numId="9" w16cid:durableId="340623116">
    <w:abstractNumId w:val="27"/>
  </w:num>
  <w:num w:numId="10" w16cid:durableId="1713532647">
    <w:abstractNumId w:val="31"/>
  </w:num>
  <w:num w:numId="11" w16cid:durableId="247546233">
    <w:abstractNumId w:val="23"/>
  </w:num>
  <w:num w:numId="12" w16cid:durableId="158769152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B73"/>
    <w:rsid w:val="000036AB"/>
    <w:rsid w:val="00004200"/>
    <w:rsid w:val="00007781"/>
    <w:rsid w:val="000116C0"/>
    <w:rsid w:val="00014C7A"/>
    <w:rsid w:val="00016214"/>
    <w:rsid w:val="00016803"/>
    <w:rsid w:val="00016DB2"/>
    <w:rsid w:val="0001706D"/>
    <w:rsid w:val="00017349"/>
    <w:rsid w:val="00021274"/>
    <w:rsid w:val="000217D1"/>
    <w:rsid w:val="00021FE0"/>
    <w:rsid w:val="00022BEE"/>
    <w:rsid w:val="00023E67"/>
    <w:rsid w:val="000248F0"/>
    <w:rsid w:val="0002572C"/>
    <w:rsid w:val="00025F57"/>
    <w:rsid w:val="00026D40"/>
    <w:rsid w:val="00026D63"/>
    <w:rsid w:val="00027093"/>
    <w:rsid w:val="0003442F"/>
    <w:rsid w:val="00034A4E"/>
    <w:rsid w:val="00035083"/>
    <w:rsid w:val="0003567C"/>
    <w:rsid w:val="00036865"/>
    <w:rsid w:val="00036BF8"/>
    <w:rsid w:val="00036EB4"/>
    <w:rsid w:val="00036F0D"/>
    <w:rsid w:val="00037F48"/>
    <w:rsid w:val="000404ED"/>
    <w:rsid w:val="00042327"/>
    <w:rsid w:val="00043515"/>
    <w:rsid w:val="00044436"/>
    <w:rsid w:val="000447C9"/>
    <w:rsid w:val="000449F8"/>
    <w:rsid w:val="00045479"/>
    <w:rsid w:val="00045BD6"/>
    <w:rsid w:val="00045C51"/>
    <w:rsid w:val="00046151"/>
    <w:rsid w:val="000468C6"/>
    <w:rsid w:val="00046BEE"/>
    <w:rsid w:val="00046E13"/>
    <w:rsid w:val="000470EE"/>
    <w:rsid w:val="0005007B"/>
    <w:rsid w:val="00050FEB"/>
    <w:rsid w:val="000517FA"/>
    <w:rsid w:val="00052B36"/>
    <w:rsid w:val="00053A2C"/>
    <w:rsid w:val="00054416"/>
    <w:rsid w:val="00054900"/>
    <w:rsid w:val="00055243"/>
    <w:rsid w:val="00055B40"/>
    <w:rsid w:val="00055F2C"/>
    <w:rsid w:val="00057840"/>
    <w:rsid w:val="00060D39"/>
    <w:rsid w:val="00061875"/>
    <w:rsid w:val="000625FB"/>
    <w:rsid w:val="0006398D"/>
    <w:rsid w:val="00065AB2"/>
    <w:rsid w:val="0006611A"/>
    <w:rsid w:val="0006665E"/>
    <w:rsid w:val="00066A7B"/>
    <w:rsid w:val="00066C52"/>
    <w:rsid w:val="000701E4"/>
    <w:rsid w:val="0007073F"/>
    <w:rsid w:val="0007113A"/>
    <w:rsid w:val="0007157F"/>
    <w:rsid w:val="00071E71"/>
    <w:rsid w:val="000724F1"/>
    <w:rsid w:val="0007306B"/>
    <w:rsid w:val="000743D1"/>
    <w:rsid w:val="00074876"/>
    <w:rsid w:val="000760CB"/>
    <w:rsid w:val="00076601"/>
    <w:rsid w:val="000767C0"/>
    <w:rsid w:val="00077410"/>
    <w:rsid w:val="00083A76"/>
    <w:rsid w:val="00085230"/>
    <w:rsid w:val="00086C37"/>
    <w:rsid w:val="00086F2F"/>
    <w:rsid w:val="0008759E"/>
    <w:rsid w:val="00087EE9"/>
    <w:rsid w:val="00090155"/>
    <w:rsid w:val="000902ED"/>
    <w:rsid w:val="0009134A"/>
    <w:rsid w:val="00091ABD"/>
    <w:rsid w:val="00091AE2"/>
    <w:rsid w:val="00091B54"/>
    <w:rsid w:val="00091F17"/>
    <w:rsid w:val="000923E0"/>
    <w:rsid w:val="00092555"/>
    <w:rsid w:val="000929B5"/>
    <w:rsid w:val="00092F1B"/>
    <w:rsid w:val="00093239"/>
    <w:rsid w:val="0009535D"/>
    <w:rsid w:val="0009583F"/>
    <w:rsid w:val="000969E2"/>
    <w:rsid w:val="000A134A"/>
    <w:rsid w:val="000A1CE9"/>
    <w:rsid w:val="000A2DE7"/>
    <w:rsid w:val="000A3878"/>
    <w:rsid w:val="000A40EC"/>
    <w:rsid w:val="000A55DB"/>
    <w:rsid w:val="000A658C"/>
    <w:rsid w:val="000A7279"/>
    <w:rsid w:val="000A7A05"/>
    <w:rsid w:val="000B07D7"/>
    <w:rsid w:val="000B1A5B"/>
    <w:rsid w:val="000B1ECC"/>
    <w:rsid w:val="000B22E4"/>
    <w:rsid w:val="000B3A37"/>
    <w:rsid w:val="000B440B"/>
    <w:rsid w:val="000B4852"/>
    <w:rsid w:val="000B6A8A"/>
    <w:rsid w:val="000C04C6"/>
    <w:rsid w:val="000C0E15"/>
    <w:rsid w:val="000C12C6"/>
    <w:rsid w:val="000C1882"/>
    <w:rsid w:val="000C1ED8"/>
    <w:rsid w:val="000C295F"/>
    <w:rsid w:val="000C2E74"/>
    <w:rsid w:val="000C368E"/>
    <w:rsid w:val="000C38BD"/>
    <w:rsid w:val="000C4141"/>
    <w:rsid w:val="000C43DE"/>
    <w:rsid w:val="000C46E4"/>
    <w:rsid w:val="000C5C82"/>
    <w:rsid w:val="000C7C9A"/>
    <w:rsid w:val="000D343F"/>
    <w:rsid w:val="000D4560"/>
    <w:rsid w:val="000D4A64"/>
    <w:rsid w:val="000D750A"/>
    <w:rsid w:val="000D7AAD"/>
    <w:rsid w:val="000E0408"/>
    <w:rsid w:val="000E07E7"/>
    <w:rsid w:val="000E0DD1"/>
    <w:rsid w:val="000E1AA2"/>
    <w:rsid w:val="000E20A2"/>
    <w:rsid w:val="000E46F3"/>
    <w:rsid w:val="000E5C64"/>
    <w:rsid w:val="000E62AE"/>
    <w:rsid w:val="000E6466"/>
    <w:rsid w:val="000E7F42"/>
    <w:rsid w:val="000F1D68"/>
    <w:rsid w:val="000F1E49"/>
    <w:rsid w:val="000F46ED"/>
    <w:rsid w:val="000F4DA3"/>
    <w:rsid w:val="000F51C9"/>
    <w:rsid w:val="000F52CE"/>
    <w:rsid w:val="000F5631"/>
    <w:rsid w:val="000F5A36"/>
    <w:rsid w:val="000F63C1"/>
    <w:rsid w:val="000F6A5C"/>
    <w:rsid w:val="000F7ECC"/>
    <w:rsid w:val="001039FA"/>
    <w:rsid w:val="001056A7"/>
    <w:rsid w:val="0011011A"/>
    <w:rsid w:val="00110CB0"/>
    <w:rsid w:val="001113A1"/>
    <w:rsid w:val="00112C81"/>
    <w:rsid w:val="0011326F"/>
    <w:rsid w:val="0011522A"/>
    <w:rsid w:val="00115B48"/>
    <w:rsid w:val="00115DF5"/>
    <w:rsid w:val="00116055"/>
    <w:rsid w:val="001170E4"/>
    <w:rsid w:val="00117115"/>
    <w:rsid w:val="001174A0"/>
    <w:rsid w:val="001206B1"/>
    <w:rsid w:val="00121233"/>
    <w:rsid w:val="0012164B"/>
    <w:rsid w:val="00122228"/>
    <w:rsid w:val="0012279E"/>
    <w:rsid w:val="00122839"/>
    <w:rsid w:val="00122BD3"/>
    <w:rsid w:val="00123AC4"/>
    <w:rsid w:val="00125065"/>
    <w:rsid w:val="00125345"/>
    <w:rsid w:val="00125C8A"/>
    <w:rsid w:val="00126493"/>
    <w:rsid w:val="00126880"/>
    <w:rsid w:val="00130EEC"/>
    <w:rsid w:val="00132862"/>
    <w:rsid w:val="00132F71"/>
    <w:rsid w:val="001330E6"/>
    <w:rsid w:val="001341FE"/>
    <w:rsid w:val="00134F5C"/>
    <w:rsid w:val="00134F5D"/>
    <w:rsid w:val="001358F0"/>
    <w:rsid w:val="00136DA3"/>
    <w:rsid w:val="001376D1"/>
    <w:rsid w:val="00140C21"/>
    <w:rsid w:val="0014173A"/>
    <w:rsid w:val="00141758"/>
    <w:rsid w:val="0014199D"/>
    <w:rsid w:val="00142198"/>
    <w:rsid w:val="00143ACD"/>
    <w:rsid w:val="0014420A"/>
    <w:rsid w:val="00144A53"/>
    <w:rsid w:val="00145BC1"/>
    <w:rsid w:val="001469F6"/>
    <w:rsid w:val="001471B8"/>
    <w:rsid w:val="00147B01"/>
    <w:rsid w:val="00147F8B"/>
    <w:rsid w:val="00150F03"/>
    <w:rsid w:val="001515BB"/>
    <w:rsid w:val="00151CFD"/>
    <w:rsid w:val="00152207"/>
    <w:rsid w:val="00155591"/>
    <w:rsid w:val="00156CD6"/>
    <w:rsid w:val="00156E0C"/>
    <w:rsid w:val="00157520"/>
    <w:rsid w:val="00161740"/>
    <w:rsid w:val="00161908"/>
    <w:rsid w:val="0016336D"/>
    <w:rsid w:val="00163E90"/>
    <w:rsid w:val="00172085"/>
    <w:rsid w:val="00173853"/>
    <w:rsid w:val="0017552C"/>
    <w:rsid w:val="0017699C"/>
    <w:rsid w:val="00176DF8"/>
    <w:rsid w:val="00177A1E"/>
    <w:rsid w:val="00177D70"/>
    <w:rsid w:val="00180EFD"/>
    <w:rsid w:val="00182B5C"/>
    <w:rsid w:val="00182CE0"/>
    <w:rsid w:val="001843E2"/>
    <w:rsid w:val="00184E43"/>
    <w:rsid w:val="00185C7D"/>
    <w:rsid w:val="001861B8"/>
    <w:rsid w:val="00187065"/>
    <w:rsid w:val="00187182"/>
    <w:rsid w:val="001902FE"/>
    <w:rsid w:val="001927A4"/>
    <w:rsid w:val="00192881"/>
    <w:rsid w:val="00192C14"/>
    <w:rsid w:val="00193E53"/>
    <w:rsid w:val="001941DE"/>
    <w:rsid w:val="001950ED"/>
    <w:rsid w:val="00195153"/>
    <w:rsid w:val="001958C8"/>
    <w:rsid w:val="001A2967"/>
    <w:rsid w:val="001A335E"/>
    <w:rsid w:val="001A3671"/>
    <w:rsid w:val="001A6B79"/>
    <w:rsid w:val="001A7BB9"/>
    <w:rsid w:val="001A7F60"/>
    <w:rsid w:val="001B0219"/>
    <w:rsid w:val="001B02D7"/>
    <w:rsid w:val="001B0632"/>
    <w:rsid w:val="001B0AF1"/>
    <w:rsid w:val="001B160F"/>
    <w:rsid w:val="001B284A"/>
    <w:rsid w:val="001B346B"/>
    <w:rsid w:val="001B6DA7"/>
    <w:rsid w:val="001B77A2"/>
    <w:rsid w:val="001C154D"/>
    <w:rsid w:val="001C1E47"/>
    <w:rsid w:val="001C2B11"/>
    <w:rsid w:val="001C3276"/>
    <w:rsid w:val="001C44E8"/>
    <w:rsid w:val="001C560E"/>
    <w:rsid w:val="001C58C2"/>
    <w:rsid w:val="001C620B"/>
    <w:rsid w:val="001C6D15"/>
    <w:rsid w:val="001D1819"/>
    <w:rsid w:val="001D1A16"/>
    <w:rsid w:val="001D6530"/>
    <w:rsid w:val="001D681F"/>
    <w:rsid w:val="001D6D59"/>
    <w:rsid w:val="001D7428"/>
    <w:rsid w:val="001D7613"/>
    <w:rsid w:val="001E0EFF"/>
    <w:rsid w:val="001E1B35"/>
    <w:rsid w:val="001E1C5D"/>
    <w:rsid w:val="001E1FD1"/>
    <w:rsid w:val="001E2D62"/>
    <w:rsid w:val="001E2FBB"/>
    <w:rsid w:val="001E405A"/>
    <w:rsid w:val="001E4F8A"/>
    <w:rsid w:val="001E5ABD"/>
    <w:rsid w:val="001E5C43"/>
    <w:rsid w:val="001E5FE4"/>
    <w:rsid w:val="001E71BA"/>
    <w:rsid w:val="001F0B51"/>
    <w:rsid w:val="001F1D8A"/>
    <w:rsid w:val="001F359C"/>
    <w:rsid w:val="001F3750"/>
    <w:rsid w:val="001F40E1"/>
    <w:rsid w:val="001F58B8"/>
    <w:rsid w:val="00200D27"/>
    <w:rsid w:val="002011AC"/>
    <w:rsid w:val="00201EB9"/>
    <w:rsid w:val="00202BD7"/>
    <w:rsid w:val="002048CC"/>
    <w:rsid w:val="0020506D"/>
    <w:rsid w:val="00205391"/>
    <w:rsid w:val="00205A99"/>
    <w:rsid w:val="00205B95"/>
    <w:rsid w:val="0020733F"/>
    <w:rsid w:val="00207B94"/>
    <w:rsid w:val="00210E15"/>
    <w:rsid w:val="00211626"/>
    <w:rsid w:val="0021277A"/>
    <w:rsid w:val="00212BC7"/>
    <w:rsid w:val="0021380C"/>
    <w:rsid w:val="00213FCA"/>
    <w:rsid w:val="00216621"/>
    <w:rsid w:val="00216B0E"/>
    <w:rsid w:val="00217433"/>
    <w:rsid w:val="00217437"/>
    <w:rsid w:val="00222350"/>
    <w:rsid w:val="00222900"/>
    <w:rsid w:val="002231D3"/>
    <w:rsid w:val="002235F3"/>
    <w:rsid w:val="002247E7"/>
    <w:rsid w:val="0022537C"/>
    <w:rsid w:val="0022685E"/>
    <w:rsid w:val="00227868"/>
    <w:rsid w:val="00230915"/>
    <w:rsid w:val="00230D53"/>
    <w:rsid w:val="0023191B"/>
    <w:rsid w:val="002337B2"/>
    <w:rsid w:val="00233C64"/>
    <w:rsid w:val="002404BA"/>
    <w:rsid w:val="002427F7"/>
    <w:rsid w:val="00243015"/>
    <w:rsid w:val="0024338F"/>
    <w:rsid w:val="002511A8"/>
    <w:rsid w:val="002511E9"/>
    <w:rsid w:val="002512E8"/>
    <w:rsid w:val="00251FA2"/>
    <w:rsid w:val="002523FB"/>
    <w:rsid w:val="002529E8"/>
    <w:rsid w:val="00253249"/>
    <w:rsid w:val="002536CB"/>
    <w:rsid w:val="0025526A"/>
    <w:rsid w:val="00255EA4"/>
    <w:rsid w:val="00256414"/>
    <w:rsid w:val="00260A89"/>
    <w:rsid w:val="00260C9F"/>
    <w:rsid w:val="00261A11"/>
    <w:rsid w:val="00262A51"/>
    <w:rsid w:val="00262DDC"/>
    <w:rsid w:val="002648FC"/>
    <w:rsid w:val="00264BB5"/>
    <w:rsid w:val="00265778"/>
    <w:rsid w:val="002658D0"/>
    <w:rsid w:val="002679E5"/>
    <w:rsid w:val="00270695"/>
    <w:rsid w:val="002707B8"/>
    <w:rsid w:val="0027084D"/>
    <w:rsid w:val="002725BC"/>
    <w:rsid w:val="002731DE"/>
    <w:rsid w:val="002735F9"/>
    <w:rsid w:val="00273CD1"/>
    <w:rsid w:val="00274463"/>
    <w:rsid w:val="0027502F"/>
    <w:rsid w:val="00275415"/>
    <w:rsid w:val="00277C24"/>
    <w:rsid w:val="0028166F"/>
    <w:rsid w:val="00281733"/>
    <w:rsid w:val="0028174D"/>
    <w:rsid w:val="00281A30"/>
    <w:rsid w:val="002823D9"/>
    <w:rsid w:val="002831C6"/>
    <w:rsid w:val="00283FF9"/>
    <w:rsid w:val="00284BFA"/>
    <w:rsid w:val="00285372"/>
    <w:rsid w:val="00290531"/>
    <w:rsid w:val="00290B29"/>
    <w:rsid w:val="00292313"/>
    <w:rsid w:val="00294168"/>
    <w:rsid w:val="00294245"/>
    <w:rsid w:val="002948AE"/>
    <w:rsid w:val="00294FD0"/>
    <w:rsid w:val="002954DC"/>
    <w:rsid w:val="0029647F"/>
    <w:rsid w:val="00296B1E"/>
    <w:rsid w:val="00297ABC"/>
    <w:rsid w:val="002A2421"/>
    <w:rsid w:val="002A40A1"/>
    <w:rsid w:val="002A4594"/>
    <w:rsid w:val="002A4934"/>
    <w:rsid w:val="002A50A7"/>
    <w:rsid w:val="002A65C4"/>
    <w:rsid w:val="002A6CAA"/>
    <w:rsid w:val="002A6EA8"/>
    <w:rsid w:val="002B020A"/>
    <w:rsid w:val="002B28AF"/>
    <w:rsid w:val="002B334F"/>
    <w:rsid w:val="002B3E37"/>
    <w:rsid w:val="002B4100"/>
    <w:rsid w:val="002B4250"/>
    <w:rsid w:val="002B429D"/>
    <w:rsid w:val="002B43F3"/>
    <w:rsid w:val="002B4830"/>
    <w:rsid w:val="002B4F49"/>
    <w:rsid w:val="002B63FA"/>
    <w:rsid w:val="002B7D36"/>
    <w:rsid w:val="002C1E78"/>
    <w:rsid w:val="002C21A1"/>
    <w:rsid w:val="002C35C5"/>
    <w:rsid w:val="002C4E8C"/>
    <w:rsid w:val="002C65D1"/>
    <w:rsid w:val="002D0261"/>
    <w:rsid w:val="002D1D1E"/>
    <w:rsid w:val="002D473A"/>
    <w:rsid w:val="002D4F37"/>
    <w:rsid w:val="002D54B7"/>
    <w:rsid w:val="002D61CE"/>
    <w:rsid w:val="002D6E03"/>
    <w:rsid w:val="002E030B"/>
    <w:rsid w:val="002E211F"/>
    <w:rsid w:val="002E397D"/>
    <w:rsid w:val="002E43B7"/>
    <w:rsid w:val="002E4405"/>
    <w:rsid w:val="002E4FDC"/>
    <w:rsid w:val="002E50F9"/>
    <w:rsid w:val="002E516E"/>
    <w:rsid w:val="002E5F0C"/>
    <w:rsid w:val="002E6386"/>
    <w:rsid w:val="002E6B6C"/>
    <w:rsid w:val="002E6E35"/>
    <w:rsid w:val="002E6E73"/>
    <w:rsid w:val="002E799C"/>
    <w:rsid w:val="002F140C"/>
    <w:rsid w:val="002F313C"/>
    <w:rsid w:val="002F4FA0"/>
    <w:rsid w:val="002F5F07"/>
    <w:rsid w:val="002F78C9"/>
    <w:rsid w:val="002F7F47"/>
    <w:rsid w:val="0030105C"/>
    <w:rsid w:val="00304846"/>
    <w:rsid w:val="00304930"/>
    <w:rsid w:val="0030523E"/>
    <w:rsid w:val="00306137"/>
    <w:rsid w:val="00312D97"/>
    <w:rsid w:val="00312FDE"/>
    <w:rsid w:val="0031493F"/>
    <w:rsid w:val="00315E58"/>
    <w:rsid w:val="00320A32"/>
    <w:rsid w:val="00322518"/>
    <w:rsid w:val="00322C51"/>
    <w:rsid w:val="00322E48"/>
    <w:rsid w:val="003235C8"/>
    <w:rsid w:val="003245E5"/>
    <w:rsid w:val="003249AC"/>
    <w:rsid w:val="0032597C"/>
    <w:rsid w:val="00327926"/>
    <w:rsid w:val="00327E12"/>
    <w:rsid w:val="003306BF"/>
    <w:rsid w:val="003319D5"/>
    <w:rsid w:val="00331F49"/>
    <w:rsid w:val="003335BA"/>
    <w:rsid w:val="00334155"/>
    <w:rsid w:val="00336613"/>
    <w:rsid w:val="00336FF6"/>
    <w:rsid w:val="0033715B"/>
    <w:rsid w:val="003400CE"/>
    <w:rsid w:val="00340ED2"/>
    <w:rsid w:val="00341DD1"/>
    <w:rsid w:val="00343604"/>
    <w:rsid w:val="00344186"/>
    <w:rsid w:val="00344D3F"/>
    <w:rsid w:val="0034504D"/>
    <w:rsid w:val="00345174"/>
    <w:rsid w:val="0034562A"/>
    <w:rsid w:val="003478A8"/>
    <w:rsid w:val="003505E0"/>
    <w:rsid w:val="00351ABE"/>
    <w:rsid w:val="00351DAD"/>
    <w:rsid w:val="0035483B"/>
    <w:rsid w:val="003561D0"/>
    <w:rsid w:val="0035620E"/>
    <w:rsid w:val="0035765D"/>
    <w:rsid w:val="00360CDE"/>
    <w:rsid w:val="00361746"/>
    <w:rsid w:val="003625AF"/>
    <w:rsid w:val="00363176"/>
    <w:rsid w:val="00363AF6"/>
    <w:rsid w:val="0036420B"/>
    <w:rsid w:val="00366FCA"/>
    <w:rsid w:val="003675BA"/>
    <w:rsid w:val="00370890"/>
    <w:rsid w:val="00371330"/>
    <w:rsid w:val="00373067"/>
    <w:rsid w:val="00373624"/>
    <w:rsid w:val="00373C62"/>
    <w:rsid w:val="00374643"/>
    <w:rsid w:val="00374E61"/>
    <w:rsid w:val="0037554E"/>
    <w:rsid w:val="003759CE"/>
    <w:rsid w:val="00375AFE"/>
    <w:rsid w:val="00380246"/>
    <w:rsid w:val="0038038C"/>
    <w:rsid w:val="00380DBE"/>
    <w:rsid w:val="003810F0"/>
    <w:rsid w:val="003822A8"/>
    <w:rsid w:val="00382632"/>
    <w:rsid w:val="00383151"/>
    <w:rsid w:val="00383223"/>
    <w:rsid w:val="00384D3F"/>
    <w:rsid w:val="003861AB"/>
    <w:rsid w:val="0038622A"/>
    <w:rsid w:val="00386A92"/>
    <w:rsid w:val="003874AE"/>
    <w:rsid w:val="00387B03"/>
    <w:rsid w:val="00387C8A"/>
    <w:rsid w:val="0039036E"/>
    <w:rsid w:val="00391D6F"/>
    <w:rsid w:val="00392C0A"/>
    <w:rsid w:val="0039497C"/>
    <w:rsid w:val="00395A18"/>
    <w:rsid w:val="0039632A"/>
    <w:rsid w:val="00396CFB"/>
    <w:rsid w:val="003A15AE"/>
    <w:rsid w:val="003A1E5E"/>
    <w:rsid w:val="003A1F58"/>
    <w:rsid w:val="003A20DA"/>
    <w:rsid w:val="003A2119"/>
    <w:rsid w:val="003A4F3E"/>
    <w:rsid w:val="003A53CD"/>
    <w:rsid w:val="003A6DB0"/>
    <w:rsid w:val="003A79DB"/>
    <w:rsid w:val="003B2977"/>
    <w:rsid w:val="003B3314"/>
    <w:rsid w:val="003B3D85"/>
    <w:rsid w:val="003B3DD0"/>
    <w:rsid w:val="003B572B"/>
    <w:rsid w:val="003B5B99"/>
    <w:rsid w:val="003B7931"/>
    <w:rsid w:val="003C24E4"/>
    <w:rsid w:val="003C25AC"/>
    <w:rsid w:val="003C45C1"/>
    <w:rsid w:val="003C553A"/>
    <w:rsid w:val="003C5C8B"/>
    <w:rsid w:val="003C664A"/>
    <w:rsid w:val="003C70C3"/>
    <w:rsid w:val="003D0C21"/>
    <w:rsid w:val="003D248B"/>
    <w:rsid w:val="003D2F9B"/>
    <w:rsid w:val="003D3984"/>
    <w:rsid w:val="003D4ED4"/>
    <w:rsid w:val="003D53B8"/>
    <w:rsid w:val="003D5D7B"/>
    <w:rsid w:val="003D6D33"/>
    <w:rsid w:val="003D750D"/>
    <w:rsid w:val="003E01A1"/>
    <w:rsid w:val="003E1251"/>
    <w:rsid w:val="003E2170"/>
    <w:rsid w:val="003E375A"/>
    <w:rsid w:val="003E4294"/>
    <w:rsid w:val="003E4B5E"/>
    <w:rsid w:val="003E6165"/>
    <w:rsid w:val="003E6A8F"/>
    <w:rsid w:val="003E6E8B"/>
    <w:rsid w:val="003E7A6E"/>
    <w:rsid w:val="003E7AEA"/>
    <w:rsid w:val="003F0994"/>
    <w:rsid w:val="003F0FB1"/>
    <w:rsid w:val="003F2C9D"/>
    <w:rsid w:val="003F2E2D"/>
    <w:rsid w:val="003F46FA"/>
    <w:rsid w:val="003F6C61"/>
    <w:rsid w:val="003F7844"/>
    <w:rsid w:val="003F78C1"/>
    <w:rsid w:val="003F7A1E"/>
    <w:rsid w:val="004007AC"/>
    <w:rsid w:val="00401DF0"/>
    <w:rsid w:val="0040227E"/>
    <w:rsid w:val="0040298C"/>
    <w:rsid w:val="00403973"/>
    <w:rsid w:val="00403ADC"/>
    <w:rsid w:val="0040424A"/>
    <w:rsid w:val="00407F47"/>
    <w:rsid w:val="004103CD"/>
    <w:rsid w:val="00410A18"/>
    <w:rsid w:val="00410CBE"/>
    <w:rsid w:val="004119E8"/>
    <w:rsid w:val="00411E44"/>
    <w:rsid w:val="00412965"/>
    <w:rsid w:val="004134D7"/>
    <w:rsid w:val="004137DE"/>
    <w:rsid w:val="004138A5"/>
    <w:rsid w:val="00414885"/>
    <w:rsid w:val="004148C0"/>
    <w:rsid w:val="00414F98"/>
    <w:rsid w:val="0041560D"/>
    <w:rsid w:val="00416112"/>
    <w:rsid w:val="00422070"/>
    <w:rsid w:val="0042395F"/>
    <w:rsid w:val="0042478D"/>
    <w:rsid w:val="0042568D"/>
    <w:rsid w:val="00425EE1"/>
    <w:rsid w:val="00426918"/>
    <w:rsid w:val="0042694A"/>
    <w:rsid w:val="00430741"/>
    <w:rsid w:val="00431115"/>
    <w:rsid w:val="00431F6C"/>
    <w:rsid w:val="00435253"/>
    <w:rsid w:val="004359BB"/>
    <w:rsid w:val="00440DF1"/>
    <w:rsid w:val="004419F6"/>
    <w:rsid w:val="00442149"/>
    <w:rsid w:val="00443054"/>
    <w:rsid w:val="00443D46"/>
    <w:rsid w:val="004441BE"/>
    <w:rsid w:val="00446455"/>
    <w:rsid w:val="0045049B"/>
    <w:rsid w:val="00451D3D"/>
    <w:rsid w:val="00451DA6"/>
    <w:rsid w:val="00453AA2"/>
    <w:rsid w:val="00454277"/>
    <w:rsid w:val="00454FE1"/>
    <w:rsid w:val="00456A58"/>
    <w:rsid w:val="00456AB3"/>
    <w:rsid w:val="00456C45"/>
    <w:rsid w:val="00457149"/>
    <w:rsid w:val="0046047E"/>
    <w:rsid w:val="00464590"/>
    <w:rsid w:val="00464C75"/>
    <w:rsid w:val="00464D70"/>
    <w:rsid w:val="004658D1"/>
    <w:rsid w:val="00466B8D"/>
    <w:rsid w:val="00470600"/>
    <w:rsid w:val="00470794"/>
    <w:rsid w:val="00470A59"/>
    <w:rsid w:val="00471DCC"/>
    <w:rsid w:val="004729E0"/>
    <w:rsid w:val="00473850"/>
    <w:rsid w:val="00473A4D"/>
    <w:rsid w:val="00473DD7"/>
    <w:rsid w:val="00473E98"/>
    <w:rsid w:val="004740E8"/>
    <w:rsid w:val="004745DA"/>
    <w:rsid w:val="00474896"/>
    <w:rsid w:val="00475E79"/>
    <w:rsid w:val="00476C08"/>
    <w:rsid w:val="0047789A"/>
    <w:rsid w:val="00480BEA"/>
    <w:rsid w:val="004811CE"/>
    <w:rsid w:val="00482770"/>
    <w:rsid w:val="00483334"/>
    <w:rsid w:val="004834B7"/>
    <w:rsid w:val="00483779"/>
    <w:rsid w:val="0048380E"/>
    <w:rsid w:val="00483AA4"/>
    <w:rsid w:val="00486665"/>
    <w:rsid w:val="0048668C"/>
    <w:rsid w:val="00486971"/>
    <w:rsid w:val="00486BE3"/>
    <w:rsid w:val="00487D91"/>
    <w:rsid w:val="00490395"/>
    <w:rsid w:val="0049137F"/>
    <w:rsid w:val="00491ECF"/>
    <w:rsid w:val="00492379"/>
    <w:rsid w:val="004923EB"/>
    <w:rsid w:val="0049240B"/>
    <w:rsid w:val="0049342D"/>
    <w:rsid w:val="0049420B"/>
    <w:rsid w:val="0049474F"/>
    <w:rsid w:val="004954D4"/>
    <w:rsid w:val="00497316"/>
    <w:rsid w:val="00497C0D"/>
    <w:rsid w:val="00497CF7"/>
    <w:rsid w:val="004A17E0"/>
    <w:rsid w:val="004A57F6"/>
    <w:rsid w:val="004A5A2F"/>
    <w:rsid w:val="004A613F"/>
    <w:rsid w:val="004B0D97"/>
    <w:rsid w:val="004B106A"/>
    <w:rsid w:val="004B31ED"/>
    <w:rsid w:val="004B394F"/>
    <w:rsid w:val="004B3D37"/>
    <w:rsid w:val="004B3D81"/>
    <w:rsid w:val="004B42DA"/>
    <w:rsid w:val="004C1432"/>
    <w:rsid w:val="004C3ECD"/>
    <w:rsid w:val="004C4576"/>
    <w:rsid w:val="004C5E86"/>
    <w:rsid w:val="004C641B"/>
    <w:rsid w:val="004C7EFC"/>
    <w:rsid w:val="004D0505"/>
    <w:rsid w:val="004D05C8"/>
    <w:rsid w:val="004D0B18"/>
    <w:rsid w:val="004D0DD0"/>
    <w:rsid w:val="004D194A"/>
    <w:rsid w:val="004D4A2C"/>
    <w:rsid w:val="004D6820"/>
    <w:rsid w:val="004D7611"/>
    <w:rsid w:val="004E11D8"/>
    <w:rsid w:val="004E22AA"/>
    <w:rsid w:val="004E3225"/>
    <w:rsid w:val="004E40FD"/>
    <w:rsid w:val="004E4C79"/>
    <w:rsid w:val="004E505A"/>
    <w:rsid w:val="004E58BC"/>
    <w:rsid w:val="004E6043"/>
    <w:rsid w:val="004E72DE"/>
    <w:rsid w:val="004E7417"/>
    <w:rsid w:val="004E7689"/>
    <w:rsid w:val="004F1EB5"/>
    <w:rsid w:val="004F4B9A"/>
    <w:rsid w:val="004F4D6A"/>
    <w:rsid w:val="004F5900"/>
    <w:rsid w:val="004F5FF4"/>
    <w:rsid w:val="004F706D"/>
    <w:rsid w:val="004F7483"/>
    <w:rsid w:val="004F7758"/>
    <w:rsid w:val="0050077F"/>
    <w:rsid w:val="00500DEF"/>
    <w:rsid w:val="00501CB0"/>
    <w:rsid w:val="00502D50"/>
    <w:rsid w:val="0051107A"/>
    <w:rsid w:val="00511BBB"/>
    <w:rsid w:val="00512339"/>
    <w:rsid w:val="005128CD"/>
    <w:rsid w:val="005129C3"/>
    <w:rsid w:val="005133E4"/>
    <w:rsid w:val="00513906"/>
    <w:rsid w:val="00513BF3"/>
    <w:rsid w:val="0051489E"/>
    <w:rsid w:val="00514AFF"/>
    <w:rsid w:val="00516517"/>
    <w:rsid w:val="005175EF"/>
    <w:rsid w:val="00517751"/>
    <w:rsid w:val="005179A1"/>
    <w:rsid w:val="00521191"/>
    <w:rsid w:val="005218C3"/>
    <w:rsid w:val="00522159"/>
    <w:rsid w:val="0052483D"/>
    <w:rsid w:val="00525623"/>
    <w:rsid w:val="0052604A"/>
    <w:rsid w:val="00530162"/>
    <w:rsid w:val="00531978"/>
    <w:rsid w:val="005327EF"/>
    <w:rsid w:val="005353EA"/>
    <w:rsid w:val="005367D5"/>
    <w:rsid w:val="00536A02"/>
    <w:rsid w:val="00536FF5"/>
    <w:rsid w:val="00537E35"/>
    <w:rsid w:val="00540A1E"/>
    <w:rsid w:val="00540D4C"/>
    <w:rsid w:val="00541BE6"/>
    <w:rsid w:val="00542FFC"/>
    <w:rsid w:val="00543D20"/>
    <w:rsid w:val="00543F37"/>
    <w:rsid w:val="00545AD4"/>
    <w:rsid w:val="005461C0"/>
    <w:rsid w:val="00547B1C"/>
    <w:rsid w:val="005504BC"/>
    <w:rsid w:val="00551791"/>
    <w:rsid w:val="00552EB3"/>
    <w:rsid w:val="00553AA5"/>
    <w:rsid w:val="005543E0"/>
    <w:rsid w:val="00555259"/>
    <w:rsid w:val="005556B2"/>
    <w:rsid w:val="00556779"/>
    <w:rsid w:val="00561459"/>
    <w:rsid w:val="00561B12"/>
    <w:rsid w:val="0056204C"/>
    <w:rsid w:val="00562433"/>
    <w:rsid w:val="00562F0E"/>
    <w:rsid w:val="005647C8"/>
    <w:rsid w:val="00565D72"/>
    <w:rsid w:val="00565F80"/>
    <w:rsid w:val="005660FD"/>
    <w:rsid w:val="005672B5"/>
    <w:rsid w:val="00570040"/>
    <w:rsid w:val="005700FC"/>
    <w:rsid w:val="00571660"/>
    <w:rsid w:val="0057283B"/>
    <w:rsid w:val="00575988"/>
    <w:rsid w:val="00575B51"/>
    <w:rsid w:val="00576178"/>
    <w:rsid w:val="0057789C"/>
    <w:rsid w:val="005819C5"/>
    <w:rsid w:val="005824E9"/>
    <w:rsid w:val="005837BD"/>
    <w:rsid w:val="0058464C"/>
    <w:rsid w:val="00584756"/>
    <w:rsid w:val="005860FD"/>
    <w:rsid w:val="00587EE4"/>
    <w:rsid w:val="00590091"/>
    <w:rsid w:val="0059072C"/>
    <w:rsid w:val="005915D6"/>
    <w:rsid w:val="00591A40"/>
    <w:rsid w:val="00591F96"/>
    <w:rsid w:val="00594F37"/>
    <w:rsid w:val="00597441"/>
    <w:rsid w:val="005A0888"/>
    <w:rsid w:val="005A1AFE"/>
    <w:rsid w:val="005A2F63"/>
    <w:rsid w:val="005A2F6F"/>
    <w:rsid w:val="005A573D"/>
    <w:rsid w:val="005A595B"/>
    <w:rsid w:val="005A59F4"/>
    <w:rsid w:val="005A5B9A"/>
    <w:rsid w:val="005A5C27"/>
    <w:rsid w:val="005A5EEE"/>
    <w:rsid w:val="005A624E"/>
    <w:rsid w:val="005A6B9B"/>
    <w:rsid w:val="005A7708"/>
    <w:rsid w:val="005B0F17"/>
    <w:rsid w:val="005B368D"/>
    <w:rsid w:val="005B3E85"/>
    <w:rsid w:val="005B50B8"/>
    <w:rsid w:val="005B5B2D"/>
    <w:rsid w:val="005B5BFC"/>
    <w:rsid w:val="005B7B8D"/>
    <w:rsid w:val="005B7C09"/>
    <w:rsid w:val="005C138B"/>
    <w:rsid w:val="005C1719"/>
    <w:rsid w:val="005C1BFC"/>
    <w:rsid w:val="005C3F96"/>
    <w:rsid w:val="005C489D"/>
    <w:rsid w:val="005C59CE"/>
    <w:rsid w:val="005C5F99"/>
    <w:rsid w:val="005C6529"/>
    <w:rsid w:val="005D027D"/>
    <w:rsid w:val="005D1B1B"/>
    <w:rsid w:val="005D1F76"/>
    <w:rsid w:val="005D1FFE"/>
    <w:rsid w:val="005D25EC"/>
    <w:rsid w:val="005D2ABC"/>
    <w:rsid w:val="005D2D13"/>
    <w:rsid w:val="005D5383"/>
    <w:rsid w:val="005D54CA"/>
    <w:rsid w:val="005D5717"/>
    <w:rsid w:val="005D5CD7"/>
    <w:rsid w:val="005D6416"/>
    <w:rsid w:val="005D6827"/>
    <w:rsid w:val="005D7D4E"/>
    <w:rsid w:val="005D7FB3"/>
    <w:rsid w:val="005E038B"/>
    <w:rsid w:val="005E1543"/>
    <w:rsid w:val="005E18EB"/>
    <w:rsid w:val="005E1D1F"/>
    <w:rsid w:val="005E20BF"/>
    <w:rsid w:val="005E2179"/>
    <w:rsid w:val="005E2647"/>
    <w:rsid w:val="005E28CB"/>
    <w:rsid w:val="005E3EFB"/>
    <w:rsid w:val="005E56E6"/>
    <w:rsid w:val="005E61ED"/>
    <w:rsid w:val="005F128A"/>
    <w:rsid w:val="005F1373"/>
    <w:rsid w:val="005F4085"/>
    <w:rsid w:val="005F70AA"/>
    <w:rsid w:val="00600B02"/>
    <w:rsid w:val="00600D22"/>
    <w:rsid w:val="00601444"/>
    <w:rsid w:val="006025A4"/>
    <w:rsid w:val="00602EF3"/>
    <w:rsid w:val="00602F37"/>
    <w:rsid w:val="006036FD"/>
    <w:rsid w:val="006049B0"/>
    <w:rsid w:val="006109F6"/>
    <w:rsid w:val="0061177B"/>
    <w:rsid w:val="006124DB"/>
    <w:rsid w:val="0061276B"/>
    <w:rsid w:val="0061362E"/>
    <w:rsid w:val="006145F1"/>
    <w:rsid w:val="00615341"/>
    <w:rsid w:val="0061616D"/>
    <w:rsid w:val="006163AE"/>
    <w:rsid w:val="00616ADA"/>
    <w:rsid w:val="006175A7"/>
    <w:rsid w:val="006220FA"/>
    <w:rsid w:val="006239C7"/>
    <w:rsid w:val="00623BE6"/>
    <w:rsid w:val="0062454B"/>
    <w:rsid w:val="00624BF4"/>
    <w:rsid w:val="006252C6"/>
    <w:rsid w:val="0062576C"/>
    <w:rsid w:val="00626033"/>
    <w:rsid w:val="00630505"/>
    <w:rsid w:val="00630922"/>
    <w:rsid w:val="00630E11"/>
    <w:rsid w:val="00631143"/>
    <w:rsid w:val="00631459"/>
    <w:rsid w:val="00631C17"/>
    <w:rsid w:val="0063248E"/>
    <w:rsid w:val="006324CB"/>
    <w:rsid w:val="00632CF0"/>
    <w:rsid w:val="00632E7D"/>
    <w:rsid w:val="006331B0"/>
    <w:rsid w:val="0063415D"/>
    <w:rsid w:val="00634539"/>
    <w:rsid w:val="006345B2"/>
    <w:rsid w:val="006360DB"/>
    <w:rsid w:val="00636B85"/>
    <w:rsid w:val="006375CA"/>
    <w:rsid w:val="00643DC9"/>
    <w:rsid w:val="00645001"/>
    <w:rsid w:val="006460B8"/>
    <w:rsid w:val="0064646B"/>
    <w:rsid w:val="006479EF"/>
    <w:rsid w:val="006514A3"/>
    <w:rsid w:val="006529AA"/>
    <w:rsid w:val="00654707"/>
    <w:rsid w:val="00655CB9"/>
    <w:rsid w:val="0066010E"/>
    <w:rsid w:val="00660A91"/>
    <w:rsid w:val="00660D00"/>
    <w:rsid w:val="00664D23"/>
    <w:rsid w:val="0066658E"/>
    <w:rsid w:val="006668D8"/>
    <w:rsid w:val="00666D5A"/>
    <w:rsid w:val="006672E3"/>
    <w:rsid w:val="00667656"/>
    <w:rsid w:val="00670051"/>
    <w:rsid w:val="00670523"/>
    <w:rsid w:val="00670587"/>
    <w:rsid w:val="00672D7A"/>
    <w:rsid w:val="0067419C"/>
    <w:rsid w:val="00675794"/>
    <w:rsid w:val="006765F9"/>
    <w:rsid w:val="00680333"/>
    <w:rsid w:val="00680C8F"/>
    <w:rsid w:val="00680E08"/>
    <w:rsid w:val="00681DA9"/>
    <w:rsid w:val="00682E21"/>
    <w:rsid w:val="00683C7D"/>
    <w:rsid w:val="006856D8"/>
    <w:rsid w:val="00686D1E"/>
    <w:rsid w:val="00686E4E"/>
    <w:rsid w:val="00687F36"/>
    <w:rsid w:val="00690C0D"/>
    <w:rsid w:val="006915C5"/>
    <w:rsid w:val="00692151"/>
    <w:rsid w:val="00692678"/>
    <w:rsid w:val="00692B5D"/>
    <w:rsid w:val="00693E90"/>
    <w:rsid w:val="00694365"/>
    <w:rsid w:val="0069437A"/>
    <w:rsid w:val="00695011"/>
    <w:rsid w:val="00696E76"/>
    <w:rsid w:val="00697198"/>
    <w:rsid w:val="00697AE2"/>
    <w:rsid w:val="006A01D7"/>
    <w:rsid w:val="006A424B"/>
    <w:rsid w:val="006A6EF2"/>
    <w:rsid w:val="006A758B"/>
    <w:rsid w:val="006A7B6C"/>
    <w:rsid w:val="006B16CD"/>
    <w:rsid w:val="006B22CB"/>
    <w:rsid w:val="006B2C36"/>
    <w:rsid w:val="006B4C20"/>
    <w:rsid w:val="006B5FC7"/>
    <w:rsid w:val="006B664F"/>
    <w:rsid w:val="006B72DC"/>
    <w:rsid w:val="006C0489"/>
    <w:rsid w:val="006C0DF1"/>
    <w:rsid w:val="006C19FF"/>
    <w:rsid w:val="006C4152"/>
    <w:rsid w:val="006C4B0D"/>
    <w:rsid w:val="006C5C95"/>
    <w:rsid w:val="006C70ED"/>
    <w:rsid w:val="006D045D"/>
    <w:rsid w:val="006D05F8"/>
    <w:rsid w:val="006D1B18"/>
    <w:rsid w:val="006D219A"/>
    <w:rsid w:val="006D2FCF"/>
    <w:rsid w:val="006D3126"/>
    <w:rsid w:val="006D3407"/>
    <w:rsid w:val="006D34ED"/>
    <w:rsid w:val="006D44D3"/>
    <w:rsid w:val="006D49F8"/>
    <w:rsid w:val="006D526E"/>
    <w:rsid w:val="006D52C6"/>
    <w:rsid w:val="006D64A8"/>
    <w:rsid w:val="006D68FE"/>
    <w:rsid w:val="006D6F0C"/>
    <w:rsid w:val="006E00B7"/>
    <w:rsid w:val="006E0211"/>
    <w:rsid w:val="006E02C8"/>
    <w:rsid w:val="006E0832"/>
    <w:rsid w:val="006E11C5"/>
    <w:rsid w:val="006E2139"/>
    <w:rsid w:val="006E2E96"/>
    <w:rsid w:val="006E31DC"/>
    <w:rsid w:val="006E4ADC"/>
    <w:rsid w:val="006E5B1C"/>
    <w:rsid w:val="006E6CC3"/>
    <w:rsid w:val="006E6FF2"/>
    <w:rsid w:val="006F01DD"/>
    <w:rsid w:val="006F10FB"/>
    <w:rsid w:val="006F1799"/>
    <w:rsid w:val="006F1840"/>
    <w:rsid w:val="006F1912"/>
    <w:rsid w:val="006F22ED"/>
    <w:rsid w:val="006F2309"/>
    <w:rsid w:val="006F4D78"/>
    <w:rsid w:val="006F511E"/>
    <w:rsid w:val="006F5CBA"/>
    <w:rsid w:val="006F5D72"/>
    <w:rsid w:val="00700807"/>
    <w:rsid w:val="00702538"/>
    <w:rsid w:val="007025D9"/>
    <w:rsid w:val="0070369D"/>
    <w:rsid w:val="00704431"/>
    <w:rsid w:val="007052B7"/>
    <w:rsid w:val="00705A09"/>
    <w:rsid w:val="00710360"/>
    <w:rsid w:val="0071399D"/>
    <w:rsid w:val="00714CC3"/>
    <w:rsid w:val="00716505"/>
    <w:rsid w:val="00716F8F"/>
    <w:rsid w:val="0072002A"/>
    <w:rsid w:val="0072015A"/>
    <w:rsid w:val="00720230"/>
    <w:rsid w:val="00720865"/>
    <w:rsid w:val="00722352"/>
    <w:rsid w:val="00723121"/>
    <w:rsid w:val="007232E0"/>
    <w:rsid w:val="007249B2"/>
    <w:rsid w:val="00724A9A"/>
    <w:rsid w:val="00725BBB"/>
    <w:rsid w:val="007270F4"/>
    <w:rsid w:val="00727233"/>
    <w:rsid w:val="00731276"/>
    <w:rsid w:val="00733729"/>
    <w:rsid w:val="00733D36"/>
    <w:rsid w:val="007340FB"/>
    <w:rsid w:val="00737B21"/>
    <w:rsid w:val="007408CB"/>
    <w:rsid w:val="00740F2A"/>
    <w:rsid w:val="0074312B"/>
    <w:rsid w:val="007443F6"/>
    <w:rsid w:val="007453B6"/>
    <w:rsid w:val="007458FA"/>
    <w:rsid w:val="00745958"/>
    <w:rsid w:val="007467DE"/>
    <w:rsid w:val="00747710"/>
    <w:rsid w:val="00747E84"/>
    <w:rsid w:val="00750ADF"/>
    <w:rsid w:val="00753357"/>
    <w:rsid w:val="00755256"/>
    <w:rsid w:val="007552CC"/>
    <w:rsid w:val="00755757"/>
    <w:rsid w:val="00755907"/>
    <w:rsid w:val="007562DA"/>
    <w:rsid w:val="0075756B"/>
    <w:rsid w:val="00757C70"/>
    <w:rsid w:val="0076059A"/>
    <w:rsid w:val="007627D2"/>
    <w:rsid w:val="00762C7C"/>
    <w:rsid w:val="00762FBE"/>
    <w:rsid w:val="007634A9"/>
    <w:rsid w:val="0076356B"/>
    <w:rsid w:val="007651EA"/>
    <w:rsid w:val="007664E4"/>
    <w:rsid w:val="00766A7A"/>
    <w:rsid w:val="00771BAB"/>
    <w:rsid w:val="00771C54"/>
    <w:rsid w:val="007740BD"/>
    <w:rsid w:val="007747BE"/>
    <w:rsid w:val="00775886"/>
    <w:rsid w:val="007768DF"/>
    <w:rsid w:val="007768FB"/>
    <w:rsid w:val="00776F99"/>
    <w:rsid w:val="00777C67"/>
    <w:rsid w:val="007802AD"/>
    <w:rsid w:val="0078047F"/>
    <w:rsid w:val="00780E29"/>
    <w:rsid w:val="00781203"/>
    <w:rsid w:val="00781312"/>
    <w:rsid w:val="00781F73"/>
    <w:rsid w:val="00782DED"/>
    <w:rsid w:val="00782FF3"/>
    <w:rsid w:val="00783189"/>
    <w:rsid w:val="007845E1"/>
    <w:rsid w:val="00784ACA"/>
    <w:rsid w:val="00784C55"/>
    <w:rsid w:val="00785927"/>
    <w:rsid w:val="00785982"/>
    <w:rsid w:val="00785B2E"/>
    <w:rsid w:val="00787686"/>
    <w:rsid w:val="00787E50"/>
    <w:rsid w:val="0079063F"/>
    <w:rsid w:val="00793D9F"/>
    <w:rsid w:val="00795EF2"/>
    <w:rsid w:val="007968B8"/>
    <w:rsid w:val="00796B1B"/>
    <w:rsid w:val="007972A0"/>
    <w:rsid w:val="007A0B2C"/>
    <w:rsid w:val="007A0FEC"/>
    <w:rsid w:val="007A12C9"/>
    <w:rsid w:val="007A17BB"/>
    <w:rsid w:val="007A272C"/>
    <w:rsid w:val="007A2B3E"/>
    <w:rsid w:val="007A2EE6"/>
    <w:rsid w:val="007A584C"/>
    <w:rsid w:val="007A6EEF"/>
    <w:rsid w:val="007A71AC"/>
    <w:rsid w:val="007A7A2C"/>
    <w:rsid w:val="007A7AF1"/>
    <w:rsid w:val="007B18D0"/>
    <w:rsid w:val="007B1F3E"/>
    <w:rsid w:val="007B21AB"/>
    <w:rsid w:val="007B2E9D"/>
    <w:rsid w:val="007B5E8E"/>
    <w:rsid w:val="007B6843"/>
    <w:rsid w:val="007B7FCA"/>
    <w:rsid w:val="007C0019"/>
    <w:rsid w:val="007C0A36"/>
    <w:rsid w:val="007C0B6B"/>
    <w:rsid w:val="007C0D75"/>
    <w:rsid w:val="007C126B"/>
    <w:rsid w:val="007C13B8"/>
    <w:rsid w:val="007C2617"/>
    <w:rsid w:val="007C2FE3"/>
    <w:rsid w:val="007C3072"/>
    <w:rsid w:val="007C38C6"/>
    <w:rsid w:val="007C4D6B"/>
    <w:rsid w:val="007C4FEE"/>
    <w:rsid w:val="007C68B5"/>
    <w:rsid w:val="007C79A2"/>
    <w:rsid w:val="007D1457"/>
    <w:rsid w:val="007D1D5D"/>
    <w:rsid w:val="007D2511"/>
    <w:rsid w:val="007D354A"/>
    <w:rsid w:val="007D41D8"/>
    <w:rsid w:val="007D4FDA"/>
    <w:rsid w:val="007D5AD8"/>
    <w:rsid w:val="007D6269"/>
    <w:rsid w:val="007D62F3"/>
    <w:rsid w:val="007D6425"/>
    <w:rsid w:val="007D7696"/>
    <w:rsid w:val="007E01D5"/>
    <w:rsid w:val="007E120E"/>
    <w:rsid w:val="007E48CF"/>
    <w:rsid w:val="007F00FF"/>
    <w:rsid w:val="007F035B"/>
    <w:rsid w:val="007F1946"/>
    <w:rsid w:val="007F2D88"/>
    <w:rsid w:val="007F31B2"/>
    <w:rsid w:val="007F34B6"/>
    <w:rsid w:val="007F352D"/>
    <w:rsid w:val="007F446E"/>
    <w:rsid w:val="007F497E"/>
    <w:rsid w:val="007F549E"/>
    <w:rsid w:val="007F607A"/>
    <w:rsid w:val="007F6FB1"/>
    <w:rsid w:val="007F71DF"/>
    <w:rsid w:val="0080076A"/>
    <w:rsid w:val="00801EB3"/>
    <w:rsid w:val="00803052"/>
    <w:rsid w:val="008033C2"/>
    <w:rsid w:val="0080342B"/>
    <w:rsid w:val="00803AF3"/>
    <w:rsid w:val="00803DB8"/>
    <w:rsid w:val="00804734"/>
    <w:rsid w:val="00804AA4"/>
    <w:rsid w:val="00805FBE"/>
    <w:rsid w:val="00806A19"/>
    <w:rsid w:val="00806A3A"/>
    <w:rsid w:val="00810570"/>
    <w:rsid w:val="00812232"/>
    <w:rsid w:val="00812AA1"/>
    <w:rsid w:val="008131FA"/>
    <w:rsid w:val="008133C0"/>
    <w:rsid w:val="00814A3A"/>
    <w:rsid w:val="00815A3E"/>
    <w:rsid w:val="008164E8"/>
    <w:rsid w:val="008177EE"/>
    <w:rsid w:val="00820BED"/>
    <w:rsid w:val="00821692"/>
    <w:rsid w:val="00821B54"/>
    <w:rsid w:val="00822091"/>
    <w:rsid w:val="00822725"/>
    <w:rsid w:val="00822A6D"/>
    <w:rsid w:val="00823311"/>
    <w:rsid w:val="00823C69"/>
    <w:rsid w:val="008246E3"/>
    <w:rsid w:val="008259CF"/>
    <w:rsid w:val="00825E35"/>
    <w:rsid w:val="00827686"/>
    <w:rsid w:val="00827EC4"/>
    <w:rsid w:val="00830CC4"/>
    <w:rsid w:val="0083168B"/>
    <w:rsid w:val="00831D33"/>
    <w:rsid w:val="00832D88"/>
    <w:rsid w:val="00832F6E"/>
    <w:rsid w:val="0083338D"/>
    <w:rsid w:val="00833722"/>
    <w:rsid w:val="00833FB6"/>
    <w:rsid w:val="00834BC3"/>
    <w:rsid w:val="00834C65"/>
    <w:rsid w:val="008423D2"/>
    <w:rsid w:val="00842FE7"/>
    <w:rsid w:val="00843691"/>
    <w:rsid w:val="00844277"/>
    <w:rsid w:val="00844315"/>
    <w:rsid w:val="00844434"/>
    <w:rsid w:val="00844F3B"/>
    <w:rsid w:val="008455EF"/>
    <w:rsid w:val="00845891"/>
    <w:rsid w:val="0084695A"/>
    <w:rsid w:val="00850E16"/>
    <w:rsid w:val="00852018"/>
    <w:rsid w:val="00853A50"/>
    <w:rsid w:val="008543E8"/>
    <w:rsid w:val="00856121"/>
    <w:rsid w:val="00860AF0"/>
    <w:rsid w:val="008618B2"/>
    <w:rsid w:val="008626CE"/>
    <w:rsid w:val="00862760"/>
    <w:rsid w:val="00862DC5"/>
    <w:rsid w:val="00867A25"/>
    <w:rsid w:val="008700BA"/>
    <w:rsid w:val="00873666"/>
    <w:rsid w:val="0087426E"/>
    <w:rsid w:val="00874736"/>
    <w:rsid w:val="008748B4"/>
    <w:rsid w:val="008751F6"/>
    <w:rsid w:val="00875CD5"/>
    <w:rsid w:val="00876854"/>
    <w:rsid w:val="00876986"/>
    <w:rsid w:val="008769F5"/>
    <w:rsid w:val="008804BC"/>
    <w:rsid w:val="00880D1A"/>
    <w:rsid w:val="00880D91"/>
    <w:rsid w:val="00881D81"/>
    <w:rsid w:val="00881E2C"/>
    <w:rsid w:val="00882F2B"/>
    <w:rsid w:val="00883566"/>
    <w:rsid w:val="008849FF"/>
    <w:rsid w:val="00884ED9"/>
    <w:rsid w:val="008859AC"/>
    <w:rsid w:val="008869C8"/>
    <w:rsid w:val="00886AC3"/>
    <w:rsid w:val="00896574"/>
    <w:rsid w:val="008979C1"/>
    <w:rsid w:val="008A0025"/>
    <w:rsid w:val="008A2094"/>
    <w:rsid w:val="008A2249"/>
    <w:rsid w:val="008A337D"/>
    <w:rsid w:val="008A338C"/>
    <w:rsid w:val="008A37BA"/>
    <w:rsid w:val="008A4178"/>
    <w:rsid w:val="008A4E18"/>
    <w:rsid w:val="008A571F"/>
    <w:rsid w:val="008A64F4"/>
    <w:rsid w:val="008A674D"/>
    <w:rsid w:val="008A78EC"/>
    <w:rsid w:val="008A7991"/>
    <w:rsid w:val="008A7C07"/>
    <w:rsid w:val="008B0E67"/>
    <w:rsid w:val="008B119C"/>
    <w:rsid w:val="008B11C9"/>
    <w:rsid w:val="008B155F"/>
    <w:rsid w:val="008B1863"/>
    <w:rsid w:val="008B1BC6"/>
    <w:rsid w:val="008B6B71"/>
    <w:rsid w:val="008C0158"/>
    <w:rsid w:val="008C174F"/>
    <w:rsid w:val="008C3F3A"/>
    <w:rsid w:val="008C4902"/>
    <w:rsid w:val="008C5042"/>
    <w:rsid w:val="008C544B"/>
    <w:rsid w:val="008D1581"/>
    <w:rsid w:val="008D1BAD"/>
    <w:rsid w:val="008D1C55"/>
    <w:rsid w:val="008D33E2"/>
    <w:rsid w:val="008D4019"/>
    <w:rsid w:val="008D51F3"/>
    <w:rsid w:val="008D57E5"/>
    <w:rsid w:val="008E051D"/>
    <w:rsid w:val="008E0F34"/>
    <w:rsid w:val="008E1E03"/>
    <w:rsid w:val="008E2B3B"/>
    <w:rsid w:val="008E3ABC"/>
    <w:rsid w:val="008E4A0D"/>
    <w:rsid w:val="008E7142"/>
    <w:rsid w:val="008F093F"/>
    <w:rsid w:val="008F1B64"/>
    <w:rsid w:val="008F2A12"/>
    <w:rsid w:val="008F431C"/>
    <w:rsid w:val="008F43B7"/>
    <w:rsid w:val="008F4901"/>
    <w:rsid w:val="008F5289"/>
    <w:rsid w:val="008F5430"/>
    <w:rsid w:val="008F6AD8"/>
    <w:rsid w:val="008F79E8"/>
    <w:rsid w:val="0090108A"/>
    <w:rsid w:val="00901219"/>
    <w:rsid w:val="00901BA6"/>
    <w:rsid w:val="009042CC"/>
    <w:rsid w:val="00904571"/>
    <w:rsid w:val="00906134"/>
    <w:rsid w:val="00907160"/>
    <w:rsid w:val="009076A8"/>
    <w:rsid w:val="00907EF2"/>
    <w:rsid w:val="00910D95"/>
    <w:rsid w:val="009127A4"/>
    <w:rsid w:val="00912AE9"/>
    <w:rsid w:val="00913D5F"/>
    <w:rsid w:val="00914A3B"/>
    <w:rsid w:val="009159B2"/>
    <w:rsid w:val="0091695C"/>
    <w:rsid w:val="00916A3B"/>
    <w:rsid w:val="009179D3"/>
    <w:rsid w:val="00917B96"/>
    <w:rsid w:val="00917C61"/>
    <w:rsid w:val="00920BBD"/>
    <w:rsid w:val="00921D13"/>
    <w:rsid w:val="00925876"/>
    <w:rsid w:val="0092646E"/>
    <w:rsid w:val="00926755"/>
    <w:rsid w:val="00930055"/>
    <w:rsid w:val="009310B5"/>
    <w:rsid w:val="009314EE"/>
    <w:rsid w:val="00931611"/>
    <w:rsid w:val="009329AE"/>
    <w:rsid w:val="00933C53"/>
    <w:rsid w:val="00934C83"/>
    <w:rsid w:val="0093625D"/>
    <w:rsid w:val="009369AE"/>
    <w:rsid w:val="0094439D"/>
    <w:rsid w:val="00944AFA"/>
    <w:rsid w:val="00945650"/>
    <w:rsid w:val="00945FE2"/>
    <w:rsid w:val="0094621D"/>
    <w:rsid w:val="00947C14"/>
    <w:rsid w:val="00950727"/>
    <w:rsid w:val="009508E4"/>
    <w:rsid w:val="00951FDB"/>
    <w:rsid w:val="009522DA"/>
    <w:rsid w:val="00953E02"/>
    <w:rsid w:val="00954323"/>
    <w:rsid w:val="00954BC2"/>
    <w:rsid w:val="009567B8"/>
    <w:rsid w:val="00957E7E"/>
    <w:rsid w:val="00960D34"/>
    <w:rsid w:val="009611D2"/>
    <w:rsid w:val="009621A0"/>
    <w:rsid w:val="00962BC2"/>
    <w:rsid w:val="00964224"/>
    <w:rsid w:val="0096696A"/>
    <w:rsid w:val="00967201"/>
    <w:rsid w:val="00967949"/>
    <w:rsid w:val="00967C74"/>
    <w:rsid w:val="00971FDA"/>
    <w:rsid w:val="009722A8"/>
    <w:rsid w:val="00972548"/>
    <w:rsid w:val="009728FF"/>
    <w:rsid w:val="00974888"/>
    <w:rsid w:val="00974B47"/>
    <w:rsid w:val="00974D53"/>
    <w:rsid w:val="00974D5D"/>
    <w:rsid w:val="009760C4"/>
    <w:rsid w:val="00976E27"/>
    <w:rsid w:val="009772A5"/>
    <w:rsid w:val="00977550"/>
    <w:rsid w:val="00980B5D"/>
    <w:rsid w:val="00981173"/>
    <w:rsid w:val="00981A75"/>
    <w:rsid w:val="00981F83"/>
    <w:rsid w:val="009841A8"/>
    <w:rsid w:val="009868BE"/>
    <w:rsid w:val="00986B64"/>
    <w:rsid w:val="00986EFA"/>
    <w:rsid w:val="009876A4"/>
    <w:rsid w:val="009917E9"/>
    <w:rsid w:val="00992416"/>
    <w:rsid w:val="00993067"/>
    <w:rsid w:val="00993789"/>
    <w:rsid w:val="00994B4C"/>
    <w:rsid w:val="00994F61"/>
    <w:rsid w:val="00996057"/>
    <w:rsid w:val="00996394"/>
    <w:rsid w:val="00996C89"/>
    <w:rsid w:val="009979B9"/>
    <w:rsid w:val="009A03C7"/>
    <w:rsid w:val="009A0703"/>
    <w:rsid w:val="009A1399"/>
    <w:rsid w:val="009A22FD"/>
    <w:rsid w:val="009A2ED6"/>
    <w:rsid w:val="009A31E7"/>
    <w:rsid w:val="009A546A"/>
    <w:rsid w:val="009A621C"/>
    <w:rsid w:val="009A6677"/>
    <w:rsid w:val="009A6C66"/>
    <w:rsid w:val="009A6EF9"/>
    <w:rsid w:val="009A7BBC"/>
    <w:rsid w:val="009B0B1C"/>
    <w:rsid w:val="009B1D83"/>
    <w:rsid w:val="009B2A11"/>
    <w:rsid w:val="009B5581"/>
    <w:rsid w:val="009B5940"/>
    <w:rsid w:val="009B63ED"/>
    <w:rsid w:val="009B6E80"/>
    <w:rsid w:val="009B710D"/>
    <w:rsid w:val="009C31FB"/>
    <w:rsid w:val="009C3862"/>
    <w:rsid w:val="009C4171"/>
    <w:rsid w:val="009C475C"/>
    <w:rsid w:val="009C5878"/>
    <w:rsid w:val="009C60A5"/>
    <w:rsid w:val="009C6556"/>
    <w:rsid w:val="009C75C9"/>
    <w:rsid w:val="009D1492"/>
    <w:rsid w:val="009D169E"/>
    <w:rsid w:val="009D17E7"/>
    <w:rsid w:val="009D2602"/>
    <w:rsid w:val="009D3234"/>
    <w:rsid w:val="009D41B7"/>
    <w:rsid w:val="009D5CA7"/>
    <w:rsid w:val="009D5F60"/>
    <w:rsid w:val="009D65CD"/>
    <w:rsid w:val="009D6E2E"/>
    <w:rsid w:val="009D7298"/>
    <w:rsid w:val="009E03C7"/>
    <w:rsid w:val="009E1085"/>
    <w:rsid w:val="009E12B5"/>
    <w:rsid w:val="009E27C5"/>
    <w:rsid w:val="009E3C1C"/>
    <w:rsid w:val="009E3F6F"/>
    <w:rsid w:val="009E64D3"/>
    <w:rsid w:val="009E6ACB"/>
    <w:rsid w:val="009F1043"/>
    <w:rsid w:val="009F2D78"/>
    <w:rsid w:val="009F36CA"/>
    <w:rsid w:val="009F4FE2"/>
    <w:rsid w:val="009F58F9"/>
    <w:rsid w:val="009F6167"/>
    <w:rsid w:val="009F752A"/>
    <w:rsid w:val="009F7A9D"/>
    <w:rsid w:val="00A003BE"/>
    <w:rsid w:val="00A00EE1"/>
    <w:rsid w:val="00A022AB"/>
    <w:rsid w:val="00A02B33"/>
    <w:rsid w:val="00A03435"/>
    <w:rsid w:val="00A03567"/>
    <w:rsid w:val="00A0385F"/>
    <w:rsid w:val="00A06C2D"/>
    <w:rsid w:val="00A079D0"/>
    <w:rsid w:val="00A11132"/>
    <w:rsid w:val="00A11756"/>
    <w:rsid w:val="00A11969"/>
    <w:rsid w:val="00A11E7B"/>
    <w:rsid w:val="00A157B9"/>
    <w:rsid w:val="00A158FB"/>
    <w:rsid w:val="00A1712E"/>
    <w:rsid w:val="00A17F2D"/>
    <w:rsid w:val="00A20667"/>
    <w:rsid w:val="00A22348"/>
    <w:rsid w:val="00A243D6"/>
    <w:rsid w:val="00A24C62"/>
    <w:rsid w:val="00A254EC"/>
    <w:rsid w:val="00A25F51"/>
    <w:rsid w:val="00A26182"/>
    <w:rsid w:val="00A30382"/>
    <w:rsid w:val="00A30CEC"/>
    <w:rsid w:val="00A32604"/>
    <w:rsid w:val="00A32EF3"/>
    <w:rsid w:val="00A33959"/>
    <w:rsid w:val="00A35312"/>
    <w:rsid w:val="00A354C8"/>
    <w:rsid w:val="00A407E6"/>
    <w:rsid w:val="00A417AE"/>
    <w:rsid w:val="00A43210"/>
    <w:rsid w:val="00A43345"/>
    <w:rsid w:val="00A447E6"/>
    <w:rsid w:val="00A463E3"/>
    <w:rsid w:val="00A47B39"/>
    <w:rsid w:val="00A50AD6"/>
    <w:rsid w:val="00A50D0F"/>
    <w:rsid w:val="00A50E2B"/>
    <w:rsid w:val="00A51495"/>
    <w:rsid w:val="00A54097"/>
    <w:rsid w:val="00A57661"/>
    <w:rsid w:val="00A60E34"/>
    <w:rsid w:val="00A62074"/>
    <w:rsid w:val="00A62606"/>
    <w:rsid w:val="00A62EA7"/>
    <w:rsid w:val="00A6459E"/>
    <w:rsid w:val="00A64686"/>
    <w:rsid w:val="00A64CAE"/>
    <w:rsid w:val="00A6578C"/>
    <w:rsid w:val="00A66045"/>
    <w:rsid w:val="00A71A0A"/>
    <w:rsid w:val="00A72227"/>
    <w:rsid w:val="00A72CC1"/>
    <w:rsid w:val="00A73E12"/>
    <w:rsid w:val="00A748F2"/>
    <w:rsid w:val="00A74939"/>
    <w:rsid w:val="00A76AED"/>
    <w:rsid w:val="00A77B52"/>
    <w:rsid w:val="00A77BE7"/>
    <w:rsid w:val="00A80044"/>
    <w:rsid w:val="00A81845"/>
    <w:rsid w:val="00A8271D"/>
    <w:rsid w:val="00A82B34"/>
    <w:rsid w:val="00A83611"/>
    <w:rsid w:val="00A84B21"/>
    <w:rsid w:val="00A8580C"/>
    <w:rsid w:val="00A85A45"/>
    <w:rsid w:val="00A85F3E"/>
    <w:rsid w:val="00A8629C"/>
    <w:rsid w:val="00A86A92"/>
    <w:rsid w:val="00A86CEB"/>
    <w:rsid w:val="00A90AA5"/>
    <w:rsid w:val="00A912BA"/>
    <w:rsid w:val="00A924F3"/>
    <w:rsid w:val="00A92AF0"/>
    <w:rsid w:val="00A9310C"/>
    <w:rsid w:val="00A94369"/>
    <w:rsid w:val="00A97923"/>
    <w:rsid w:val="00AA0E31"/>
    <w:rsid w:val="00AA1803"/>
    <w:rsid w:val="00AA20EA"/>
    <w:rsid w:val="00AA4283"/>
    <w:rsid w:val="00AA446F"/>
    <w:rsid w:val="00AA59A6"/>
    <w:rsid w:val="00AA739B"/>
    <w:rsid w:val="00AA781B"/>
    <w:rsid w:val="00AB0D80"/>
    <w:rsid w:val="00AB16D9"/>
    <w:rsid w:val="00AB1C49"/>
    <w:rsid w:val="00AB1FC8"/>
    <w:rsid w:val="00AB284D"/>
    <w:rsid w:val="00AB2F02"/>
    <w:rsid w:val="00AB304E"/>
    <w:rsid w:val="00AB6C17"/>
    <w:rsid w:val="00AB7C36"/>
    <w:rsid w:val="00AC0A9D"/>
    <w:rsid w:val="00AC0C9E"/>
    <w:rsid w:val="00AC20C0"/>
    <w:rsid w:val="00AC2876"/>
    <w:rsid w:val="00AC3349"/>
    <w:rsid w:val="00AC33C8"/>
    <w:rsid w:val="00AC449A"/>
    <w:rsid w:val="00AC4C13"/>
    <w:rsid w:val="00AC4C74"/>
    <w:rsid w:val="00AC4CD2"/>
    <w:rsid w:val="00AC5D5B"/>
    <w:rsid w:val="00AC7BE1"/>
    <w:rsid w:val="00AD059B"/>
    <w:rsid w:val="00AD086E"/>
    <w:rsid w:val="00AD102A"/>
    <w:rsid w:val="00AD1502"/>
    <w:rsid w:val="00AD1796"/>
    <w:rsid w:val="00AD1974"/>
    <w:rsid w:val="00AD1AC3"/>
    <w:rsid w:val="00AD2353"/>
    <w:rsid w:val="00AD239A"/>
    <w:rsid w:val="00AD26D4"/>
    <w:rsid w:val="00AD3102"/>
    <w:rsid w:val="00AD3EDC"/>
    <w:rsid w:val="00AD4BF1"/>
    <w:rsid w:val="00AD505E"/>
    <w:rsid w:val="00AD5CCC"/>
    <w:rsid w:val="00AD6CC5"/>
    <w:rsid w:val="00AD6EBC"/>
    <w:rsid w:val="00AD713A"/>
    <w:rsid w:val="00AD7E0B"/>
    <w:rsid w:val="00AE0E58"/>
    <w:rsid w:val="00AE594A"/>
    <w:rsid w:val="00AE69BE"/>
    <w:rsid w:val="00AF0189"/>
    <w:rsid w:val="00AF061D"/>
    <w:rsid w:val="00AF12CE"/>
    <w:rsid w:val="00AF3FE0"/>
    <w:rsid w:val="00AF45EB"/>
    <w:rsid w:val="00AF4794"/>
    <w:rsid w:val="00AF695E"/>
    <w:rsid w:val="00AF7191"/>
    <w:rsid w:val="00AF7C74"/>
    <w:rsid w:val="00B001EB"/>
    <w:rsid w:val="00B004D7"/>
    <w:rsid w:val="00B00586"/>
    <w:rsid w:val="00B00972"/>
    <w:rsid w:val="00B0098B"/>
    <w:rsid w:val="00B0271B"/>
    <w:rsid w:val="00B041BF"/>
    <w:rsid w:val="00B06B0F"/>
    <w:rsid w:val="00B06B70"/>
    <w:rsid w:val="00B16A33"/>
    <w:rsid w:val="00B17AC0"/>
    <w:rsid w:val="00B17B7B"/>
    <w:rsid w:val="00B17D41"/>
    <w:rsid w:val="00B17DB0"/>
    <w:rsid w:val="00B21333"/>
    <w:rsid w:val="00B24AD9"/>
    <w:rsid w:val="00B25959"/>
    <w:rsid w:val="00B267CA"/>
    <w:rsid w:val="00B26CA0"/>
    <w:rsid w:val="00B32A7C"/>
    <w:rsid w:val="00B3572E"/>
    <w:rsid w:val="00B36EEB"/>
    <w:rsid w:val="00B40734"/>
    <w:rsid w:val="00B40C90"/>
    <w:rsid w:val="00B41FAA"/>
    <w:rsid w:val="00B4473C"/>
    <w:rsid w:val="00B44EFF"/>
    <w:rsid w:val="00B46F12"/>
    <w:rsid w:val="00B47CA5"/>
    <w:rsid w:val="00B5134D"/>
    <w:rsid w:val="00B516F5"/>
    <w:rsid w:val="00B5413B"/>
    <w:rsid w:val="00B54341"/>
    <w:rsid w:val="00B559F2"/>
    <w:rsid w:val="00B57130"/>
    <w:rsid w:val="00B57816"/>
    <w:rsid w:val="00B57D82"/>
    <w:rsid w:val="00B6087C"/>
    <w:rsid w:val="00B60E4E"/>
    <w:rsid w:val="00B61973"/>
    <w:rsid w:val="00B61ED6"/>
    <w:rsid w:val="00B62AD8"/>
    <w:rsid w:val="00B62E41"/>
    <w:rsid w:val="00B6403E"/>
    <w:rsid w:val="00B65E5A"/>
    <w:rsid w:val="00B66C2A"/>
    <w:rsid w:val="00B6741C"/>
    <w:rsid w:val="00B70AD6"/>
    <w:rsid w:val="00B710C6"/>
    <w:rsid w:val="00B71940"/>
    <w:rsid w:val="00B72D36"/>
    <w:rsid w:val="00B735E5"/>
    <w:rsid w:val="00B743E8"/>
    <w:rsid w:val="00B75FEC"/>
    <w:rsid w:val="00B76239"/>
    <w:rsid w:val="00B775F5"/>
    <w:rsid w:val="00B808E4"/>
    <w:rsid w:val="00B810C9"/>
    <w:rsid w:val="00B81A7D"/>
    <w:rsid w:val="00B81E74"/>
    <w:rsid w:val="00B82191"/>
    <w:rsid w:val="00B823A3"/>
    <w:rsid w:val="00B83729"/>
    <w:rsid w:val="00B839FB"/>
    <w:rsid w:val="00B83DFF"/>
    <w:rsid w:val="00B84A9F"/>
    <w:rsid w:val="00B85C12"/>
    <w:rsid w:val="00B8620B"/>
    <w:rsid w:val="00B909F2"/>
    <w:rsid w:val="00B928DE"/>
    <w:rsid w:val="00B92912"/>
    <w:rsid w:val="00B92BEA"/>
    <w:rsid w:val="00B95605"/>
    <w:rsid w:val="00B968AA"/>
    <w:rsid w:val="00B96B6A"/>
    <w:rsid w:val="00BA0943"/>
    <w:rsid w:val="00BA0C81"/>
    <w:rsid w:val="00BA1F04"/>
    <w:rsid w:val="00BA21E1"/>
    <w:rsid w:val="00BA23ED"/>
    <w:rsid w:val="00BA423F"/>
    <w:rsid w:val="00BA64E8"/>
    <w:rsid w:val="00BA6512"/>
    <w:rsid w:val="00BA75BB"/>
    <w:rsid w:val="00BA7CD8"/>
    <w:rsid w:val="00BB0343"/>
    <w:rsid w:val="00BB09F8"/>
    <w:rsid w:val="00BB0DDB"/>
    <w:rsid w:val="00BB235B"/>
    <w:rsid w:val="00BB27EB"/>
    <w:rsid w:val="00BB344E"/>
    <w:rsid w:val="00BB3CBD"/>
    <w:rsid w:val="00BB458D"/>
    <w:rsid w:val="00BB5CDE"/>
    <w:rsid w:val="00BB6000"/>
    <w:rsid w:val="00BB600D"/>
    <w:rsid w:val="00BB72F4"/>
    <w:rsid w:val="00BB7D5B"/>
    <w:rsid w:val="00BC0BB3"/>
    <w:rsid w:val="00BC0E8D"/>
    <w:rsid w:val="00BC10BC"/>
    <w:rsid w:val="00BC17C3"/>
    <w:rsid w:val="00BC23FB"/>
    <w:rsid w:val="00BC2458"/>
    <w:rsid w:val="00BC6254"/>
    <w:rsid w:val="00BC6F2A"/>
    <w:rsid w:val="00BD05FC"/>
    <w:rsid w:val="00BD2B8D"/>
    <w:rsid w:val="00BD3834"/>
    <w:rsid w:val="00BD4606"/>
    <w:rsid w:val="00BD5923"/>
    <w:rsid w:val="00BD5F10"/>
    <w:rsid w:val="00BD6750"/>
    <w:rsid w:val="00BD7018"/>
    <w:rsid w:val="00BD7A6B"/>
    <w:rsid w:val="00BD7D58"/>
    <w:rsid w:val="00BD7DD0"/>
    <w:rsid w:val="00BE0493"/>
    <w:rsid w:val="00BE5A69"/>
    <w:rsid w:val="00BF4442"/>
    <w:rsid w:val="00BF487A"/>
    <w:rsid w:val="00BF5642"/>
    <w:rsid w:val="00BF640F"/>
    <w:rsid w:val="00BF7129"/>
    <w:rsid w:val="00BF785A"/>
    <w:rsid w:val="00C033E7"/>
    <w:rsid w:val="00C04166"/>
    <w:rsid w:val="00C07DF4"/>
    <w:rsid w:val="00C10836"/>
    <w:rsid w:val="00C11B15"/>
    <w:rsid w:val="00C11FD0"/>
    <w:rsid w:val="00C122BA"/>
    <w:rsid w:val="00C12D78"/>
    <w:rsid w:val="00C147A5"/>
    <w:rsid w:val="00C14885"/>
    <w:rsid w:val="00C15234"/>
    <w:rsid w:val="00C15A52"/>
    <w:rsid w:val="00C15E83"/>
    <w:rsid w:val="00C1632D"/>
    <w:rsid w:val="00C170C0"/>
    <w:rsid w:val="00C17DE9"/>
    <w:rsid w:val="00C204A6"/>
    <w:rsid w:val="00C2197D"/>
    <w:rsid w:val="00C22DAC"/>
    <w:rsid w:val="00C2352A"/>
    <w:rsid w:val="00C23BD1"/>
    <w:rsid w:val="00C300E4"/>
    <w:rsid w:val="00C303A9"/>
    <w:rsid w:val="00C303F0"/>
    <w:rsid w:val="00C306A7"/>
    <w:rsid w:val="00C30CD3"/>
    <w:rsid w:val="00C310C0"/>
    <w:rsid w:val="00C31569"/>
    <w:rsid w:val="00C31905"/>
    <w:rsid w:val="00C31AF7"/>
    <w:rsid w:val="00C33CFA"/>
    <w:rsid w:val="00C344E9"/>
    <w:rsid w:val="00C35F90"/>
    <w:rsid w:val="00C36BFD"/>
    <w:rsid w:val="00C37C60"/>
    <w:rsid w:val="00C4039E"/>
    <w:rsid w:val="00C42588"/>
    <w:rsid w:val="00C430EB"/>
    <w:rsid w:val="00C43C55"/>
    <w:rsid w:val="00C443EA"/>
    <w:rsid w:val="00C449C8"/>
    <w:rsid w:val="00C451D8"/>
    <w:rsid w:val="00C4636A"/>
    <w:rsid w:val="00C4663F"/>
    <w:rsid w:val="00C51EEC"/>
    <w:rsid w:val="00C5303D"/>
    <w:rsid w:val="00C53328"/>
    <w:rsid w:val="00C53BC4"/>
    <w:rsid w:val="00C55A51"/>
    <w:rsid w:val="00C55A71"/>
    <w:rsid w:val="00C608B8"/>
    <w:rsid w:val="00C610FD"/>
    <w:rsid w:val="00C632AD"/>
    <w:rsid w:val="00C6348B"/>
    <w:rsid w:val="00C63620"/>
    <w:rsid w:val="00C66BAB"/>
    <w:rsid w:val="00C66BC5"/>
    <w:rsid w:val="00C67434"/>
    <w:rsid w:val="00C70077"/>
    <w:rsid w:val="00C704AA"/>
    <w:rsid w:val="00C71652"/>
    <w:rsid w:val="00C71790"/>
    <w:rsid w:val="00C7184D"/>
    <w:rsid w:val="00C72DC0"/>
    <w:rsid w:val="00C76AC4"/>
    <w:rsid w:val="00C779B2"/>
    <w:rsid w:val="00C77F54"/>
    <w:rsid w:val="00C80798"/>
    <w:rsid w:val="00C818BD"/>
    <w:rsid w:val="00C81B55"/>
    <w:rsid w:val="00C822E1"/>
    <w:rsid w:val="00C82687"/>
    <w:rsid w:val="00C82A5B"/>
    <w:rsid w:val="00C84DE1"/>
    <w:rsid w:val="00C8517B"/>
    <w:rsid w:val="00C85CAB"/>
    <w:rsid w:val="00C85F05"/>
    <w:rsid w:val="00C865A9"/>
    <w:rsid w:val="00C872A0"/>
    <w:rsid w:val="00C90EE5"/>
    <w:rsid w:val="00C93677"/>
    <w:rsid w:val="00C94FA3"/>
    <w:rsid w:val="00C9589E"/>
    <w:rsid w:val="00C95F1F"/>
    <w:rsid w:val="00C95FC8"/>
    <w:rsid w:val="00C97809"/>
    <w:rsid w:val="00C97DDC"/>
    <w:rsid w:val="00CA1905"/>
    <w:rsid w:val="00CA2E36"/>
    <w:rsid w:val="00CA396C"/>
    <w:rsid w:val="00CA3D17"/>
    <w:rsid w:val="00CA5380"/>
    <w:rsid w:val="00CB04A3"/>
    <w:rsid w:val="00CB0B25"/>
    <w:rsid w:val="00CB1B3B"/>
    <w:rsid w:val="00CB28CD"/>
    <w:rsid w:val="00CB5257"/>
    <w:rsid w:val="00CB52E3"/>
    <w:rsid w:val="00CB540B"/>
    <w:rsid w:val="00CC014E"/>
    <w:rsid w:val="00CC1054"/>
    <w:rsid w:val="00CC22A8"/>
    <w:rsid w:val="00CC4104"/>
    <w:rsid w:val="00CC665E"/>
    <w:rsid w:val="00CC6E87"/>
    <w:rsid w:val="00CC79E0"/>
    <w:rsid w:val="00CD059B"/>
    <w:rsid w:val="00CD1748"/>
    <w:rsid w:val="00CD251B"/>
    <w:rsid w:val="00CD25B8"/>
    <w:rsid w:val="00CD3A81"/>
    <w:rsid w:val="00CD5E06"/>
    <w:rsid w:val="00CD670F"/>
    <w:rsid w:val="00CD7077"/>
    <w:rsid w:val="00CE0290"/>
    <w:rsid w:val="00CE0BF0"/>
    <w:rsid w:val="00CE0EF4"/>
    <w:rsid w:val="00CE0FA9"/>
    <w:rsid w:val="00CE1258"/>
    <w:rsid w:val="00CE2BEB"/>
    <w:rsid w:val="00CE33CB"/>
    <w:rsid w:val="00CE3842"/>
    <w:rsid w:val="00CE4800"/>
    <w:rsid w:val="00CE51EE"/>
    <w:rsid w:val="00CE57AA"/>
    <w:rsid w:val="00CE7F54"/>
    <w:rsid w:val="00CF02E1"/>
    <w:rsid w:val="00CF0BB6"/>
    <w:rsid w:val="00CF2BA3"/>
    <w:rsid w:val="00CF31C7"/>
    <w:rsid w:val="00CF3423"/>
    <w:rsid w:val="00CF4C38"/>
    <w:rsid w:val="00CF7D94"/>
    <w:rsid w:val="00D00330"/>
    <w:rsid w:val="00D0089D"/>
    <w:rsid w:val="00D00FD6"/>
    <w:rsid w:val="00D012B0"/>
    <w:rsid w:val="00D027E6"/>
    <w:rsid w:val="00D02E83"/>
    <w:rsid w:val="00D03079"/>
    <w:rsid w:val="00D03616"/>
    <w:rsid w:val="00D0371B"/>
    <w:rsid w:val="00D03F7E"/>
    <w:rsid w:val="00D05841"/>
    <w:rsid w:val="00D05A52"/>
    <w:rsid w:val="00D05C27"/>
    <w:rsid w:val="00D05D30"/>
    <w:rsid w:val="00D05F8E"/>
    <w:rsid w:val="00D07BB7"/>
    <w:rsid w:val="00D10BDF"/>
    <w:rsid w:val="00D110CF"/>
    <w:rsid w:val="00D1186B"/>
    <w:rsid w:val="00D11C10"/>
    <w:rsid w:val="00D12DCB"/>
    <w:rsid w:val="00D132FA"/>
    <w:rsid w:val="00D144D9"/>
    <w:rsid w:val="00D1582D"/>
    <w:rsid w:val="00D15D33"/>
    <w:rsid w:val="00D1749C"/>
    <w:rsid w:val="00D202A1"/>
    <w:rsid w:val="00D20CE3"/>
    <w:rsid w:val="00D214C1"/>
    <w:rsid w:val="00D228CE"/>
    <w:rsid w:val="00D23477"/>
    <w:rsid w:val="00D23754"/>
    <w:rsid w:val="00D24728"/>
    <w:rsid w:val="00D24DC3"/>
    <w:rsid w:val="00D25027"/>
    <w:rsid w:val="00D254BA"/>
    <w:rsid w:val="00D256CC"/>
    <w:rsid w:val="00D2585B"/>
    <w:rsid w:val="00D27319"/>
    <w:rsid w:val="00D305E7"/>
    <w:rsid w:val="00D31519"/>
    <w:rsid w:val="00D3171D"/>
    <w:rsid w:val="00D31E7C"/>
    <w:rsid w:val="00D32C28"/>
    <w:rsid w:val="00D3428F"/>
    <w:rsid w:val="00D3493F"/>
    <w:rsid w:val="00D34D18"/>
    <w:rsid w:val="00D35071"/>
    <w:rsid w:val="00D37B8F"/>
    <w:rsid w:val="00D37D8A"/>
    <w:rsid w:val="00D401DE"/>
    <w:rsid w:val="00D40574"/>
    <w:rsid w:val="00D41A52"/>
    <w:rsid w:val="00D4342A"/>
    <w:rsid w:val="00D44789"/>
    <w:rsid w:val="00D46800"/>
    <w:rsid w:val="00D46C6D"/>
    <w:rsid w:val="00D46C7E"/>
    <w:rsid w:val="00D46D6E"/>
    <w:rsid w:val="00D4786B"/>
    <w:rsid w:val="00D50B41"/>
    <w:rsid w:val="00D50E0E"/>
    <w:rsid w:val="00D51662"/>
    <w:rsid w:val="00D519B7"/>
    <w:rsid w:val="00D51D7E"/>
    <w:rsid w:val="00D5486D"/>
    <w:rsid w:val="00D54C49"/>
    <w:rsid w:val="00D55598"/>
    <w:rsid w:val="00D557BF"/>
    <w:rsid w:val="00D56517"/>
    <w:rsid w:val="00D571B4"/>
    <w:rsid w:val="00D60C9C"/>
    <w:rsid w:val="00D6289E"/>
    <w:rsid w:val="00D6337A"/>
    <w:rsid w:val="00D63C8B"/>
    <w:rsid w:val="00D63CFD"/>
    <w:rsid w:val="00D641D6"/>
    <w:rsid w:val="00D65888"/>
    <w:rsid w:val="00D65A48"/>
    <w:rsid w:val="00D660DF"/>
    <w:rsid w:val="00D66301"/>
    <w:rsid w:val="00D66A01"/>
    <w:rsid w:val="00D701DD"/>
    <w:rsid w:val="00D70B1F"/>
    <w:rsid w:val="00D717AD"/>
    <w:rsid w:val="00D72659"/>
    <w:rsid w:val="00D72C6E"/>
    <w:rsid w:val="00D72DDD"/>
    <w:rsid w:val="00D732F8"/>
    <w:rsid w:val="00D7419B"/>
    <w:rsid w:val="00D742B5"/>
    <w:rsid w:val="00D7654E"/>
    <w:rsid w:val="00D80209"/>
    <w:rsid w:val="00D8047B"/>
    <w:rsid w:val="00D81445"/>
    <w:rsid w:val="00D82509"/>
    <w:rsid w:val="00D825EA"/>
    <w:rsid w:val="00D82A17"/>
    <w:rsid w:val="00D83995"/>
    <w:rsid w:val="00D83CC0"/>
    <w:rsid w:val="00D83D8F"/>
    <w:rsid w:val="00D84607"/>
    <w:rsid w:val="00D84901"/>
    <w:rsid w:val="00D86250"/>
    <w:rsid w:val="00D8651C"/>
    <w:rsid w:val="00D86879"/>
    <w:rsid w:val="00D87EFC"/>
    <w:rsid w:val="00D91654"/>
    <w:rsid w:val="00D93CB3"/>
    <w:rsid w:val="00D95665"/>
    <w:rsid w:val="00D96D6A"/>
    <w:rsid w:val="00D96F97"/>
    <w:rsid w:val="00D97421"/>
    <w:rsid w:val="00D97481"/>
    <w:rsid w:val="00D97C66"/>
    <w:rsid w:val="00DA10A4"/>
    <w:rsid w:val="00DA1B90"/>
    <w:rsid w:val="00DA42B5"/>
    <w:rsid w:val="00DA5B20"/>
    <w:rsid w:val="00DA70B4"/>
    <w:rsid w:val="00DA78F5"/>
    <w:rsid w:val="00DB0CC6"/>
    <w:rsid w:val="00DB32BF"/>
    <w:rsid w:val="00DB3ABE"/>
    <w:rsid w:val="00DB58F9"/>
    <w:rsid w:val="00DB5B03"/>
    <w:rsid w:val="00DB6078"/>
    <w:rsid w:val="00DB63A4"/>
    <w:rsid w:val="00DB76D9"/>
    <w:rsid w:val="00DB7A60"/>
    <w:rsid w:val="00DC0E99"/>
    <w:rsid w:val="00DC162F"/>
    <w:rsid w:val="00DC1DF6"/>
    <w:rsid w:val="00DC2E09"/>
    <w:rsid w:val="00DC330A"/>
    <w:rsid w:val="00DC33C0"/>
    <w:rsid w:val="00DC4A62"/>
    <w:rsid w:val="00DC6559"/>
    <w:rsid w:val="00DC6563"/>
    <w:rsid w:val="00DC6A5E"/>
    <w:rsid w:val="00DC7221"/>
    <w:rsid w:val="00DD0F62"/>
    <w:rsid w:val="00DD20B7"/>
    <w:rsid w:val="00DD233A"/>
    <w:rsid w:val="00DD254F"/>
    <w:rsid w:val="00DD2820"/>
    <w:rsid w:val="00DD54CA"/>
    <w:rsid w:val="00DD57EB"/>
    <w:rsid w:val="00DD5DE3"/>
    <w:rsid w:val="00DD5F50"/>
    <w:rsid w:val="00DD7206"/>
    <w:rsid w:val="00DD7D54"/>
    <w:rsid w:val="00DE04F8"/>
    <w:rsid w:val="00DE069B"/>
    <w:rsid w:val="00DE096C"/>
    <w:rsid w:val="00DE1BFD"/>
    <w:rsid w:val="00DE1FFC"/>
    <w:rsid w:val="00DE2D03"/>
    <w:rsid w:val="00DE368D"/>
    <w:rsid w:val="00DE38DF"/>
    <w:rsid w:val="00DE3B47"/>
    <w:rsid w:val="00DE3D20"/>
    <w:rsid w:val="00DE4028"/>
    <w:rsid w:val="00DE43D9"/>
    <w:rsid w:val="00DE6CFB"/>
    <w:rsid w:val="00DE7017"/>
    <w:rsid w:val="00DE76B9"/>
    <w:rsid w:val="00DF0540"/>
    <w:rsid w:val="00DF1356"/>
    <w:rsid w:val="00DF4CFA"/>
    <w:rsid w:val="00DF505B"/>
    <w:rsid w:val="00DF5406"/>
    <w:rsid w:val="00DF631B"/>
    <w:rsid w:val="00DF6DEB"/>
    <w:rsid w:val="00DF78FB"/>
    <w:rsid w:val="00E005BB"/>
    <w:rsid w:val="00E006CC"/>
    <w:rsid w:val="00E00849"/>
    <w:rsid w:val="00E018F2"/>
    <w:rsid w:val="00E019D5"/>
    <w:rsid w:val="00E02095"/>
    <w:rsid w:val="00E05350"/>
    <w:rsid w:val="00E05851"/>
    <w:rsid w:val="00E05AD0"/>
    <w:rsid w:val="00E07B73"/>
    <w:rsid w:val="00E106A5"/>
    <w:rsid w:val="00E10CE2"/>
    <w:rsid w:val="00E11F9C"/>
    <w:rsid w:val="00E125C6"/>
    <w:rsid w:val="00E162B6"/>
    <w:rsid w:val="00E1739F"/>
    <w:rsid w:val="00E1762B"/>
    <w:rsid w:val="00E179DC"/>
    <w:rsid w:val="00E20610"/>
    <w:rsid w:val="00E24AAC"/>
    <w:rsid w:val="00E258BC"/>
    <w:rsid w:val="00E25EE0"/>
    <w:rsid w:val="00E25FA3"/>
    <w:rsid w:val="00E30C19"/>
    <w:rsid w:val="00E3116D"/>
    <w:rsid w:val="00E37663"/>
    <w:rsid w:val="00E3787C"/>
    <w:rsid w:val="00E37E61"/>
    <w:rsid w:val="00E43E68"/>
    <w:rsid w:val="00E44556"/>
    <w:rsid w:val="00E44D46"/>
    <w:rsid w:val="00E454E2"/>
    <w:rsid w:val="00E458FF"/>
    <w:rsid w:val="00E46472"/>
    <w:rsid w:val="00E46890"/>
    <w:rsid w:val="00E46E66"/>
    <w:rsid w:val="00E4787F"/>
    <w:rsid w:val="00E50592"/>
    <w:rsid w:val="00E50A96"/>
    <w:rsid w:val="00E50ECC"/>
    <w:rsid w:val="00E523AE"/>
    <w:rsid w:val="00E52E82"/>
    <w:rsid w:val="00E52F76"/>
    <w:rsid w:val="00E537FF"/>
    <w:rsid w:val="00E53BA9"/>
    <w:rsid w:val="00E556FA"/>
    <w:rsid w:val="00E557C1"/>
    <w:rsid w:val="00E565FB"/>
    <w:rsid w:val="00E56885"/>
    <w:rsid w:val="00E56AC9"/>
    <w:rsid w:val="00E577BF"/>
    <w:rsid w:val="00E60DC6"/>
    <w:rsid w:val="00E61319"/>
    <w:rsid w:val="00E65DDE"/>
    <w:rsid w:val="00E669C4"/>
    <w:rsid w:val="00E66EAD"/>
    <w:rsid w:val="00E6740C"/>
    <w:rsid w:val="00E7030A"/>
    <w:rsid w:val="00E70DF0"/>
    <w:rsid w:val="00E70E21"/>
    <w:rsid w:val="00E70FCB"/>
    <w:rsid w:val="00E71027"/>
    <w:rsid w:val="00E71691"/>
    <w:rsid w:val="00E71D99"/>
    <w:rsid w:val="00E71FB7"/>
    <w:rsid w:val="00E72466"/>
    <w:rsid w:val="00E725B6"/>
    <w:rsid w:val="00E72ED0"/>
    <w:rsid w:val="00E759AB"/>
    <w:rsid w:val="00E75ACD"/>
    <w:rsid w:val="00E76ADF"/>
    <w:rsid w:val="00E81AA1"/>
    <w:rsid w:val="00E821BF"/>
    <w:rsid w:val="00E835E9"/>
    <w:rsid w:val="00E83F28"/>
    <w:rsid w:val="00E840AA"/>
    <w:rsid w:val="00E85252"/>
    <w:rsid w:val="00E85665"/>
    <w:rsid w:val="00E858C0"/>
    <w:rsid w:val="00E8692D"/>
    <w:rsid w:val="00E87299"/>
    <w:rsid w:val="00E909DF"/>
    <w:rsid w:val="00E90EE0"/>
    <w:rsid w:val="00E92647"/>
    <w:rsid w:val="00E940B0"/>
    <w:rsid w:val="00E950BC"/>
    <w:rsid w:val="00E95510"/>
    <w:rsid w:val="00E95FC7"/>
    <w:rsid w:val="00E960B4"/>
    <w:rsid w:val="00EA091A"/>
    <w:rsid w:val="00EA120A"/>
    <w:rsid w:val="00EA1480"/>
    <w:rsid w:val="00EA2ABA"/>
    <w:rsid w:val="00EA2E7A"/>
    <w:rsid w:val="00EA3BAC"/>
    <w:rsid w:val="00EA4654"/>
    <w:rsid w:val="00EA4B05"/>
    <w:rsid w:val="00EA5046"/>
    <w:rsid w:val="00EA546C"/>
    <w:rsid w:val="00EA5653"/>
    <w:rsid w:val="00EA5B26"/>
    <w:rsid w:val="00EA5B42"/>
    <w:rsid w:val="00EA70FF"/>
    <w:rsid w:val="00EA7911"/>
    <w:rsid w:val="00EA7C36"/>
    <w:rsid w:val="00EB1EB7"/>
    <w:rsid w:val="00EB264B"/>
    <w:rsid w:val="00EB30C9"/>
    <w:rsid w:val="00EB31F4"/>
    <w:rsid w:val="00EB37BB"/>
    <w:rsid w:val="00EB4370"/>
    <w:rsid w:val="00EB5A71"/>
    <w:rsid w:val="00EB6D36"/>
    <w:rsid w:val="00EC26B0"/>
    <w:rsid w:val="00EC3897"/>
    <w:rsid w:val="00EC3C09"/>
    <w:rsid w:val="00EC3E42"/>
    <w:rsid w:val="00EC3E4C"/>
    <w:rsid w:val="00EC4745"/>
    <w:rsid w:val="00EC4FED"/>
    <w:rsid w:val="00EC5A36"/>
    <w:rsid w:val="00EC6B24"/>
    <w:rsid w:val="00EC7073"/>
    <w:rsid w:val="00EC7600"/>
    <w:rsid w:val="00ED18E7"/>
    <w:rsid w:val="00ED3388"/>
    <w:rsid w:val="00ED440C"/>
    <w:rsid w:val="00ED7212"/>
    <w:rsid w:val="00EE15CE"/>
    <w:rsid w:val="00EE1C69"/>
    <w:rsid w:val="00EE2BC4"/>
    <w:rsid w:val="00EE3379"/>
    <w:rsid w:val="00EE3933"/>
    <w:rsid w:val="00EE52D6"/>
    <w:rsid w:val="00EE6C9E"/>
    <w:rsid w:val="00EE77F7"/>
    <w:rsid w:val="00EE7DB4"/>
    <w:rsid w:val="00EF0435"/>
    <w:rsid w:val="00EF11AE"/>
    <w:rsid w:val="00EF1969"/>
    <w:rsid w:val="00EF2589"/>
    <w:rsid w:val="00EF25EC"/>
    <w:rsid w:val="00EF34B9"/>
    <w:rsid w:val="00EF383F"/>
    <w:rsid w:val="00EF5378"/>
    <w:rsid w:val="00EF573C"/>
    <w:rsid w:val="00EF6541"/>
    <w:rsid w:val="00EF6550"/>
    <w:rsid w:val="00EF72CA"/>
    <w:rsid w:val="00F02B7B"/>
    <w:rsid w:val="00F0678A"/>
    <w:rsid w:val="00F074BF"/>
    <w:rsid w:val="00F077A8"/>
    <w:rsid w:val="00F07B5E"/>
    <w:rsid w:val="00F102CD"/>
    <w:rsid w:val="00F1048B"/>
    <w:rsid w:val="00F10951"/>
    <w:rsid w:val="00F10B61"/>
    <w:rsid w:val="00F132A8"/>
    <w:rsid w:val="00F1394D"/>
    <w:rsid w:val="00F142FD"/>
    <w:rsid w:val="00F15947"/>
    <w:rsid w:val="00F177C2"/>
    <w:rsid w:val="00F201B9"/>
    <w:rsid w:val="00F218B7"/>
    <w:rsid w:val="00F21A48"/>
    <w:rsid w:val="00F24E6F"/>
    <w:rsid w:val="00F25BBC"/>
    <w:rsid w:val="00F26294"/>
    <w:rsid w:val="00F31BDD"/>
    <w:rsid w:val="00F3202F"/>
    <w:rsid w:val="00F333D4"/>
    <w:rsid w:val="00F33550"/>
    <w:rsid w:val="00F338E7"/>
    <w:rsid w:val="00F33973"/>
    <w:rsid w:val="00F35F68"/>
    <w:rsid w:val="00F3765A"/>
    <w:rsid w:val="00F37A93"/>
    <w:rsid w:val="00F40413"/>
    <w:rsid w:val="00F40E31"/>
    <w:rsid w:val="00F42E3D"/>
    <w:rsid w:val="00F43B23"/>
    <w:rsid w:val="00F44FCF"/>
    <w:rsid w:val="00F5030C"/>
    <w:rsid w:val="00F52C95"/>
    <w:rsid w:val="00F5367B"/>
    <w:rsid w:val="00F5387B"/>
    <w:rsid w:val="00F5467E"/>
    <w:rsid w:val="00F5488D"/>
    <w:rsid w:val="00F54BA5"/>
    <w:rsid w:val="00F54BE0"/>
    <w:rsid w:val="00F54FF0"/>
    <w:rsid w:val="00F57CE7"/>
    <w:rsid w:val="00F57CFE"/>
    <w:rsid w:val="00F60A49"/>
    <w:rsid w:val="00F60F45"/>
    <w:rsid w:val="00F63864"/>
    <w:rsid w:val="00F6407E"/>
    <w:rsid w:val="00F66295"/>
    <w:rsid w:val="00F66D2D"/>
    <w:rsid w:val="00F71596"/>
    <w:rsid w:val="00F7399D"/>
    <w:rsid w:val="00F73E5E"/>
    <w:rsid w:val="00F74C40"/>
    <w:rsid w:val="00F76033"/>
    <w:rsid w:val="00F7618B"/>
    <w:rsid w:val="00F7699A"/>
    <w:rsid w:val="00F8252F"/>
    <w:rsid w:val="00F8391F"/>
    <w:rsid w:val="00F83B13"/>
    <w:rsid w:val="00F83DDD"/>
    <w:rsid w:val="00F84339"/>
    <w:rsid w:val="00F846A9"/>
    <w:rsid w:val="00F8554C"/>
    <w:rsid w:val="00F856E9"/>
    <w:rsid w:val="00F85F2D"/>
    <w:rsid w:val="00F862D0"/>
    <w:rsid w:val="00F86355"/>
    <w:rsid w:val="00F869A4"/>
    <w:rsid w:val="00F86D4B"/>
    <w:rsid w:val="00F90909"/>
    <w:rsid w:val="00F93B5C"/>
    <w:rsid w:val="00F94116"/>
    <w:rsid w:val="00F95126"/>
    <w:rsid w:val="00F95B7B"/>
    <w:rsid w:val="00F95D6A"/>
    <w:rsid w:val="00F962F3"/>
    <w:rsid w:val="00F96371"/>
    <w:rsid w:val="00F96718"/>
    <w:rsid w:val="00F96BB1"/>
    <w:rsid w:val="00FA04AD"/>
    <w:rsid w:val="00FA19CC"/>
    <w:rsid w:val="00FA1DC6"/>
    <w:rsid w:val="00FA2035"/>
    <w:rsid w:val="00FA296B"/>
    <w:rsid w:val="00FA2C37"/>
    <w:rsid w:val="00FA41CF"/>
    <w:rsid w:val="00FA467D"/>
    <w:rsid w:val="00FA69A5"/>
    <w:rsid w:val="00FA6B86"/>
    <w:rsid w:val="00FA759D"/>
    <w:rsid w:val="00FB2B44"/>
    <w:rsid w:val="00FB2C32"/>
    <w:rsid w:val="00FB37FF"/>
    <w:rsid w:val="00FB5140"/>
    <w:rsid w:val="00FB5436"/>
    <w:rsid w:val="00FB57A6"/>
    <w:rsid w:val="00FB5905"/>
    <w:rsid w:val="00FB64E7"/>
    <w:rsid w:val="00FC0D89"/>
    <w:rsid w:val="00FC0FA3"/>
    <w:rsid w:val="00FC1ADD"/>
    <w:rsid w:val="00FC1E77"/>
    <w:rsid w:val="00FC41C1"/>
    <w:rsid w:val="00FC4360"/>
    <w:rsid w:val="00FC6328"/>
    <w:rsid w:val="00FC6FB3"/>
    <w:rsid w:val="00FD0B7B"/>
    <w:rsid w:val="00FD1787"/>
    <w:rsid w:val="00FD20F9"/>
    <w:rsid w:val="00FD2772"/>
    <w:rsid w:val="00FD31FF"/>
    <w:rsid w:val="00FE00B5"/>
    <w:rsid w:val="00FE027F"/>
    <w:rsid w:val="00FE2EE5"/>
    <w:rsid w:val="00FE32C0"/>
    <w:rsid w:val="00FE4881"/>
    <w:rsid w:val="00FE52F6"/>
    <w:rsid w:val="00FE65FF"/>
    <w:rsid w:val="00FE6F63"/>
    <w:rsid w:val="00FE71B9"/>
    <w:rsid w:val="00FE76F1"/>
    <w:rsid w:val="00FF01BC"/>
    <w:rsid w:val="00FF15AD"/>
    <w:rsid w:val="00FF1BB7"/>
    <w:rsid w:val="00FF2778"/>
    <w:rsid w:val="00FF2A99"/>
    <w:rsid w:val="00FF2BC5"/>
    <w:rsid w:val="00FF3188"/>
    <w:rsid w:val="00FF4AE2"/>
    <w:rsid w:val="00FF50FC"/>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D4"/>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B81E74"/>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412965"/>
    <w:pPr>
      <w:keepNext/>
      <w:keepLines/>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1E74"/>
    <w:rPr>
      <w:b/>
      <w:b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412965"/>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DC1DF6"/>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paragraph" w:customStyle="1" w:styleId="TableParagraph">
    <w:name w:val="Table Paragraph"/>
    <w:basedOn w:val="Normal"/>
    <w:uiPriority w:val="1"/>
    <w:qFormat/>
    <w:rsid w:val="008D57E5"/>
    <w:pPr>
      <w:adjustRightInd/>
    </w:pPr>
    <w:rPr>
      <w:rFonts w:ascii="Times New Roman" w:hAnsi="Times New Roman"/>
      <w:sz w:val="22"/>
      <w:szCs w:val="22"/>
    </w:rPr>
  </w:style>
  <w:style w:type="table" w:customStyle="1" w:styleId="GridTable41">
    <w:name w:val="Grid Table 41"/>
    <w:basedOn w:val="TableNormal"/>
    <w:next w:val="GridTable4"/>
    <w:uiPriority w:val="49"/>
    <w:rsid w:val="008D57E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82913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4136</Words>
  <Characters>23576</Characters>
  <Application>Microsoft Office Word</Application>
  <DocSecurity>0</DocSecurity>
  <Lines>196</Lines>
  <Paragraphs>55</Paragraphs>
  <ScaleCrop>false</ScaleCrop>
  <Company/>
  <LinksUpToDate>false</LinksUpToDate>
  <CharactersWithSpaces>27657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2023-06-02T14:40:00Z</dcterms:created>
  <dcterms:modified xsi:type="dcterms:W3CDTF">2023-06-02T14:40:00Z</dcterms:modified>
</cp:coreProperties>
</file>